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28967" w14:textId="77777777" w:rsidR="00EF0715" w:rsidRDefault="00EF0715" w:rsidP="00EF0715">
      <w:pPr>
        <w:spacing w:after="0" w:line="240" w:lineRule="auto"/>
        <w:rPr>
          <w:bCs/>
          <w:caps/>
        </w:rPr>
      </w:pPr>
    </w:p>
    <w:p w14:paraId="16B26500" w14:textId="77777777" w:rsidR="00EF0715" w:rsidRDefault="00EF0715" w:rsidP="00906995">
      <w:pPr>
        <w:spacing w:after="0" w:line="240" w:lineRule="auto"/>
        <w:jc w:val="center"/>
        <w:rPr>
          <w:bCs/>
          <w:caps/>
        </w:rPr>
      </w:pPr>
    </w:p>
    <w:p w14:paraId="6A531104" w14:textId="69D8C568" w:rsidR="00906995" w:rsidRPr="00CD1402" w:rsidRDefault="00906995" w:rsidP="00906995">
      <w:pPr>
        <w:spacing w:after="0" w:line="240" w:lineRule="auto"/>
        <w:jc w:val="center"/>
        <w:rPr>
          <w:bCs/>
          <w:caps/>
        </w:rPr>
      </w:pPr>
      <w:r w:rsidRPr="00CD1402">
        <w:rPr>
          <w:bCs/>
          <w:caps/>
        </w:rPr>
        <w:t xml:space="preserve">Techninė </w:t>
      </w:r>
      <w:r w:rsidR="00365DCD">
        <w:rPr>
          <w:bCs/>
          <w:caps/>
        </w:rPr>
        <w:t>SPECIFIKACIJA</w:t>
      </w:r>
    </w:p>
    <w:p w14:paraId="0FC0B9C5" w14:textId="7C3ED6A9" w:rsidR="00906995" w:rsidRPr="00CD1402" w:rsidRDefault="00906995" w:rsidP="00F14D58">
      <w:pPr>
        <w:spacing w:after="0" w:line="240" w:lineRule="auto"/>
        <w:jc w:val="center"/>
      </w:pPr>
    </w:p>
    <w:p w14:paraId="2497D7CA" w14:textId="29F46B42" w:rsidR="0016067C" w:rsidRDefault="00166FB5" w:rsidP="00906995">
      <w:pPr>
        <w:pStyle w:val="NormalWeb"/>
        <w:jc w:val="center"/>
        <w:rPr>
          <w:b/>
        </w:rPr>
      </w:pPr>
      <w:r w:rsidRPr="006930F7">
        <w:rPr>
          <w:b/>
          <w:i/>
          <w:iCs/>
        </w:rPr>
        <w:t>„</w:t>
      </w:r>
      <w:r w:rsidRPr="006930F7">
        <w:rPr>
          <w:b/>
          <w:color w:val="000000"/>
        </w:rPr>
        <w:t xml:space="preserve">Interneto paslauga 20 </w:t>
      </w:r>
      <w:proofErr w:type="spellStart"/>
      <w:r w:rsidRPr="006930F7">
        <w:rPr>
          <w:b/>
          <w:color w:val="000000"/>
        </w:rPr>
        <w:t>Gb</w:t>
      </w:r>
      <w:proofErr w:type="spellEnd"/>
      <w:r w:rsidRPr="006930F7">
        <w:rPr>
          <w:b/>
          <w:color w:val="000000"/>
        </w:rPr>
        <w:t>/s, interneto duomenų apsikeitimo mazge, matavimo serveriams prijungti (</w:t>
      </w:r>
      <w:proofErr w:type="spellStart"/>
      <w:r w:rsidRPr="006930F7">
        <w:rPr>
          <w:b/>
          <w:color w:val="000000"/>
        </w:rPr>
        <w:t>drivetest</w:t>
      </w:r>
      <w:proofErr w:type="spellEnd"/>
      <w:r w:rsidRPr="006930F7">
        <w:rPr>
          <w:b/>
          <w:color w:val="000000"/>
        </w:rPr>
        <w:t xml:space="preserve"> ir </w:t>
      </w:r>
      <w:proofErr w:type="spellStart"/>
      <w:r w:rsidRPr="006930F7">
        <w:rPr>
          <w:b/>
          <w:color w:val="000000"/>
        </w:rPr>
        <w:t>matuok.lt</w:t>
      </w:r>
      <w:proofErr w:type="spellEnd"/>
      <w:r w:rsidRPr="006930F7">
        <w:rPr>
          <w:b/>
          <w:color w:val="000000"/>
        </w:rPr>
        <w:t xml:space="preserve"> (</w:t>
      </w:r>
      <w:proofErr w:type="spellStart"/>
      <w:r w:rsidRPr="006930F7">
        <w:rPr>
          <w:b/>
          <w:color w:val="000000"/>
        </w:rPr>
        <w:t>crowdsourcing</w:t>
      </w:r>
      <w:proofErr w:type="spellEnd"/>
      <w:r w:rsidRPr="006930F7">
        <w:rPr>
          <w:b/>
          <w:color w:val="000000"/>
        </w:rPr>
        <w:t>))</w:t>
      </w:r>
      <w:r w:rsidRPr="006930F7">
        <w:rPr>
          <w:b/>
        </w:rPr>
        <w:t>“</w:t>
      </w:r>
    </w:p>
    <w:p w14:paraId="0F61DC65" w14:textId="77777777" w:rsidR="00166FB5" w:rsidRDefault="00166FB5" w:rsidP="00906995">
      <w:pPr>
        <w:pStyle w:val="NormalWeb"/>
        <w:jc w:val="center"/>
        <w:rPr>
          <w:bCs/>
          <w:color w:val="000000" w:themeColor="text1"/>
          <w:szCs w:val="24"/>
          <w:shd w:val="clear" w:color="auto" w:fill="FFFFFF"/>
        </w:rPr>
      </w:pPr>
    </w:p>
    <w:p w14:paraId="05636226" w14:textId="77777777" w:rsidR="0016067C" w:rsidRPr="00876442" w:rsidRDefault="0016067C" w:rsidP="0016067C">
      <w:pPr>
        <w:ind w:firstLine="851"/>
      </w:pPr>
      <w:r w:rsidRPr="00876442">
        <w:rPr>
          <w:b/>
        </w:rPr>
        <w:t>Pirkimo objektui (ar jo daliai) taikomi Lietuvos Respublikos viešųjų pirkimų įstatymo (toliau – VPĮ) 37 str. 9 dalies reikalavimai susiję su nacionaliniu saugumu.</w:t>
      </w:r>
      <w:r w:rsidRPr="00876442">
        <w:t xml:space="preserve"> Tiekėjas privalo įrodyti, kad siūlomos paslaugos nekelia grėsmės nacionaliniam saugumui, nėra toliau nurodytų aplinkybių: </w:t>
      </w:r>
    </w:p>
    <w:p w14:paraId="50B8F76A" w14:textId="77777777" w:rsidR="0016067C" w:rsidRPr="00054D31" w:rsidRDefault="0016067C" w:rsidP="0016067C">
      <w:pPr>
        <w:pStyle w:val="ListParagraph"/>
        <w:numPr>
          <w:ilvl w:val="0"/>
          <w:numId w:val="3"/>
        </w:numPr>
        <w:spacing w:after="0" w:line="240" w:lineRule="auto"/>
        <w:contextualSpacing/>
      </w:pPr>
      <w:r w:rsidRPr="00054D31">
        <w:t>paslaugų teikimas būtų vykdomas iš VPĮ 92 straipsnio 14 dalyje numatytame sąraše nurodytų valstybių ar teritorijų.</w:t>
      </w:r>
    </w:p>
    <w:p w14:paraId="62F86C68" w14:textId="419636F3" w:rsidR="0016067C" w:rsidRPr="00876442" w:rsidRDefault="0016067C" w:rsidP="0016067C">
      <w:pPr>
        <w:ind w:firstLine="709"/>
        <w:rPr>
          <w:bCs/>
        </w:rPr>
      </w:pPr>
      <w:r w:rsidRPr="00876442">
        <w:rPr>
          <w:bCs/>
        </w:rPr>
        <w:t xml:space="preserve">Perkančioji organizacija pasiūlymo atitikčiai VPĮ 37 straipsnio 9 dalies reikalavimams patvirtinti iš tiekėjo reikalauja kartu su pasiūlymu pateikti užpildytą pirkimo dokumentą „Nacionalinio saugumo reikalavimų atitikties deklaracija“ (Nacionalinio saugumo reikalavimų atitikties deklaracija </w:t>
      </w:r>
      <w:r w:rsidR="0066607A">
        <w:rPr>
          <w:bCs/>
        </w:rPr>
        <w:t>4</w:t>
      </w:r>
      <w:r w:rsidRPr="00876442">
        <w:rPr>
          <w:bCs/>
        </w:rPr>
        <w:t xml:space="preserve">), o iš ekonomiškai naudingiausią pasiūlymą pateikusio tiekėjo reikalaus pateikti (kartu su pasiūlymu šių dokumentų tiekėjas pateikti neturi) – vieną ar kelis šiuos dokumentus: </w:t>
      </w:r>
    </w:p>
    <w:p w14:paraId="6F63B5E2" w14:textId="77777777" w:rsidR="0016067C" w:rsidRPr="00054D31" w:rsidRDefault="0016067C" w:rsidP="0016067C">
      <w:pPr>
        <w:pStyle w:val="ListParagraph"/>
        <w:numPr>
          <w:ilvl w:val="0"/>
          <w:numId w:val="2"/>
        </w:numPr>
        <w:spacing w:after="0" w:line="240" w:lineRule="auto"/>
        <w:contextualSpacing/>
        <w:jc w:val="both"/>
        <w:rPr>
          <w:bCs/>
        </w:rPr>
      </w:pPr>
      <w:r w:rsidRPr="00054D31">
        <w:rPr>
          <w:bCs/>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p>
    <w:p w14:paraId="5F4592B7" w14:textId="77777777" w:rsidR="0016067C" w:rsidRPr="00876442" w:rsidRDefault="0016067C" w:rsidP="0016067C">
      <w:pPr>
        <w:ind w:firstLine="709"/>
      </w:pPr>
      <w:r w:rsidRPr="00876442">
        <w:rPr>
          <w:bCs/>
        </w:rPr>
        <w:t>Dokumentai, kuriuose nenurodytas jų galiojimo terminas, turi būti išduoti ar atspausdinti iš informacinės sistemos ne anksčiau kaip likus 3 mėnesiams iki tos dienos, kurią perkančiosios organizacijos prašymu tiekėjas turi pateikti dokumentus</w:t>
      </w:r>
      <w:r w:rsidRPr="00876442">
        <w:t>.</w:t>
      </w:r>
    </w:p>
    <w:p w14:paraId="1BB18C63" w14:textId="5585E240" w:rsidR="0016067C" w:rsidRPr="00336E76" w:rsidRDefault="0016067C" w:rsidP="00336E76">
      <w:pPr>
        <w:ind w:firstLine="709"/>
        <w:rPr>
          <w:bCs/>
        </w:rPr>
      </w:pPr>
      <w:r w:rsidRPr="00876442">
        <w:rPr>
          <w:bCs/>
        </w:rPr>
        <w:t>Jeigu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tbl>
      <w:tblPr>
        <w:tblW w:w="978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0"/>
        <w:gridCol w:w="2410"/>
      </w:tblGrid>
      <w:tr w:rsidR="00906995" w:rsidRPr="00CD1402" w14:paraId="01964256" w14:textId="77777777" w:rsidTr="00DD73E8">
        <w:tc>
          <w:tcPr>
            <w:tcW w:w="7370" w:type="dxa"/>
            <w:vAlign w:val="center"/>
          </w:tcPr>
          <w:p w14:paraId="6EE36995" w14:textId="77777777" w:rsidR="00906995" w:rsidRPr="00CD1402" w:rsidRDefault="00906995" w:rsidP="00DD73E8">
            <w:pPr>
              <w:pStyle w:val="NormalWeb"/>
              <w:jc w:val="center"/>
              <w:rPr>
                <w:bCs/>
                <w:color w:val="000000" w:themeColor="text1"/>
              </w:rPr>
            </w:pPr>
            <w:r w:rsidRPr="00CD1402">
              <w:rPr>
                <w:bCs/>
                <w:color w:val="000000" w:themeColor="text1"/>
              </w:rPr>
              <w:t>Reikalavimai</w:t>
            </w:r>
          </w:p>
        </w:tc>
        <w:tc>
          <w:tcPr>
            <w:tcW w:w="2410" w:type="dxa"/>
          </w:tcPr>
          <w:p w14:paraId="25567A15" w14:textId="77777777" w:rsidR="00906995" w:rsidRPr="00CD1402" w:rsidRDefault="00906995" w:rsidP="00DD73E8">
            <w:pPr>
              <w:pStyle w:val="NormalWeb"/>
              <w:jc w:val="center"/>
              <w:rPr>
                <w:bCs/>
                <w:color w:val="000000" w:themeColor="text1"/>
              </w:rPr>
            </w:pPr>
            <w:r w:rsidRPr="00CD1402">
              <w:rPr>
                <w:bCs/>
                <w:color w:val="000000" w:themeColor="text1"/>
              </w:rPr>
              <w:t>Atitiktis ir pastabos</w:t>
            </w:r>
          </w:p>
        </w:tc>
      </w:tr>
      <w:tr w:rsidR="00906995" w:rsidRPr="00CD1402" w14:paraId="79735599" w14:textId="77777777" w:rsidTr="00DD73E8">
        <w:trPr>
          <w:trHeight w:val="605"/>
        </w:trPr>
        <w:tc>
          <w:tcPr>
            <w:tcW w:w="7370" w:type="dxa"/>
          </w:tcPr>
          <w:p w14:paraId="7C7B9463" w14:textId="77777777" w:rsidR="00906995" w:rsidRPr="00CD1402" w:rsidRDefault="00906995" w:rsidP="00DD73E8">
            <w:pPr>
              <w:pStyle w:val="ListParagraph"/>
              <w:numPr>
                <w:ilvl w:val="0"/>
                <w:numId w:val="1"/>
              </w:numPr>
              <w:tabs>
                <w:tab w:val="left" w:pos="409"/>
              </w:tabs>
              <w:spacing w:after="0" w:line="240" w:lineRule="auto"/>
              <w:ind w:left="6" w:firstLine="0"/>
              <w:contextualSpacing/>
              <w:jc w:val="both"/>
              <w:rPr>
                <w:bCs/>
              </w:rPr>
            </w:pPr>
            <w:r w:rsidRPr="00CD1402">
              <w:rPr>
                <w:bCs/>
              </w:rPr>
              <w:t xml:space="preserve">Įrengti šviesolaidinę ryšio liniją ne mažiau nei 20 </w:t>
            </w:r>
            <w:proofErr w:type="spellStart"/>
            <w:r w:rsidRPr="00CD1402">
              <w:rPr>
                <w:bCs/>
              </w:rPr>
              <w:t>Gbps</w:t>
            </w:r>
            <w:proofErr w:type="spellEnd"/>
            <w:r w:rsidRPr="00CD1402">
              <w:rPr>
                <w:bCs/>
              </w:rPr>
              <w:t xml:space="preserve"> spartos prisijungimui, nuo paslaugos teikėjo iki LR Ryšių reguliavimo tarnybos (tarnybinių stočių patalpos, 3 aukštas) adresu Mortos g. 14, Vilnius.</w:t>
            </w:r>
          </w:p>
        </w:tc>
        <w:tc>
          <w:tcPr>
            <w:tcW w:w="2410" w:type="dxa"/>
          </w:tcPr>
          <w:p w14:paraId="2BF88E2E" w14:textId="77777777" w:rsidR="00906995" w:rsidRPr="00CD1402" w:rsidRDefault="00906995" w:rsidP="00DD73E8">
            <w:pPr>
              <w:pStyle w:val="ListParagraph"/>
              <w:tabs>
                <w:tab w:val="left" w:pos="409"/>
              </w:tabs>
              <w:spacing w:after="0" w:line="240" w:lineRule="auto"/>
              <w:ind w:left="0"/>
              <w:contextualSpacing/>
              <w:jc w:val="both"/>
              <w:rPr>
                <w:bCs/>
              </w:rPr>
            </w:pPr>
          </w:p>
        </w:tc>
      </w:tr>
      <w:tr w:rsidR="00906995" w:rsidRPr="00CD1402" w14:paraId="49DF6D31" w14:textId="77777777" w:rsidTr="00DD73E8">
        <w:trPr>
          <w:trHeight w:val="1128"/>
        </w:trPr>
        <w:tc>
          <w:tcPr>
            <w:tcW w:w="7370" w:type="dxa"/>
          </w:tcPr>
          <w:p w14:paraId="58A7B515" w14:textId="77777777" w:rsidR="00906995" w:rsidRPr="00CD1402" w:rsidRDefault="00906995" w:rsidP="00DD73E8">
            <w:pPr>
              <w:pStyle w:val="ListParagraph"/>
              <w:numPr>
                <w:ilvl w:val="0"/>
                <w:numId w:val="1"/>
              </w:numPr>
              <w:tabs>
                <w:tab w:val="left" w:pos="409"/>
              </w:tabs>
              <w:spacing w:after="0" w:line="240" w:lineRule="auto"/>
              <w:ind w:left="6" w:firstLine="0"/>
              <w:contextualSpacing/>
              <w:jc w:val="both"/>
              <w:rPr>
                <w:bCs/>
              </w:rPr>
            </w:pPr>
            <w:r w:rsidRPr="00CD1402">
              <w:rPr>
                <w:bCs/>
              </w:rPr>
              <w:t xml:space="preserve"> Užtikrinti vienodą mobiliojo ryšio operatorių: Bitė Lietuva, UAB, Telia Lietuva, AB ir Tele2, UAB pasiekiamumą, t. y. iš paslaugos teikėjo suteikto IP tinklo </w:t>
            </w:r>
            <w:proofErr w:type="spellStart"/>
            <w:r w:rsidRPr="00CD1402">
              <w:rPr>
                <w:bCs/>
              </w:rPr>
              <w:t>sietuvo</w:t>
            </w:r>
            <w:proofErr w:type="spellEnd"/>
            <w:r w:rsidRPr="00CD1402">
              <w:rPr>
                <w:bCs/>
              </w:rPr>
              <w:t xml:space="preserve"> maršrutizatoriaus kiekvieno mobiliojo ryšio operatoriaus interneto maršrutizatoriaus priešakinė IP sąsaja turi būti pasiekiama vieno šuolio (angl. </w:t>
            </w:r>
            <w:proofErr w:type="spellStart"/>
            <w:r w:rsidRPr="00CD1402">
              <w:rPr>
                <w:bCs/>
              </w:rPr>
              <w:t>next</w:t>
            </w:r>
            <w:proofErr w:type="spellEnd"/>
            <w:r w:rsidRPr="00CD1402">
              <w:rPr>
                <w:bCs/>
              </w:rPr>
              <w:t xml:space="preserve"> </w:t>
            </w:r>
            <w:proofErr w:type="spellStart"/>
            <w:r w:rsidRPr="00CD1402">
              <w:rPr>
                <w:bCs/>
              </w:rPr>
              <w:t>hop</w:t>
            </w:r>
            <w:proofErr w:type="spellEnd"/>
            <w:r w:rsidRPr="00CD1402">
              <w:rPr>
                <w:bCs/>
              </w:rPr>
              <w:t>) atstumu.</w:t>
            </w:r>
          </w:p>
        </w:tc>
        <w:tc>
          <w:tcPr>
            <w:tcW w:w="2410" w:type="dxa"/>
          </w:tcPr>
          <w:p w14:paraId="34DAD30D" w14:textId="77777777" w:rsidR="00906995" w:rsidRPr="00CD1402" w:rsidRDefault="00906995" w:rsidP="00DD73E8">
            <w:pPr>
              <w:pStyle w:val="ListParagraph"/>
              <w:tabs>
                <w:tab w:val="left" w:pos="409"/>
              </w:tabs>
              <w:spacing w:after="0" w:line="240" w:lineRule="auto"/>
              <w:ind w:left="0"/>
              <w:contextualSpacing/>
              <w:jc w:val="both"/>
              <w:rPr>
                <w:bCs/>
              </w:rPr>
            </w:pPr>
          </w:p>
        </w:tc>
      </w:tr>
      <w:tr w:rsidR="00906995" w:rsidRPr="00CD1402" w14:paraId="412C5C2E" w14:textId="77777777" w:rsidTr="00DD73E8">
        <w:trPr>
          <w:trHeight w:val="551"/>
        </w:trPr>
        <w:tc>
          <w:tcPr>
            <w:tcW w:w="7370" w:type="dxa"/>
          </w:tcPr>
          <w:p w14:paraId="1B6CD7FB" w14:textId="77777777" w:rsidR="00906995" w:rsidRPr="00CD1402" w:rsidRDefault="00906995" w:rsidP="00DD73E8">
            <w:pPr>
              <w:pStyle w:val="ListParagraph"/>
              <w:numPr>
                <w:ilvl w:val="0"/>
                <w:numId w:val="1"/>
              </w:numPr>
              <w:tabs>
                <w:tab w:val="left" w:pos="409"/>
              </w:tabs>
              <w:spacing w:after="0" w:line="240" w:lineRule="auto"/>
              <w:ind w:left="6" w:firstLine="0"/>
              <w:contextualSpacing/>
              <w:jc w:val="both"/>
              <w:rPr>
                <w:bCs/>
              </w:rPr>
            </w:pPr>
            <w:r w:rsidRPr="00CD1402">
              <w:rPr>
                <w:bCs/>
              </w:rPr>
              <w:t xml:space="preserve">Užtikrinti pilną </w:t>
            </w:r>
            <w:proofErr w:type="spellStart"/>
            <w:r w:rsidRPr="00CD1402">
              <w:rPr>
                <w:bCs/>
              </w:rPr>
              <w:t>DDoS</w:t>
            </w:r>
            <w:proofErr w:type="spellEnd"/>
            <w:r w:rsidRPr="00CD1402">
              <w:rPr>
                <w:bCs/>
              </w:rPr>
              <w:t xml:space="preserve"> apsaugą naudojant </w:t>
            </w:r>
            <w:proofErr w:type="spellStart"/>
            <w:r w:rsidRPr="00CD1402">
              <w:rPr>
                <w:bCs/>
              </w:rPr>
              <w:t>Flowspec</w:t>
            </w:r>
            <w:proofErr w:type="spellEnd"/>
            <w:r w:rsidRPr="00CD1402">
              <w:rPr>
                <w:bCs/>
              </w:rPr>
              <w:t xml:space="preserve"> ir/arba RTBH technologijas. </w:t>
            </w:r>
            <w:proofErr w:type="spellStart"/>
            <w:r w:rsidRPr="00CD1402">
              <w:rPr>
                <w:bCs/>
              </w:rPr>
              <w:t>DDoS</w:t>
            </w:r>
            <w:proofErr w:type="spellEnd"/>
            <w:r w:rsidRPr="00CD1402">
              <w:rPr>
                <w:bCs/>
              </w:rPr>
              <w:t xml:space="preserve"> apsaugos greitaveika turi būti ne mažesnė nei 1 </w:t>
            </w:r>
            <w:proofErr w:type="spellStart"/>
            <w:r w:rsidRPr="00CD1402">
              <w:rPr>
                <w:bCs/>
              </w:rPr>
              <w:t>Gb</w:t>
            </w:r>
            <w:proofErr w:type="spellEnd"/>
            <w:r w:rsidRPr="00CD1402">
              <w:rPr>
                <w:bCs/>
              </w:rPr>
              <w:t>/s.</w:t>
            </w:r>
          </w:p>
        </w:tc>
        <w:tc>
          <w:tcPr>
            <w:tcW w:w="2410" w:type="dxa"/>
          </w:tcPr>
          <w:p w14:paraId="39A6703B" w14:textId="77777777" w:rsidR="00906995" w:rsidRPr="00CD1402" w:rsidRDefault="00906995" w:rsidP="00DD73E8">
            <w:pPr>
              <w:pStyle w:val="ListParagraph"/>
              <w:tabs>
                <w:tab w:val="left" w:pos="409"/>
              </w:tabs>
              <w:spacing w:after="0" w:line="240" w:lineRule="auto"/>
              <w:ind w:left="0"/>
              <w:contextualSpacing/>
              <w:jc w:val="both"/>
              <w:rPr>
                <w:bCs/>
              </w:rPr>
            </w:pPr>
          </w:p>
        </w:tc>
      </w:tr>
      <w:tr w:rsidR="00906995" w:rsidRPr="00CD1402" w14:paraId="5C76842E" w14:textId="77777777" w:rsidTr="00DD73E8">
        <w:trPr>
          <w:trHeight w:val="570"/>
        </w:trPr>
        <w:tc>
          <w:tcPr>
            <w:tcW w:w="7370" w:type="dxa"/>
          </w:tcPr>
          <w:p w14:paraId="5DD914E5" w14:textId="77777777" w:rsidR="00906995" w:rsidRPr="00CD1402" w:rsidDel="00DC10D1" w:rsidRDefault="00906995" w:rsidP="00DD73E8">
            <w:pPr>
              <w:pStyle w:val="ListParagraph"/>
              <w:numPr>
                <w:ilvl w:val="0"/>
                <w:numId w:val="1"/>
              </w:numPr>
              <w:tabs>
                <w:tab w:val="left" w:pos="409"/>
              </w:tabs>
              <w:spacing w:after="0" w:line="240" w:lineRule="auto"/>
              <w:ind w:left="6" w:firstLine="0"/>
              <w:contextualSpacing/>
              <w:jc w:val="both"/>
              <w:rPr>
                <w:bCs/>
              </w:rPr>
            </w:pPr>
            <w:r w:rsidRPr="00CD1402">
              <w:rPr>
                <w:bCs/>
              </w:rPr>
              <w:lastRenderedPageBreak/>
              <w:t>Paslaugos teikėjo tinkle nuo RRT įrangos iki mobiliojo ryšio operatorių tinklų neturi būti taikomi  jokie duomenų srautą ribojantys, formuojantys ar prioretizuojantys veiksniai.</w:t>
            </w:r>
          </w:p>
        </w:tc>
        <w:tc>
          <w:tcPr>
            <w:tcW w:w="2410" w:type="dxa"/>
          </w:tcPr>
          <w:p w14:paraId="6C037A44" w14:textId="77777777" w:rsidR="00906995" w:rsidRPr="00CD1402" w:rsidRDefault="00906995" w:rsidP="00DD73E8">
            <w:pPr>
              <w:pStyle w:val="ListParagraph"/>
              <w:tabs>
                <w:tab w:val="left" w:pos="409"/>
              </w:tabs>
              <w:spacing w:after="0" w:line="240" w:lineRule="auto"/>
              <w:ind w:left="0"/>
              <w:contextualSpacing/>
              <w:jc w:val="both"/>
              <w:rPr>
                <w:bCs/>
              </w:rPr>
            </w:pPr>
          </w:p>
        </w:tc>
      </w:tr>
      <w:tr w:rsidR="00906995" w:rsidRPr="00CD1402" w14:paraId="1D654E56" w14:textId="77777777" w:rsidTr="00DD73E8">
        <w:trPr>
          <w:trHeight w:val="1134"/>
        </w:trPr>
        <w:tc>
          <w:tcPr>
            <w:tcW w:w="7370" w:type="dxa"/>
          </w:tcPr>
          <w:p w14:paraId="49B9ADC1" w14:textId="77777777" w:rsidR="00906995" w:rsidRPr="00CD1402" w:rsidRDefault="00906995" w:rsidP="00DD73E8">
            <w:pPr>
              <w:pStyle w:val="ListParagraph"/>
              <w:numPr>
                <w:ilvl w:val="0"/>
                <w:numId w:val="1"/>
              </w:numPr>
              <w:tabs>
                <w:tab w:val="left" w:pos="409"/>
              </w:tabs>
              <w:spacing w:after="0" w:line="240" w:lineRule="auto"/>
              <w:ind w:left="6" w:firstLine="0"/>
              <w:contextualSpacing/>
              <w:jc w:val="both"/>
              <w:rPr>
                <w:bCs/>
              </w:rPr>
            </w:pPr>
            <w:r w:rsidRPr="00CD1402">
              <w:rPr>
                <w:bCs/>
              </w:rPr>
              <w:t xml:space="preserve">Užtikrinti galinės įrangos (optiniai keitikliai, komutatorius) – pateikimą, sumontavimą ir konfigūravimą Ryšių reguliavimo tarnybos pusėje, adresu Mortos g. 14, Vilnius, (tarnybinių stočių patalpos, 3 aukštas). </w:t>
            </w:r>
          </w:p>
          <w:p w14:paraId="734BA52B" w14:textId="77777777" w:rsidR="00906995" w:rsidRPr="00CD1402" w:rsidRDefault="00906995" w:rsidP="00DD73E8">
            <w:pPr>
              <w:pStyle w:val="ListParagraph"/>
              <w:tabs>
                <w:tab w:val="left" w:pos="409"/>
              </w:tabs>
              <w:spacing w:after="0" w:line="240" w:lineRule="auto"/>
              <w:ind w:left="6"/>
              <w:contextualSpacing/>
              <w:jc w:val="both"/>
              <w:rPr>
                <w:bCs/>
              </w:rPr>
            </w:pPr>
            <w:r w:rsidRPr="00CD1402">
              <w:rPr>
                <w:bCs/>
              </w:rPr>
              <w:t>Minimalus jungčių sk. serverių pajungimui (komutatoriuje) – 5 vnt.</w:t>
            </w:r>
          </w:p>
          <w:p w14:paraId="380C5D94" w14:textId="77777777" w:rsidR="00906995" w:rsidRPr="00CD1402" w:rsidRDefault="00906995" w:rsidP="00DD73E8">
            <w:pPr>
              <w:pStyle w:val="ListParagraph"/>
              <w:tabs>
                <w:tab w:val="left" w:pos="409"/>
              </w:tabs>
              <w:spacing w:after="0" w:line="240" w:lineRule="auto"/>
              <w:ind w:left="6"/>
              <w:contextualSpacing/>
              <w:jc w:val="both"/>
              <w:rPr>
                <w:bCs/>
                <w:color w:val="000000" w:themeColor="text1"/>
              </w:rPr>
            </w:pPr>
            <w:r w:rsidRPr="00CD1402">
              <w:rPr>
                <w:bCs/>
                <w:color w:val="000000" w:themeColor="text1"/>
                <w:lang w:val="pt-PT"/>
              </w:rPr>
              <w:t>Numatytos laisvos komutatoriaus jungtys serveri</w:t>
            </w:r>
            <w:r w:rsidRPr="00CD1402">
              <w:rPr>
                <w:bCs/>
                <w:color w:val="000000" w:themeColor="text1"/>
              </w:rPr>
              <w:t>ų pajungimui:</w:t>
            </w:r>
          </w:p>
          <w:p w14:paraId="4D6ED374" w14:textId="77777777" w:rsidR="00906995" w:rsidRPr="00CD1402" w:rsidRDefault="00906995" w:rsidP="00DD73E8">
            <w:pPr>
              <w:pStyle w:val="ListParagraph"/>
              <w:tabs>
                <w:tab w:val="left" w:pos="409"/>
              </w:tabs>
              <w:spacing w:after="0" w:line="240" w:lineRule="auto"/>
              <w:ind w:left="6"/>
              <w:contextualSpacing/>
              <w:jc w:val="both"/>
              <w:rPr>
                <w:bCs/>
              </w:rPr>
            </w:pPr>
            <w:r w:rsidRPr="00CD1402">
              <w:rPr>
                <w:bCs/>
              </w:rPr>
              <w:t>SFP28 (25Gbps) – 1 vnt. (Teikėjas suteikia optinius keitiklius ir optinį kabelį pajungimui nuo komutatoriaus iki serverio (SFP28 - SFP28) arba tiesioginio pajungimo kabelį (</w:t>
            </w:r>
            <w:proofErr w:type="spellStart"/>
            <w:r w:rsidRPr="00CD1402">
              <w:rPr>
                <w:bCs/>
              </w:rPr>
              <w:t>ang</w:t>
            </w:r>
            <w:proofErr w:type="spellEnd"/>
            <w:r w:rsidRPr="00CD1402">
              <w:rPr>
                <w:bCs/>
              </w:rPr>
              <w:t xml:space="preserve">. </w:t>
            </w:r>
            <w:proofErr w:type="spellStart"/>
            <w:r w:rsidRPr="00CD1402">
              <w:rPr>
                <w:bCs/>
              </w:rPr>
              <w:t>direct</w:t>
            </w:r>
            <w:proofErr w:type="spellEnd"/>
            <w:r w:rsidRPr="00CD1402">
              <w:rPr>
                <w:bCs/>
              </w:rPr>
              <w:t xml:space="preserve"> </w:t>
            </w:r>
            <w:proofErr w:type="spellStart"/>
            <w:r w:rsidRPr="00CD1402">
              <w:rPr>
                <w:bCs/>
              </w:rPr>
              <w:t>connect</w:t>
            </w:r>
            <w:proofErr w:type="spellEnd"/>
            <w:r w:rsidRPr="00CD1402">
              <w:rPr>
                <w:bCs/>
              </w:rPr>
              <w:t xml:space="preserve"> </w:t>
            </w:r>
            <w:proofErr w:type="spellStart"/>
            <w:r w:rsidRPr="00CD1402">
              <w:rPr>
                <w:bCs/>
              </w:rPr>
              <w:t>cable</w:t>
            </w:r>
            <w:proofErr w:type="spellEnd"/>
            <w:r w:rsidRPr="00CD1402">
              <w:rPr>
                <w:bCs/>
              </w:rPr>
              <w:t>, SFP28 - SFP28))</w:t>
            </w:r>
          </w:p>
          <w:p w14:paraId="2FB2D711" w14:textId="77777777" w:rsidR="00906995" w:rsidRPr="00CD1402" w:rsidRDefault="00906995" w:rsidP="00DD73E8">
            <w:pPr>
              <w:pStyle w:val="ListParagraph"/>
              <w:tabs>
                <w:tab w:val="left" w:pos="409"/>
              </w:tabs>
              <w:spacing w:after="0" w:line="240" w:lineRule="auto"/>
              <w:ind w:left="6"/>
              <w:contextualSpacing/>
              <w:jc w:val="both"/>
              <w:rPr>
                <w:bCs/>
              </w:rPr>
            </w:pPr>
            <w:r w:rsidRPr="00CD1402">
              <w:rPr>
                <w:bCs/>
              </w:rPr>
              <w:t xml:space="preserve">RJ45 (1Gbps) – 4 vnt. </w:t>
            </w:r>
          </w:p>
        </w:tc>
        <w:tc>
          <w:tcPr>
            <w:tcW w:w="2410" w:type="dxa"/>
          </w:tcPr>
          <w:p w14:paraId="7AF17D6A" w14:textId="77777777" w:rsidR="00906995" w:rsidRPr="00CD1402" w:rsidRDefault="00906995" w:rsidP="00DD73E8">
            <w:pPr>
              <w:pStyle w:val="ListParagraph"/>
              <w:tabs>
                <w:tab w:val="left" w:pos="409"/>
              </w:tabs>
              <w:spacing w:after="0" w:line="240" w:lineRule="auto"/>
              <w:ind w:left="0"/>
              <w:contextualSpacing/>
              <w:jc w:val="both"/>
              <w:rPr>
                <w:bCs/>
              </w:rPr>
            </w:pPr>
          </w:p>
        </w:tc>
      </w:tr>
      <w:tr w:rsidR="00906995" w:rsidRPr="00CD1402" w14:paraId="3FEAB1F4" w14:textId="77777777" w:rsidTr="00DD73E8">
        <w:trPr>
          <w:trHeight w:val="833"/>
        </w:trPr>
        <w:tc>
          <w:tcPr>
            <w:tcW w:w="7370" w:type="dxa"/>
          </w:tcPr>
          <w:p w14:paraId="527AF269" w14:textId="77777777" w:rsidR="00906995" w:rsidRPr="00CD1402" w:rsidRDefault="00906995" w:rsidP="00DD73E8">
            <w:pPr>
              <w:pStyle w:val="ListParagraph"/>
              <w:numPr>
                <w:ilvl w:val="0"/>
                <w:numId w:val="1"/>
              </w:numPr>
              <w:tabs>
                <w:tab w:val="left" w:pos="409"/>
              </w:tabs>
              <w:spacing w:after="0" w:line="240" w:lineRule="auto"/>
              <w:ind w:left="6" w:firstLine="0"/>
              <w:contextualSpacing/>
              <w:jc w:val="both"/>
              <w:rPr>
                <w:bCs/>
              </w:rPr>
            </w:pPr>
            <w:r w:rsidRPr="00CD1402">
              <w:rPr>
                <w:bCs/>
              </w:rPr>
              <w:t xml:space="preserve">IP </w:t>
            </w:r>
            <w:proofErr w:type="spellStart"/>
            <w:r w:rsidRPr="00CD1402">
              <w:rPr>
                <w:bCs/>
              </w:rPr>
              <w:t>adresacija</w:t>
            </w:r>
            <w:proofErr w:type="spellEnd"/>
            <w:r w:rsidRPr="00CD1402">
              <w:rPr>
                <w:bCs/>
              </w:rPr>
              <w:t xml:space="preserve"> ir </w:t>
            </w:r>
            <w:proofErr w:type="spellStart"/>
            <w:r w:rsidRPr="00CD1402">
              <w:rPr>
                <w:bCs/>
              </w:rPr>
              <w:t>maršrutizavimas</w:t>
            </w:r>
            <w:proofErr w:type="spellEnd"/>
            <w:r w:rsidRPr="00CD1402">
              <w:rPr>
                <w:bCs/>
              </w:rPr>
              <w:t xml:space="preserve">. </w:t>
            </w:r>
          </w:p>
          <w:p w14:paraId="51B296B0" w14:textId="77777777" w:rsidR="00906995" w:rsidRPr="00CD1402" w:rsidRDefault="00906995" w:rsidP="00DD73E8">
            <w:pPr>
              <w:pStyle w:val="ListParagraph"/>
              <w:tabs>
                <w:tab w:val="left" w:pos="409"/>
              </w:tabs>
              <w:spacing w:after="0" w:line="240" w:lineRule="auto"/>
              <w:ind w:left="6"/>
              <w:contextualSpacing/>
              <w:jc w:val="both"/>
              <w:rPr>
                <w:bCs/>
                <w:color w:val="000000" w:themeColor="text1"/>
              </w:rPr>
            </w:pPr>
            <w:r w:rsidRPr="00CD1402">
              <w:rPr>
                <w:bCs/>
                <w:color w:val="000000" w:themeColor="text1"/>
              </w:rPr>
              <w:t xml:space="preserve">Teikėjas suteikia ne mažiau kaip 5 vnt. išorinius  IPv4 ir IPv6 adresus </w:t>
            </w:r>
          </w:p>
          <w:p w14:paraId="4B4BB108" w14:textId="77777777" w:rsidR="00906995" w:rsidRPr="00CD1402" w:rsidRDefault="00906995" w:rsidP="00DD73E8">
            <w:pPr>
              <w:pStyle w:val="ListParagraph"/>
              <w:tabs>
                <w:tab w:val="left" w:pos="409"/>
              </w:tabs>
              <w:spacing w:after="0" w:line="240" w:lineRule="auto"/>
              <w:ind w:left="6"/>
              <w:contextualSpacing/>
              <w:jc w:val="both"/>
              <w:rPr>
                <w:bCs/>
                <w:color w:val="000000" w:themeColor="text1"/>
              </w:rPr>
            </w:pPr>
            <w:r w:rsidRPr="00CD1402">
              <w:rPr>
                <w:bCs/>
                <w:color w:val="000000" w:themeColor="text1"/>
              </w:rPr>
              <w:t xml:space="preserve"> IPv4 - 5 vnt.</w:t>
            </w:r>
          </w:p>
          <w:p w14:paraId="31D36A9B" w14:textId="77777777" w:rsidR="00906995" w:rsidRPr="00CD1402" w:rsidRDefault="00906995" w:rsidP="00DD73E8">
            <w:pPr>
              <w:tabs>
                <w:tab w:val="left" w:pos="409"/>
              </w:tabs>
              <w:spacing w:after="0" w:line="240" w:lineRule="auto"/>
              <w:contextualSpacing/>
              <w:jc w:val="both"/>
              <w:rPr>
                <w:bCs/>
                <w:color w:val="000000" w:themeColor="text1"/>
              </w:rPr>
            </w:pPr>
            <w:r w:rsidRPr="00CD1402">
              <w:rPr>
                <w:bCs/>
                <w:color w:val="000000" w:themeColor="text1"/>
              </w:rPr>
              <w:t xml:space="preserve"> IPv6 - 5 vnt.</w:t>
            </w:r>
          </w:p>
          <w:p w14:paraId="16AD88F7" w14:textId="77777777" w:rsidR="00906995" w:rsidRPr="00CD1402" w:rsidRDefault="00906995" w:rsidP="00DD73E8">
            <w:pPr>
              <w:tabs>
                <w:tab w:val="left" w:pos="409"/>
              </w:tabs>
              <w:spacing w:after="0" w:line="240" w:lineRule="auto"/>
              <w:contextualSpacing/>
              <w:jc w:val="both"/>
              <w:rPr>
                <w:bCs/>
              </w:rPr>
            </w:pPr>
            <w:r w:rsidRPr="00CD1402">
              <w:rPr>
                <w:bCs/>
              </w:rPr>
              <w:t xml:space="preserve">Pastaba: BGP </w:t>
            </w:r>
            <w:proofErr w:type="spellStart"/>
            <w:r w:rsidRPr="00CD1402">
              <w:rPr>
                <w:bCs/>
              </w:rPr>
              <w:t>maršrutizavimą</w:t>
            </w:r>
            <w:proofErr w:type="spellEnd"/>
            <w:r w:rsidRPr="00CD1402">
              <w:rPr>
                <w:bCs/>
              </w:rPr>
              <w:t xml:space="preserve"> atlieka paslaugos teikėjas ir IP adresus suteikia iš savo valdomos autonominės sistemos.</w:t>
            </w:r>
          </w:p>
        </w:tc>
        <w:tc>
          <w:tcPr>
            <w:tcW w:w="2410" w:type="dxa"/>
          </w:tcPr>
          <w:p w14:paraId="1A6C183E" w14:textId="77777777" w:rsidR="00906995" w:rsidRPr="00CD1402" w:rsidRDefault="00906995" w:rsidP="00DD73E8">
            <w:pPr>
              <w:pStyle w:val="ListParagraph"/>
              <w:tabs>
                <w:tab w:val="left" w:pos="409"/>
              </w:tabs>
              <w:spacing w:after="0" w:line="240" w:lineRule="auto"/>
              <w:ind w:left="0"/>
              <w:contextualSpacing/>
              <w:jc w:val="both"/>
              <w:rPr>
                <w:bCs/>
              </w:rPr>
            </w:pPr>
          </w:p>
        </w:tc>
      </w:tr>
      <w:tr w:rsidR="00906995" w:rsidRPr="00CD1402" w14:paraId="43D9DEA7" w14:textId="77777777" w:rsidTr="00DD73E8">
        <w:trPr>
          <w:trHeight w:val="833"/>
        </w:trPr>
        <w:tc>
          <w:tcPr>
            <w:tcW w:w="7370" w:type="dxa"/>
          </w:tcPr>
          <w:p w14:paraId="29B9B6A8" w14:textId="77777777" w:rsidR="00906995" w:rsidRPr="00CD1402" w:rsidRDefault="00906995" w:rsidP="00DD73E8">
            <w:pPr>
              <w:pStyle w:val="ListParagraph"/>
              <w:numPr>
                <w:ilvl w:val="0"/>
                <w:numId w:val="1"/>
              </w:numPr>
              <w:tabs>
                <w:tab w:val="left" w:pos="409"/>
              </w:tabs>
              <w:spacing w:after="0" w:line="240" w:lineRule="auto"/>
              <w:ind w:left="6" w:firstLine="0"/>
              <w:contextualSpacing/>
              <w:jc w:val="both"/>
              <w:rPr>
                <w:bCs/>
              </w:rPr>
            </w:pPr>
            <w:r w:rsidRPr="00CD1402">
              <w:rPr>
                <w:bCs/>
              </w:rPr>
              <w:t>Užtikrinti duomenų perdavimo įrangos, aktyviosios ir pasyviosios (optinė skaidula ir optiniai keitikliai, komutatoriai) veikimą ir priežiūrą, sutarties laikotarpiu. Planiniai darbai 4 valandos per 6 mėnesius. Įspėjimas apie planinius darbus prieš 15 kalendorinių dienų.</w:t>
            </w:r>
          </w:p>
        </w:tc>
        <w:tc>
          <w:tcPr>
            <w:tcW w:w="2410" w:type="dxa"/>
          </w:tcPr>
          <w:p w14:paraId="54A11CC7" w14:textId="77777777" w:rsidR="00906995" w:rsidRPr="00CD1402" w:rsidRDefault="00906995" w:rsidP="00DD73E8">
            <w:pPr>
              <w:pStyle w:val="ListParagraph"/>
              <w:tabs>
                <w:tab w:val="left" w:pos="409"/>
              </w:tabs>
              <w:spacing w:after="0" w:line="240" w:lineRule="auto"/>
              <w:ind w:left="0"/>
              <w:contextualSpacing/>
              <w:jc w:val="both"/>
              <w:rPr>
                <w:bCs/>
              </w:rPr>
            </w:pPr>
          </w:p>
        </w:tc>
      </w:tr>
      <w:tr w:rsidR="00906995" w:rsidRPr="00CD1402" w14:paraId="353E45E8" w14:textId="77777777" w:rsidTr="00DD73E8">
        <w:trPr>
          <w:trHeight w:val="263"/>
        </w:trPr>
        <w:tc>
          <w:tcPr>
            <w:tcW w:w="7370" w:type="dxa"/>
          </w:tcPr>
          <w:p w14:paraId="183F76C6" w14:textId="4BD3BE80" w:rsidR="00906995" w:rsidRPr="00CD1402" w:rsidRDefault="00906995" w:rsidP="00DD73E8">
            <w:pPr>
              <w:pStyle w:val="ListParagraph"/>
              <w:numPr>
                <w:ilvl w:val="0"/>
                <w:numId w:val="1"/>
              </w:numPr>
              <w:tabs>
                <w:tab w:val="left" w:pos="409"/>
              </w:tabs>
              <w:spacing w:after="0" w:line="240" w:lineRule="auto"/>
              <w:ind w:left="6" w:firstLine="0"/>
              <w:contextualSpacing/>
              <w:jc w:val="both"/>
              <w:rPr>
                <w:bCs/>
              </w:rPr>
            </w:pPr>
            <w:r w:rsidRPr="00CD1402">
              <w:rPr>
                <w:bCs/>
              </w:rPr>
              <w:t>Pasiūlymus teikti gali tik duomenų apsikeitimo mazgus valdantys juridiniai asmenys.</w:t>
            </w:r>
          </w:p>
        </w:tc>
        <w:tc>
          <w:tcPr>
            <w:tcW w:w="2410" w:type="dxa"/>
          </w:tcPr>
          <w:p w14:paraId="55BC560E" w14:textId="77777777" w:rsidR="00906995" w:rsidRPr="00CD1402" w:rsidRDefault="00906995" w:rsidP="00DD73E8">
            <w:pPr>
              <w:pStyle w:val="ListParagraph"/>
              <w:tabs>
                <w:tab w:val="left" w:pos="409"/>
              </w:tabs>
              <w:spacing w:after="0" w:line="240" w:lineRule="auto"/>
              <w:ind w:left="0"/>
              <w:contextualSpacing/>
              <w:jc w:val="both"/>
              <w:rPr>
                <w:bCs/>
              </w:rPr>
            </w:pPr>
          </w:p>
        </w:tc>
      </w:tr>
      <w:tr w:rsidR="00906995" w:rsidRPr="00CD1402" w14:paraId="016C1102" w14:textId="77777777" w:rsidTr="00DD73E8">
        <w:trPr>
          <w:trHeight w:val="422"/>
        </w:trPr>
        <w:tc>
          <w:tcPr>
            <w:tcW w:w="7370" w:type="dxa"/>
          </w:tcPr>
          <w:p w14:paraId="310CA18F" w14:textId="28B45600" w:rsidR="00906995" w:rsidRPr="00CD1402" w:rsidRDefault="00906995" w:rsidP="00DD73E8">
            <w:pPr>
              <w:pStyle w:val="ListParagraph"/>
              <w:numPr>
                <w:ilvl w:val="0"/>
                <w:numId w:val="1"/>
              </w:numPr>
              <w:tabs>
                <w:tab w:val="left" w:pos="409"/>
              </w:tabs>
              <w:spacing w:after="0" w:line="240" w:lineRule="auto"/>
              <w:ind w:left="6" w:firstLine="0"/>
              <w:contextualSpacing/>
              <w:jc w:val="both"/>
              <w:rPr>
                <w:bCs/>
              </w:rPr>
            </w:pPr>
            <w:r w:rsidRPr="00CD1402">
              <w:rPr>
                <w:bCs/>
              </w:rPr>
              <w:t xml:space="preserve">Pasiūlymų teikime negali dalyvauti mobiliojo interneto </w:t>
            </w:r>
            <w:r w:rsidR="00FF6BE7" w:rsidRPr="00CD1402">
              <w:rPr>
                <w:bCs/>
              </w:rPr>
              <w:t xml:space="preserve">ryšio </w:t>
            </w:r>
            <w:r w:rsidRPr="00CD1402">
              <w:rPr>
                <w:bCs/>
              </w:rPr>
              <w:t>paslaugas teikiantys operatoriai ar su jais susiję juridiniai asmenys, nes ši paslauga bus naudojama mobiliojo interneto paslaugų teikėjų, teikiamų paslaugų kokybei vertinti, tuo sudarant vienodas, skaidrias ir nediskriminacines sąlygas, visiems paslaugų teikėjams.</w:t>
            </w:r>
          </w:p>
        </w:tc>
        <w:tc>
          <w:tcPr>
            <w:tcW w:w="2410" w:type="dxa"/>
          </w:tcPr>
          <w:p w14:paraId="4C9EC157" w14:textId="77777777" w:rsidR="00906995" w:rsidRPr="00CD1402" w:rsidRDefault="00906995" w:rsidP="00DD73E8">
            <w:pPr>
              <w:pStyle w:val="ListParagraph"/>
              <w:tabs>
                <w:tab w:val="left" w:pos="409"/>
              </w:tabs>
              <w:spacing w:after="0" w:line="240" w:lineRule="auto"/>
              <w:ind w:left="0"/>
              <w:contextualSpacing/>
              <w:jc w:val="both"/>
              <w:rPr>
                <w:bCs/>
              </w:rPr>
            </w:pPr>
          </w:p>
        </w:tc>
      </w:tr>
      <w:tr w:rsidR="00906995" w:rsidRPr="00CD1402" w14:paraId="4C799624" w14:textId="77777777" w:rsidTr="00DD73E8">
        <w:trPr>
          <w:trHeight w:val="422"/>
        </w:trPr>
        <w:tc>
          <w:tcPr>
            <w:tcW w:w="7370" w:type="dxa"/>
          </w:tcPr>
          <w:p w14:paraId="29D52A82" w14:textId="77777777" w:rsidR="00906995" w:rsidRPr="00CD1402" w:rsidRDefault="00906995" w:rsidP="00DD73E8">
            <w:pPr>
              <w:pStyle w:val="ListParagraph"/>
              <w:numPr>
                <w:ilvl w:val="0"/>
                <w:numId w:val="1"/>
              </w:numPr>
              <w:tabs>
                <w:tab w:val="left" w:pos="409"/>
              </w:tabs>
              <w:spacing w:after="0" w:line="240" w:lineRule="auto"/>
              <w:ind w:left="6" w:firstLine="0"/>
              <w:contextualSpacing/>
              <w:jc w:val="both"/>
              <w:rPr>
                <w:bCs/>
              </w:rPr>
            </w:pPr>
            <w:r w:rsidRPr="00CD1402">
              <w:rPr>
                <w:bCs/>
              </w:rPr>
              <w:t xml:space="preserve">Paslaugos </w:t>
            </w:r>
            <w:proofErr w:type="spellStart"/>
            <w:r w:rsidRPr="00CD1402">
              <w:rPr>
                <w:bCs/>
              </w:rPr>
              <w:t>pateikiamumas</w:t>
            </w:r>
            <w:proofErr w:type="spellEnd"/>
            <w:r w:rsidRPr="00CD1402">
              <w:rPr>
                <w:bCs/>
              </w:rPr>
              <w:t xml:space="preserve"> &gt; 99.5% per metus.</w:t>
            </w:r>
          </w:p>
        </w:tc>
        <w:tc>
          <w:tcPr>
            <w:tcW w:w="2410" w:type="dxa"/>
          </w:tcPr>
          <w:p w14:paraId="71CC7A37" w14:textId="77777777" w:rsidR="00906995" w:rsidRPr="00CD1402" w:rsidRDefault="00906995" w:rsidP="00DD73E8">
            <w:pPr>
              <w:pStyle w:val="ListParagraph"/>
              <w:tabs>
                <w:tab w:val="left" w:pos="409"/>
              </w:tabs>
              <w:spacing w:after="0" w:line="240" w:lineRule="auto"/>
              <w:ind w:left="0"/>
              <w:contextualSpacing/>
              <w:jc w:val="both"/>
              <w:rPr>
                <w:bCs/>
              </w:rPr>
            </w:pPr>
          </w:p>
        </w:tc>
      </w:tr>
      <w:tr w:rsidR="00906995" w:rsidRPr="00CD1402" w14:paraId="438B4B79" w14:textId="77777777" w:rsidTr="00DD73E8">
        <w:trPr>
          <w:trHeight w:val="414"/>
        </w:trPr>
        <w:tc>
          <w:tcPr>
            <w:tcW w:w="7370" w:type="dxa"/>
          </w:tcPr>
          <w:p w14:paraId="6F81B293" w14:textId="77777777" w:rsidR="00906995" w:rsidRPr="00CD1402" w:rsidRDefault="00906995" w:rsidP="00DD73E8">
            <w:pPr>
              <w:pStyle w:val="ListParagraph"/>
              <w:numPr>
                <w:ilvl w:val="0"/>
                <w:numId w:val="1"/>
              </w:numPr>
              <w:tabs>
                <w:tab w:val="left" w:pos="409"/>
              </w:tabs>
              <w:spacing w:after="0" w:line="240" w:lineRule="auto"/>
              <w:ind w:left="6" w:firstLine="0"/>
              <w:contextualSpacing/>
              <w:jc w:val="both"/>
              <w:rPr>
                <w:bCs/>
              </w:rPr>
            </w:pPr>
            <w:r w:rsidRPr="00CD1402">
              <w:rPr>
                <w:bCs/>
              </w:rPr>
              <w:t>Paslaugos teikimo terminas 36 mėn.</w:t>
            </w:r>
          </w:p>
        </w:tc>
        <w:tc>
          <w:tcPr>
            <w:tcW w:w="2410" w:type="dxa"/>
          </w:tcPr>
          <w:p w14:paraId="5DACA6E3" w14:textId="77777777" w:rsidR="00906995" w:rsidRPr="00CD1402" w:rsidRDefault="00906995" w:rsidP="00DD73E8">
            <w:pPr>
              <w:pStyle w:val="ListParagraph"/>
              <w:spacing w:after="0" w:line="240" w:lineRule="auto"/>
              <w:ind w:left="0"/>
              <w:contextualSpacing/>
              <w:jc w:val="both"/>
              <w:rPr>
                <w:bCs/>
              </w:rPr>
            </w:pPr>
          </w:p>
        </w:tc>
      </w:tr>
    </w:tbl>
    <w:p w14:paraId="113E2FB9" w14:textId="77777777" w:rsidR="00461B1E" w:rsidRPr="00906995" w:rsidRDefault="00461B1E" w:rsidP="00906995">
      <w:pPr>
        <w:rPr>
          <w:rFonts w:asciiTheme="minorHAnsi" w:hAnsiTheme="minorHAnsi" w:cstheme="minorHAnsi"/>
          <w:bCs/>
        </w:rPr>
      </w:pPr>
    </w:p>
    <w:sectPr w:rsidR="00461B1E" w:rsidRPr="00906995" w:rsidSect="00E555FF">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72D97" w14:textId="77777777" w:rsidR="004D3209" w:rsidRDefault="004D3209" w:rsidP="003B53A3">
      <w:pPr>
        <w:spacing w:after="0" w:line="240" w:lineRule="auto"/>
      </w:pPr>
      <w:r>
        <w:separator/>
      </w:r>
    </w:p>
  </w:endnote>
  <w:endnote w:type="continuationSeparator" w:id="0">
    <w:p w14:paraId="3434BEBE" w14:textId="77777777" w:rsidR="004D3209" w:rsidRDefault="004D3209" w:rsidP="003B53A3">
      <w:pPr>
        <w:spacing w:after="0" w:line="240" w:lineRule="auto"/>
      </w:pPr>
      <w:r>
        <w:continuationSeparator/>
      </w:r>
    </w:p>
  </w:endnote>
  <w:endnote w:type="continuationNotice" w:id="1">
    <w:p w14:paraId="483A686B" w14:textId="77777777" w:rsidR="004D3209" w:rsidRDefault="004D32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CBE0D" w14:textId="77777777" w:rsidR="00BA44FB" w:rsidRDefault="00BA44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27D3B" w14:textId="77777777" w:rsidR="00BA44FB" w:rsidRDefault="00BA44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FD9F3" w14:textId="77777777" w:rsidR="00BA44FB" w:rsidRDefault="00BA44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B0D24" w14:textId="77777777" w:rsidR="004D3209" w:rsidRDefault="004D3209" w:rsidP="003B53A3">
      <w:pPr>
        <w:spacing w:after="0" w:line="240" w:lineRule="auto"/>
      </w:pPr>
      <w:r>
        <w:separator/>
      </w:r>
    </w:p>
  </w:footnote>
  <w:footnote w:type="continuationSeparator" w:id="0">
    <w:p w14:paraId="7680225C" w14:textId="77777777" w:rsidR="004D3209" w:rsidRDefault="004D3209" w:rsidP="003B53A3">
      <w:pPr>
        <w:spacing w:after="0" w:line="240" w:lineRule="auto"/>
      </w:pPr>
      <w:r>
        <w:continuationSeparator/>
      </w:r>
    </w:p>
  </w:footnote>
  <w:footnote w:type="continuationNotice" w:id="1">
    <w:p w14:paraId="6D149DC5" w14:textId="77777777" w:rsidR="004D3209" w:rsidRDefault="004D32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68FE4" w14:textId="77777777" w:rsidR="00BA44FB" w:rsidRDefault="00BA44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02D18" w14:textId="77777777" w:rsidR="003B53A3" w:rsidRDefault="003B53A3">
    <w:pPr>
      <w:pStyle w:val="Header"/>
    </w:pPr>
    <w:r>
      <w:rPr>
        <w:noProof/>
      </w:rPr>
      <mc:AlternateContent>
        <mc:Choice Requires="wps">
          <w:drawing>
            <wp:anchor distT="0" distB="0" distL="114300" distR="114300" simplePos="0" relativeHeight="251658240" behindDoc="0" locked="0" layoutInCell="0" allowOverlap="1" wp14:anchorId="351EF8ED" wp14:editId="00406BC0">
              <wp:simplePos x="0" y="0"/>
              <wp:positionH relativeFrom="page">
                <wp:posOffset>0</wp:posOffset>
              </wp:positionH>
              <wp:positionV relativeFrom="page">
                <wp:posOffset>190500</wp:posOffset>
              </wp:positionV>
              <wp:extent cx="7560310" cy="266700"/>
              <wp:effectExtent l="0" t="0" r="0" b="0"/>
              <wp:wrapNone/>
              <wp:docPr id="1" name="MSIPCM41a546b7aff03aec1e258cbb" descr="{&quot;HashCode&quot;:-70306879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725B73" w14:textId="28478B5F" w:rsidR="003B53A3" w:rsidRPr="003B53A3" w:rsidRDefault="003B53A3" w:rsidP="003B53A3">
                          <w:pPr>
                            <w:spacing w:after="0"/>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351EF8ED" id="_x0000_t202" coordsize="21600,21600" o:spt="202" path="m,l,21600r21600,l21600,xe">
              <v:stroke joinstyle="miter"/>
              <v:path gradientshapeok="t" o:connecttype="rect"/>
            </v:shapetype>
            <v:shape id="MSIPCM41a546b7aff03aec1e258cbb" o:spid="_x0000_s1026" type="#_x0000_t202" alt="{&quot;HashCode&quot;:-703068798,&quot;Height&quot;:841.0,&quot;Width&quot;:595.0,&quot;Placement&quot;:&quot;Header&quot;,&quot;Index&quot;:&quot;Primary&quot;,&quot;Section&quot;:1,&quot;Top&quot;:0.0,&quot;Left&quot;:0.0}" style="position:absolute;margin-left:0;margin-top:15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" o:allowincell="f" filled="f" stroked="f" strokeweight=".5pt">
              <v:textbox inset=",0,20pt,0">
                <w:txbxContent>
                  <w:p w14:paraId="42725B73" w14:textId="28478B5F" w:rsidR="003B53A3" w:rsidRPr="003B53A3" w:rsidRDefault="003B53A3" w:rsidP="003B53A3">
                    <w:pPr>
                      <w:spacing w:after="0"/>
                      <w:jc w:val="right"/>
                      <w:rPr>
                        <w:rFonts w:ascii="Calibri" w:hAnsi="Calibri" w:cs="Calibri"/>
                        <w:color w:val="000000"/>
                        <w:sz w:val="22"/>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D25AF" w14:textId="77777777" w:rsidR="00BA44FB" w:rsidRDefault="00BA44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D7728"/>
    <w:multiLevelType w:val="hybridMultilevel"/>
    <w:tmpl w:val="FFFFFFFF"/>
    <w:lvl w:ilvl="0" w:tplc="A1D883E8">
      <w:start w:val="2"/>
      <w:numFmt w:val="bullet"/>
      <w:lvlText w:val="-"/>
      <w:lvlJc w:val="left"/>
      <w:pPr>
        <w:ind w:left="720" w:hanging="360"/>
      </w:pPr>
      <w:rPr>
        <w:rFonts w:ascii="Calibri Light" w:eastAsiaTheme="minorEastAsia" w:hAnsi="Calibri Light"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F1C3A0B"/>
    <w:multiLevelType w:val="hybridMultilevel"/>
    <w:tmpl w:val="FFFFFFFF"/>
    <w:lvl w:ilvl="0" w:tplc="E3D4C17A">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CC95B35"/>
    <w:multiLevelType w:val="hybridMultilevel"/>
    <w:tmpl w:val="EB56D362"/>
    <w:lvl w:ilvl="0" w:tplc="0427000F">
      <w:start w:val="1"/>
      <w:numFmt w:val="decimal"/>
      <w:lvlText w:val="%1."/>
      <w:lvlJc w:val="left"/>
      <w:pPr>
        <w:ind w:left="206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21458183">
    <w:abstractNumId w:val="2"/>
  </w:num>
  <w:num w:numId="2" w16cid:durableId="190458695">
    <w:abstractNumId w:val="0"/>
  </w:num>
  <w:num w:numId="3" w16cid:durableId="20572668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5FF"/>
    <w:rsid w:val="00005627"/>
    <w:rsid w:val="00015CC7"/>
    <w:rsid w:val="0003436F"/>
    <w:rsid w:val="00036673"/>
    <w:rsid w:val="0004145B"/>
    <w:rsid w:val="00043130"/>
    <w:rsid w:val="0004712B"/>
    <w:rsid w:val="0005368A"/>
    <w:rsid w:val="000600F8"/>
    <w:rsid w:val="00064AD8"/>
    <w:rsid w:val="0007528A"/>
    <w:rsid w:val="000758AA"/>
    <w:rsid w:val="00082A13"/>
    <w:rsid w:val="000853BA"/>
    <w:rsid w:val="000961E0"/>
    <w:rsid w:val="000A7F2B"/>
    <w:rsid w:val="000B3CAB"/>
    <w:rsid w:val="000B502D"/>
    <w:rsid w:val="000C0715"/>
    <w:rsid w:val="000D35EA"/>
    <w:rsid w:val="000E77B9"/>
    <w:rsid w:val="000F19B2"/>
    <w:rsid w:val="00126598"/>
    <w:rsid w:val="00130492"/>
    <w:rsid w:val="00133480"/>
    <w:rsid w:val="00134697"/>
    <w:rsid w:val="00146A8A"/>
    <w:rsid w:val="0016067C"/>
    <w:rsid w:val="00166FB5"/>
    <w:rsid w:val="00167950"/>
    <w:rsid w:val="00170231"/>
    <w:rsid w:val="0017398A"/>
    <w:rsid w:val="00176E87"/>
    <w:rsid w:val="001814BF"/>
    <w:rsid w:val="001863E9"/>
    <w:rsid w:val="001B10DA"/>
    <w:rsid w:val="001C46CE"/>
    <w:rsid w:val="001D347C"/>
    <w:rsid w:val="001D7445"/>
    <w:rsid w:val="00212161"/>
    <w:rsid w:val="00231780"/>
    <w:rsid w:val="002355BC"/>
    <w:rsid w:val="002573DE"/>
    <w:rsid w:val="002927C4"/>
    <w:rsid w:val="00294553"/>
    <w:rsid w:val="002A18B8"/>
    <w:rsid w:val="002A50E4"/>
    <w:rsid w:val="002A5A95"/>
    <w:rsid w:val="002B4B3E"/>
    <w:rsid w:val="002D0023"/>
    <w:rsid w:val="002D1725"/>
    <w:rsid w:val="002D5A99"/>
    <w:rsid w:val="002D6107"/>
    <w:rsid w:val="002E39D3"/>
    <w:rsid w:val="002E79DA"/>
    <w:rsid w:val="002F3A40"/>
    <w:rsid w:val="00303C9F"/>
    <w:rsid w:val="00327820"/>
    <w:rsid w:val="0033212A"/>
    <w:rsid w:val="00336E76"/>
    <w:rsid w:val="00342F4D"/>
    <w:rsid w:val="00344805"/>
    <w:rsid w:val="00346E9B"/>
    <w:rsid w:val="0035464B"/>
    <w:rsid w:val="00354ED4"/>
    <w:rsid w:val="00360782"/>
    <w:rsid w:val="00361A06"/>
    <w:rsid w:val="00362A17"/>
    <w:rsid w:val="00365DCD"/>
    <w:rsid w:val="00372BC2"/>
    <w:rsid w:val="00390878"/>
    <w:rsid w:val="003A4037"/>
    <w:rsid w:val="003A6BC4"/>
    <w:rsid w:val="003B53A3"/>
    <w:rsid w:val="003B689E"/>
    <w:rsid w:val="003E4B20"/>
    <w:rsid w:val="003E6351"/>
    <w:rsid w:val="003F0864"/>
    <w:rsid w:val="003F2253"/>
    <w:rsid w:val="003F4472"/>
    <w:rsid w:val="003F7889"/>
    <w:rsid w:val="0040102F"/>
    <w:rsid w:val="00421824"/>
    <w:rsid w:val="004258FF"/>
    <w:rsid w:val="00426BD0"/>
    <w:rsid w:val="00436C0A"/>
    <w:rsid w:val="004379A8"/>
    <w:rsid w:val="00442BB4"/>
    <w:rsid w:val="004447D5"/>
    <w:rsid w:val="0044718E"/>
    <w:rsid w:val="00452F43"/>
    <w:rsid w:val="00461B1E"/>
    <w:rsid w:val="004629C0"/>
    <w:rsid w:val="00467F7E"/>
    <w:rsid w:val="00481CE2"/>
    <w:rsid w:val="004936BC"/>
    <w:rsid w:val="004B7AD6"/>
    <w:rsid w:val="004D1232"/>
    <w:rsid w:val="004D3209"/>
    <w:rsid w:val="004D3B2B"/>
    <w:rsid w:val="004E5D77"/>
    <w:rsid w:val="00506D01"/>
    <w:rsid w:val="005101CA"/>
    <w:rsid w:val="005168F0"/>
    <w:rsid w:val="00517308"/>
    <w:rsid w:val="00521344"/>
    <w:rsid w:val="00523D95"/>
    <w:rsid w:val="005241B2"/>
    <w:rsid w:val="0054066C"/>
    <w:rsid w:val="00541F27"/>
    <w:rsid w:val="0054589B"/>
    <w:rsid w:val="00552000"/>
    <w:rsid w:val="00563C43"/>
    <w:rsid w:val="0057005E"/>
    <w:rsid w:val="005740D7"/>
    <w:rsid w:val="00580D89"/>
    <w:rsid w:val="00584142"/>
    <w:rsid w:val="0059345D"/>
    <w:rsid w:val="00593EBE"/>
    <w:rsid w:val="00596567"/>
    <w:rsid w:val="005A7E53"/>
    <w:rsid w:val="005B719B"/>
    <w:rsid w:val="005C0B93"/>
    <w:rsid w:val="005D4E39"/>
    <w:rsid w:val="006256E5"/>
    <w:rsid w:val="00634162"/>
    <w:rsid w:val="006419B7"/>
    <w:rsid w:val="00647FF2"/>
    <w:rsid w:val="0066607A"/>
    <w:rsid w:val="0067107E"/>
    <w:rsid w:val="00671DA4"/>
    <w:rsid w:val="006824EC"/>
    <w:rsid w:val="00682F3B"/>
    <w:rsid w:val="0069403A"/>
    <w:rsid w:val="006B1B97"/>
    <w:rsid w:val="006B1EC2"/>
    <w:rsid w:val="006B320F"/>
    <w:rsid w:val="006B67E2"/>
    <w:rsid w:val="006D1572"/>
    <w:rsid w:val="006D22AF"/>
    <w:rsid w:val="006D2956"/>
    <w:rsid w:val="006E700D"/>
    <w:rsid w:val="006E7D47"/>
    <w:rsid w:val="006F434F"/>
    <w:rsid w:val="006F6E84"/>
    <w:rsid w:val="00706D13"/>
    <w:rsid w:val="007302CA"/>
    <w:rsid w:val="007443B1"/>
    <w:rsid w:val="007556F1"/>
    <w:rsid w:val="00756A52"/>
    <w:rsid w:val="0077056B"/>
    <w:rsid w:val="0077301E"/>
    <w:rsid w:val="00777401"/>
    <w:rsid w:val="00786EED"/>
    <w:rsid w:val="00791CE4"/>
    <w:rsid w:val="00793438"/>
    <w:rsid w:val="00797BF8"/>
    <w:rsid w:val="007A16CE"/>
    <w:rsid w:val="007A2F10"/>
    <w:rsid w:val="007B202A"/>
    <w:rsid w:val="007B37DB"/>
    <w:rsid w:val="007B7011"/>
    <w:rsid w:val="007C3F51"/>
    <w:rsid w:val="007D5709"/>
    <w:rsid w:val="007E7444"/>
    <w:rsid w:val="007F01DE"/>
    <w:rsid w:val="007F4CFE"/>
    <w:rsid w:val="007F7065"/>
    <w:rsid w:val="00805211"/>
    <w:rsid w:val="00822798"/>
    <w:rsid w:val="00831C88"/>
    <w:rsid w:val="00836502"/>
    <w:rsid w:val="00841200"/>
    <w:rsid w:val="008664F1"/>
    <w:rsid w:val="00874BD9"/>
    <w:rsid w:val="0087578D"/>
    <w:rsid w:val="0088166D"/>
    <w:rsid w:val="008852E6"/>
    <w:rsid w:val="008858C5"/>
    <w:rsid w:val="00885A00"/>
    <w:rsid w:val="00894EEC"/>
    <w:rsid w:val="00895215"/>
    <w:rsid w:val="008A661C"/>
    <w:rsid w:val="008B13A3"/>
    <w:rsid w:val="008B46CF"/>
    <w:rsid w:val="008B7B63"/>
    <w:rsid w:val="008C0E15"/>
    <w:rsid w:val="008C3197"/>
    <w:rsid w:val="008C615A"/>
    <w:rsid w:val="008D5F57"/>
    <w:rsid w:val="008E486B"/>
    <w:rsid w:val="008E64AD"/>
    <w:rsid w:val="00903DB0"/>
    <w:rsid w:val="00906995"/>
    <w:rsid w:val="00924317"/>
    <w:rsid w:val="009247CD"/>
    <w:rsid w:val="0093554E"/>
    <w:rsid w:val="009450BD"/>
    <w:rsid w:val="00945B33"/>
    <w:rsid w:val="00947238"/>
    <w:rsid w:val="00960306"/>
    <w:rsid w:val="00964C15"/>
    <w:rsid w:val="00964FEA"/>
    <w:rsid w:val="00970524"/>
    <w:rsid w:val="00974A5E"/>
    <w:rsid w:val="009766D2"/>
    <w:rsid w:val="0099291C"/>
    <w:rsid w:val="009963D0"/>
    <w:rsid w:val="009A50DE"/>
    <w:rsid w:val="009B2D8F"/>
    <w:rsid w:val="009B4926"/>
    <w:rsid w:val="009B6CBD"/>
    <w:rsid w:val="009F110D"/>
    <w:rsid w:val="009F29C1"/>
    <w:rsid w:val="009F6635"/>
    <w:rsid w:val="00A0346A"/>
    <w:rsid w:val="00A040DA"/>
    <w:rsid w:val="00A06C69"/>
    <w:rsid w:val="00A319FA"/>
    <w:rsid w:val="00A57A28"/>
    <w:rsid w:val="00A67D83"/>
    <w:rsid w:val="00A90AD4"/>
    <w:rsid w:val="00A929B1"/>
    <w:rsid w:val="00AA2DBA"/>
    <w:rsid w:val="00AB63A2"/>
    <w:rsid w:val="00AC24BB"/>
    <w:rsid w:val="00AE539F"/>
    <w:rsid w:val="00AE6382"/>
    <w:rsid w:val="00B20BA5"/>
    <w:rsid w:val="00B24AF1"/>
    <w:rsid w:val="00B43052"/>
    <w:rsid w:val="00B56CBA"/>
    <w:rsid w:val="00B6243E"/>
    <w:rsid w:val="00B7325F"/>
    <w:rsid w:val="00B90AC5"/>
    <w:rsid w:val="00B93B28"/>
    <w:rsid w:val="00BA44FB"/>
    <w:rsid w:val="00BA4E75"/>
    <w:rsid w:val="00BB2885"/>
    <w:rsid w:val="00BC0A32"/>
    <w:rsid w:val="00BC4B6A"/>
    <w:rsid w:val="00BC7F38"/>
    <w:rsid w:val="00BD167A"/>
    <w:rsid w:val="00BE63A9"/>
    <w:rsid w:val="00C00D37"/>
    <w:rsid w:val="00C00DF3"/>
    <w:rsid w:val="00C02BBE"/>
    <w:rsid w:val="00C057AC"/>
    <w:rsid w:val="00C059A4"/>
    <w:rsid w:val="00C25E0B"/>
    <w:rsid w:val="00C269E9"/>
    <w:rsid w:val="00C54E08"/>
    <w:rsid w:val="00C55763"/>
    <w:rsid w:val="00C66B1E"/>
    <w:rsid w:val="00C70F9A"/>
    <w:rsid w:val="00C73794"/>
    <w:rsid w:val="00C81E49"/>
    <w:rsid w:val="00C90737"/>
    <w:rsid w:val="00C91CA6"/>
    <w:rsid w:val="00CB0B21"/>
    <w:rsid w:val="00CB3EA8"/>
    <w:rsid w:val="00CC5B50"/>
    <w:rsid w:val="00CC7D07"/>
    <w:rsid w:val="00CD1402"/>
    <w:rsid w:val="00CE0ADC"/>
    <w:rsid w:val="00CE1F8C"/>
    <w:rsid w:val="00CE4795"/>
    <w:rsid w:val="00CF4DFE"/>
    <w:rsid w:val="00CF6631"/>
    <w:rsid w:val="00CF7D54"/>
    <w:rsid w:val="00D01B71"/>
    <w:rsid w:val="00D01E34"/>
    <w:rsid w:val="00D0306E"/>
    <w:rsid w:val="00D146F4"/>
    <w:rsid w:val="00D201EC"/>
    <w:rsid w:val="00D21B7C"/>
    <w:rsid w:val="00D4767A"/>
    <w:rsid w:val="00D749AB"/>
    <w:rsid w:val="00D7550A"/>
    <w:rsid w:val="00D85156"/>
    <w:rsid w:val="00D92E38"/>
    <w:rsid w:val="00D968EB"/>
    <w:rsid w:val="00D96A24"/>
    <w:rsid w:val="00DA708E"/>
    <w:rsid w:val="00DB79EC"/>
    <w:rsid w:val="00DC10D1"/>
    <w:rsid w:val="00DD4CC1"/>
    <w:rsid w:val="00DD59C7"/>
    <w:rsid w:val="00DD6484"/>
    <w:rsid w:val="00DE0103"/>
    <w:rsid w:val="00DE0810"/>
    <w:rsid w:val="00DE21D9"/>
    <w:rsid w:val="00DF432B"/>
    <w:rsid w:val="00DF528C"/>
    <w:rsid w:val="00E00567"/>
    <w:rsid w:val="00E04ABE"/>
    <w:rsid w:val="00E1007B"/>
    <w:rsid w:val="00E17F28"/>
    <w:rsid w:val="00E21030"/>
    <w:rsid w:val="00E42ADF"/>
    <w:rsid w:val="00E503ED"/>
    <w:rsid w:val="00E555FF"/>
    <w:rsid w:val="00E7497A"/>
    <w:rsid w:val="00E74D86"/>
    <w:rsid w:val="00E8614F"/>
    <w:rsid w:val="00EB0F15"/>
    <w:rsid w:val="00EE4BAD"/>
    <w:rsid w:val="00EE5232"/>
    <w:rsid w:val="00EE58CE"/>
    <w:rsid w:val="00EF0715"/>
    <w:rsid w:val="00EF68E6"/>
    <w:rsid w:val="00EF74B9"/>
    <w:rsid w:val="00EF7787"/>
    <w:rsid w:val="00F01C5B"/>
    <w:rsid w:val="00F14D58"/>
    <w:rsid w:val="00F22A7C"/>
    <w:rsid w:val="00F4554E"/>
    <w:rsid w:val="00F46D39"/>
    <w:rsid w:val="00F572B7"/>
    <w:rsid w:val="00F63EE1"/>
    <w:rsid w:val="00F64B73"/>
    <w:rsid w:val="00F66556"/>
    <w:rsid w:val="00F7175F"/>
    <w:rsid w:val="00F935E8"/>
    <w:rsid w:val="00F966C9"/>
    <w:rsid w:val="00F97479"/>
    <w:rsid w:val="00FA5950"/>
    <w:rsid w:val="00FA68BB"/>
    <w:rsid w:val="00FB201A"/>
    <w:rsid w:val="00FB2E5B"/>
    <w:rsid w:val="00FC09A3"/>
    <w:rsid w:val="00FC40C9"/>
    <w:rsid w:val="00FD4834"/>
    <w:rsid w:val="00FE5DD5"/>
    <w:rsid w:val="00FE7B7D"/>
    <w:rsid w:val="00FF10F2"/>
    <w:rsid w:val="00FF6B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143EC"/>
  <w15:docId w15:val="{9D1D0542-CE87-4064-9893-F15932C9E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5FF"/>
    <w:pPr>
      <w:spacing w:after="200" w:line="276"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Bullet Number,lp11,Num Bullet 1,Liste 1"/>
    <w:basedOn w:val="Normal"/>
    <w:link w:val="ListParagraphChar"/>
    <w:uiPriority w:val="34"/>
    <w:qFormat/>
    <w:rsid w:val="00E555FF"/>
    <w:pPr>
      <w:ind w:left="720"/>
    </w:pPr>
  </w:style>
  <w:style w:type="character" w:styleId="Strong">
    <w:name w:val="Strong"/>
    <w:uiPriority w:val="22"/>
    <w:qFormat/>
    <w:rsid w:val="00E555FF"/>
    <w:rPr>
      <w:b/>
      <w:bCs/>
    </w:rPr>
  </w:style>
  <w:style w:type="paragraph" w:styleId="NormalWeb">
    <w:name w:val="Normal (Web)"/>
    <w:basedOn w:val="Normal"/>
    <w:rsid w:val="00E555FF"/>
    <w:pPr>
      <w:spacing w:before="100" w:after="100" w:line="240" w:lineRule="auto"/>
    </w:pPr>
    <w:rPr>
      <w:rFonts w:eastAsia="Times New Roman"/>
      <w:szCs w:val="20"/>
    </w:rPr>
  </w:style>
  <w:style w:type="paragraph" w:styleId="BalloonText">
    <w:name w:val="Balloon Text"/>
    <w:basedOn w:val="Normal"/>
    <w:link w:val="BalloonTextChar"/>
    <w:uiPriority w:val="99"/>
    <w:semiHidden/>
    <w:unhideWhenUsed/>
    <w:rsid w:val="00346E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6E9B"/>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6B320F"/>
    <w:rPr>
      <w:sz w:val="16"/>
      <w:szCs w:val="16"/>
    </w:rPr>
  </w:style>
  <w:style w:type="paragraph" w:styleId="CommentText">
    <w:name w:val="annotation text"/>
    <w:basedOn w:val="Normal"/>
    <w:link w:val="CommentTextChar"/>
    <w:uiPriority w:val="99"/>
    <w:unhideWhenUsed/>
    <w:rsid w:val="006B320F"/>
    <w:pPr>
      <w:spacing w:line="240" w:lineRule="auto"/>
    </w:pPr>
    <w:rPr>
      <w:sz w:val="20"/>
      <w:szCs w:val="20"/>
    </w:rPr>
  </w:style>
  <w:style w:type="character" w:customStyle="1" w:styleId="CommentTextChar">
    <w:name w:val="Comment Text Char"/>
    <w:basedOn w:val="DefaultParagraphFont"/>
    <w:link w:val="CommentText"/>
    <w:uiPriority w:val="99"/>
    <w:rsid w:val="006B320F"/>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B320F"/>
    <w:rPr>
      <w:b/>
      <w:bCs/>
    </w:rPr>
  </w:style>
  <w:style w:type="character" w:customStyle="1" w:styleId="CommentSubjectChar">
    <w:name w:val="Comment Subject Char"/>
    <w:basedOn w:val="CommentTextChar"/>
    <w:link w:val="CommentSubject"/>
    <w:uiPriority w:val="99"/>
    <w:semiHidden/>
    <w:rsid w:val="006B320F"/>
    <w:rPr>
      <w:rFonts w:ascii="Times New Roman" w:eastAsia="Calibri" w:hAnsi="Times New Roman" w:cs="Times New Roman"/>
      <w:b/>
      <w:bCs/>
      <w:sz w:val="20"/>
      <w:szCs w:val="20"/>
    </w:rPr>
  </w:style>
  <w:style w:type="paragraph" w:styleId="Header">
    <w:name w:val="header"/>
    <w:basedOn w:val="Normal"/>
    <w:link w:val="HeaderChar"/>
    <w:uiPriority w:val="99"/>
    <w:unhideWhenUsed/>
    <w:rsid w:val="003B53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53A3"/>
    <w:rPr>
      <w:rFonts w:ascii="Times New Roman" w:eastAsia="Calibri" w:hAnsi="Times New Roman" w:cs="Times New Roman"/>
      <w:sz w:val="24"/>
      <w:szCs w:val="24"/>
    </w:rPr>
  </w:style>
  <w:style w:type="paragraph" w:styleId="Footer">
    <w:name w:val="footer"/>
    <w:basedOn w:val="Normal"/>
    <w:link w:val="FooterChar"/>
    <w:uiPriority w:val="99"/>
    <w:unhideWhenUsed/>
    <w:rsid w:val="003B53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53A3"/>
    <w:rPr>
      <w:rFonts w:ascii="Times New Roman" w:eastAsia="Calibri" w:hAnsi="Times New Roman" w:cs="Times New Roman"/>
      <w:sz w:val="24"/>
      <w:szCs w:val="24"/>
    </w:rPr>
  </w:style>
  <w:style w:type="paragraph" w:styleId="Revision">
    <w:name w:val="Revision"/>
    <w:hidden/>
    <w:uiPriority w:val="99"/>
    <w:semiHidden/>
    <w:rsid w:val="00F46D39"/>
    <w:rPr>
      <w:rFonts w:ascii="Times New Roman" w:eastAsia="Calibri"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16067C"/>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43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85BEB-B4F8-4775-AE7B-A7009B07C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2</Pages>
  <Words>708</Words>
  <Characters>4037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Linas Pakšys</dc:creator>
  <cp:lastModifiedBy>Kristina Juodikienė</cp:lastModifiedBy>
  <cp:revision>14</cp:revision>
  <dcterms:created xsi:type="dcterms:W3CDTF">2025-09-24T08:13:00Z</dcterms:created>
  <dcterms:modified xsi:type="dcterms:W3CDTF">2025-10-09T12:09:00Z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Martynas.Klimanskas@datalogistics.lt</vt:lpwstr>
  </property>
  <property fmtid="{D5CDD505-2E9C-101B-9397-08002B2CF9AE}" pid="5" name="MSIP_Label_320c693d-44b7-4e16-b3dd-4fcd87401cf5_SetDate">
    <vt:lpwstr>2019-10-01T12:16:30.1629049Z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eab7850c-53f0-4a70-bbaa-52e2da7ac9a4</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iteId">
    <vt:lpwstr>ea88e983-d65a-47b3-adb4-3e1c6d2110d2</vt:lpwstr>
  </property>
  <property fmtid="{D5CDD505-2E9C-101B-9397-08002B2CF9AE}" pid="12" name="MSIP_Label_190751af-2442-49a7-b7b9-9f0bcce858c9_Owner">
    <vt:lpwstr>Martynas.Klimanskas@datalogistics.lt</vt:lpwstr>
  </property>
  <property fmtid="{D5CDD505-2E9C-101B-9397-08002B2CF9AE}" pid="13" name="MSIP_Label_190751af-2442-49a7-b7b9-9f0bcce858c9_SetDate">
    <vt:lpwstr>2019-10-01T12:16:30.1629049Z</vt:lpwstr>
  </property>
  <property fmtid="{D5CDD505-2E9C-101B-9397-08002B2CF9AE}" pid="14" name="MSIP_Label_190751af-2442-49a7-b7b9-9f0bcce858c9_Name">
    <vt:lpwstr>Be žymos</vt:lpwstr>
  </property>
  <property fmtid="{D5CDD505-2E9C-101B-9397-08002B2CF9AE}" pid="15" name="MSIP_Label_190751af-2442-49a7-b7b9-9f0bcce858c9_Application">
    <vt:lpwstr>Microsoft Azure Information Protection</vt:lpwstr>
  </property>
  <property fmtid="{D5CDD505-2E9C-101B-9397-08002B2CF9AE}" pid="16" name="MSIP_Label_190751af-2442-49a7-b7b9-9f0bcce858c9_ActionId">
    <vt:lpwstr>eab7850c-53f0-4a70-bbaa-52e2da7ac9a4</vt:lpwstr>
  </property>
  <property fmtid="{D5CDD505-2E9C-101B-9397-08002B2CF9AE}" pid="17" name="MSIP_Label_190751af-2442-49a7-b7b9-9f0bcce858c9_Parent">
    <vt:lpwstr>320c693d-44b7-4e16-b3dd-4fcd87401cf5</vt:lpwstr>
  </property>
  <property fmtid="{D5CDD505-2E9C-101B-9397-08002B2CF9AE}" pid="18" name="MSIP_Label_190751af-2442-49a7-b7b9-9f0bcce858c9_Extended_MSFT_Method">
    <vt:lpwstr>Manual</vt:lpwstr>
  </property>
  <property fmtid="{D5CDD505-2E9C-101B-9397-08002B2CF9AE}" pid="19" name="Sensitivity">
    <vt:lpwstr>Viešo naudojimo Be žymos</vt:lpwstr>
  </property>
</Properties>
</file>