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1869" w14:textId="77777777" w:rsidR="00E9383B" w:rsidRDefault="00E9383B" w:rsidP="00E9383B">
      <w:pPr>
        <w:pStyle w:val="Paantrat"/>
        <w:spacing w:line="240" w:lineRule="auto"/>
        <w:jc w:val="center"/>
        <w:rPr>
          <w:lang w:eastAsia="en-US"/>
        </w:rPr>
      </w:pPr>
      <w:r w:rsidRPr="00713A11">
        <w:rPr>
          <w:smallCaps/>
        </w:rPr>
        <w:t xml:space="preserve">TIEKĖJŲ KVALIFIKACIJOS REIKALAVIMAI IR REIKALAVIMAI LAIKYTIS </w:t>
      </w:r>
      <w:r w:rsidRPr="00713A11">
        <w:rPr>
          <w:lang w:eastAsia="en-US"/>
        </w:rPr>
        <w:t>KOKYBĖS VADYBOS SISTEMOS IR (ARBA) APLINKOS APSAUGOS VADYBOS SISTEMOS STANDARTŲ</w:t>
      </w:r>
    </w:p>
    <w:p w14:paraId="435C46AD" w14:textId="77777777" w:rsidR="00B047CB" w:rsidRPr="006E3E2C" w:rsidRDefault="00B047CB" w:rsidP="00B047CB">
      <w:pPr>
        <w:pStyle w:val="Paantrat"/>
        <w:spacing w:after="0" w:line="240" w:lineRule="auto"/>
        <w:jc w:val="center"/>
        <w:rPr>
          <w:b/>
          <w:bCs/>
        </w:rPr>
      </w:pPr>
      <w:r w:rsidRPr="006E3E2C">
        <w:rPr>
          <w:b/>
          <w:bCs/>
        </w:rPr>
        <w:t xml:space="preserve">KAPINIŲ TAKO IR KITOS INFRASTRUKTŪROS ĮRENGIMO DARBAI </w:t>
      </w:r>
    </w:p>
    <w:p w14:paraId="46103C54" w14:textId="67579CF0" w:rsidR="00B047CB" w:rsidRPr="00CB7C7B" w:rsidRDefault="00B047CB" w:rsidP="00B047CB">
      <w:pPr>
        <w:pStyle w:val="Paantrat"/>
        <w:spacing w:after="0" w:line="240" w:lineRule="auto"/>
        <w:jc w:val="center"/>
        <w:rPr>
          <w:rFonts w:cstheme="minorHAnsi"/>
          <w:i/>
          <w:iCs/>
          <w:caps/>
          <w:color w:val="7030A0"/>
          <w:sz w:val="24"/>
          <w:szCs w:val="24"/>
        </w:rPr>
      </w:pPr>
      <w:r>
        <w:rPr>
          <w:rFonts w:cstheme="minorHAnsi"/>
          <w:b/>
          <w:bCs/>
          <w:sz w:val="24"/>
          <w:szCs w:val="24"/>
        </w:rPr>
        <w:t>I</w:t>
      </w:r>
      <w:r w:rsidR="003A7B7E">
        <w:rPr>
          <w:rFonts w:cstheme="minorHAnsi"/>
          <w:b/>
          <w:bCs/>
          <w:sz w:val="24"/>
          <w:szCs w:val="24"/>
        </w:rPr>
        <w:t>I</w:t>
      </w:r>
      <w:r w:rsidRPr="00CB7C7B">
        <w:rPr>
          <w:rFonts w:cstheme="minorHAnsi"/>
          <w:b/>
          <w:bCs/>
          <w:sz w:val="24"/>
          <w:szCs w:val="24"/>
        </w:rPr>
        <w:t xml:space="preserve"> PIRKIMO DALIS</w:t>
      </w:r>
      <w:r w:rsidRPr="00CB7C7B">
        <w:rPr>
          <w:rFonts w:cstheme="minorHAnsi"/>
          <w:sz w:val="24"/>
          <w:szCs w:val="24"/>
        </w:rPr>
        <w:t xml:space="preserve"> - </w:t>
      </w:r>
      <w:r w:rsidR="00B67C64" w:rsidRPr="00001E31">
        <w:rPr>
          <w:rFonts w:cstheme="minorHAnsi"/>
          <w:bCs/>
          <w:iCs/>
          <w:sz w:val="24"/>
          <w:szCs w:val="24"/>
        </w:rPr>
        <w:t xml:space="preserve">Kapinių apšvietimo įrengimo darbai  </w:t>
      </w:r>
      <w:r w:rsidR="00B67C64" w:rsidRPr="00001E31">
        <w:rPr>
          <w:rFonts w:cstheme="minorHAnsi"/>
          <w:sz w:val="24"/>
          <w:szCs w:val="24"/>
        </w:rPr>
        <w:t>Mažeikių stačiatikių ir evangelikų liuteronų kapinėse Aitvaro gatvėje</w:t>
      </w:r>
    </w:p>
    <w:p w14:paraId="77E7486A" w14:textId="77777777" w:rsidR="00B047CB" w:rsidRPr="00867F71" w:rsidRDefault="00B047CB" w:rsidP="00B047CB">
      <w:pPr>
        <w:rPr>
          <w:lang w:eastAsia="en-US"/>
        </w:rPr>
      </w:pPr>
    </w:p>
    <w:p w14:paraId="7ED20BE8" w14:textId="77777777" w:rsidR="00B047CB" w:rsidRPr="00C6631A" w:rsidRDefault="00B047CB" w:rsidP="00B047CB">
      <w:pPr>
        <w:pStyle w:val="Sraopastraipa"/>
        <w:numPr>
          <w:ilvl w:val="0"/>
          <w:numId w:val="13"/>
        </w:numPr>
        <w:tabs>
          <w:tab w:val="left" w:pos="993"/>
        </w:tabs>
        <w:spacing w:after="0" w:line="240" w:lineRule="auto"/>
        <w:ind w:left="0" w:firstLine="709"/>
        <w:jc w:val="both"/>
        <w:rPr>
          <w:rFonts w:cstheme="minorHAnsi"/>
          <w:i/>
        </w:rPr>
      </w:pPr>
      <w:r w:rsidRPr="00C6631A">
        <w:rPr>
          <w:rFonts w:cstheme="minorHAnsi"/>
        </w:rPr>
        <w:t xml:space="preserve">Tiekėjo kvalifikacija turi atitikti šiame priede nustatytus reikalavimus kvalifikacijai. </w:t>
      </w:r>
      <w:r w:rsidRPr="00C6631A">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C6631A">
        <w:rPr>
          <w:i/>
          <w:iCs/>
        </w:rPr>
        <w:t xml:space="preserve"> </w:t>
      </w:r>
    </w:p>
    <w:p w14:paraId="5B1FB7CB" w14:textId="77777777" w:rsidR="00B047CB" w:rsidRPr="00C6631A" w:rsidRDefault="00B047CB" w:rsidP="00B047CB">
      <w:pPr>
        <w:pStyle w:val="Sraopastraipa"/>
        <w:numPr>
          <w:ilvl w:val="0"/>
          <w:numId w:val="13"/>
        </w:numPr>
        <w:tabs>
          <w:tab w:val="left" w:pos="851"/>
          <w:tab w:val="left" w:pos="993"/>
        </w:tabs>
        <w:spacing w:after="0" w:line="240" w:lineRule="auto"/>
        <w:ind w:left="0" w:firstLine="709"/>
        <w:jc w:val="both"/>
        <w:rPr>
          <w:rFonts w:cstheme="minorHAnsi"/>
        </w:rPr>
      </w:pPr>
      <w:r w:rsidRPr="00C6631A">
        <w:rPr>
          <w:rFonts w:cstheme="minorHAnsi"/>
        </w:rPr>
        <w:t>Kai tiekėjas remiasi kitų ūkio subjektų pajėgumais, kad atitiktų nustatytus ekonominio ir finansinio pajėgumo reikalavimus</w:t>
      </w:r>
      <w:r w:rsidRPr="00C6631A">
        <w:rPr>
          <w:rFonts w:eastAsia="Calibri" w:cstheme="minorHAnsi"/>
          <w:color w:val="7030A0"/>
        </w:rPr>
        <w:t xml:space="preserve">, </w:t>
      </w:r>
      <w:r w:rsidRPr="00C6631A">
        <w:rPr>
          <w:rFonts w:eastAsia="Calibri" w:cstheme="minorHAnsi"/>
        </w:rPr>
        <w:t xml:space="preserve">jie </w:t>
      </w:r>
      <w:r w:rsidRPr="00C6631A">
        <w:rPr>
          <w:rFonts w:cstheme="minorHAnsi"/>
        </w:rPr>
        <w:t>privalo prisiimti solidarią atsakomybę už sutarties įvykdymą</w:t>
      </w:r>
      <w:r w:rsidRPr="00C6631A">
        <w:t>, kartu turi atitikti šiame priede nustatytus reikalavimus ir pateikti nurodytus dokumentus:</w:t>
      </w:r>
      <w:r w:rsidRPr="00C6631A">
        <w:rPr>
          <w:rFonts w:eastAsia="Calibri" w:cstheme="minorHAnsi"/>
        </w:rPr>
        <w:t xml:space="preserve"> </w:t>
      </w:r>
    </w:p>
    <w:p w14:paraId="6ADAD1F7" w14:textId="77777777" w:rsidR="00B047CB" w:rsidRPr="00C6631A" w:rsidRDefault="00B047CB" w:rsidP="00B047CB">
      <w:pPr>
        <w:pStyle w:val="Sraopastraipa"/>
        <w:tabs>
          <w:tab w:val="left" w:pos="851"/>
          <w:tab w:val="left" w:pos="993"/>
        </w:tabs>
        <w:spacing w:after="0" w:line="240" w:lineRule="auto"/>
        <w:ind w:left="709"/>
        <w:jc w:val="both"/>
        <w:rPr>
          <w:rFonts w:cstheme="minorHAnsi"/>
        </w:rPr>
      </w:pPr>
      <w:r w:rsidRPr="00C6631A">
        <w:rPr>
          <w:rFonts w:eastAsia="Calibri" w:cstheme="minorHAn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B047CB" w:rsidRPr="00C6631A" w14:paraId="2C77E48C" w14:textId="77777777" w:rsidTr="00E94D8B">
        <w:trPr>
          <w:cantSplit/>
          <w:tblHeader/>
        </w:trPr>
        <w:tc>
          <w:tcPr>
            <w:tcW w:w="763" w:type="dxa"/>
            <w:tcMar>
              <w:top w:w="0" w:type="dxa"/>
              <w:left w:w="108" w:type="dxa"/>
              <w:bottom w:w="0" w:type="dxa"/>
              <w:right w:w="108" w:type="dxa"/>
            </w:tcMar>
            <w:vAlign w:val="center"/>
            <w:hideMark/>
          </w:tcPr>
          <w:p w14:paraId="67B5EE29" w14:textId="77777777" w:rsidR="00B047CB" w:rsidRPr="00C6631A" w:rsidRDefault="00B047CB" w:rsidP="00E94D8B">
            <w:pPr>
              <w:spacing w:after="0" w:line="240" w:lineRule="auto"/>
              <w:rPr>
                <w:b/>
                <w:bCs/>
              </w:rPr>
            </w:pPr>
            <w:r w:rsidRPr="00C6631A">
              <w:rPr>
                <w:b/>
                <w:bCs/>
              </w:rPr>
              <w:t>Eil. Nr.</w:t>
            </w:r>
          </w:p>
        </w:tc>
        <w:tc>
          <w:tcPr>
            <w:tcW w:w="4627" w:type="dxa"/>
            <w:tcMar>
              <w:top w:w="0" w:type="dxa"/>
              <w:left w:w="108" w:type="dxa"/>
              <w:bottom w:w="0" w:type="dxa"/>
              <w:right w:w="108" w:type="dxa"/>
            </w:tcMar>
            <w:vAlign w:val="center"/>
            <w:hideMark/>
          </w:tcPr>
          <w:p w14:paraId="497E776E" w14:textId="77777777" w:rsidR="00B047CB" w:rsidRPr="00C6631A" w:rsidRDefault="00B047CB" w:rsidP="00E94D8B">
            <w:pPr>
              <w:spacing w:after="0" w:line="240" w:lineRule="auto"/>
              <w:rPr>
                <w:b/>
                <w:bCs/>
              </w:rPr>
            </w:pPr>
            <w:r w:rsidRPr="00C6631A">
              <w:rPr>
                <w:b/>
                <w:bCs/>
              </w:rPr>
              <w:t>Kvalifikacijos reikalavimai</w:t>
            </w:r>
          </w:p>
        </w:tc>
        <w:tc>
          <w:tcPr>
            <w:tcW w:w="4391" w:type="dxa"/>
            <w:tcMar>
              <w:top w:w="0" w:type="dxa"/>
              <w:left w:w="108" w:type="dxa"/>
              <w:bottom w:w="0" w:type="dxa"/>
              <w:right w:w="108" w:type="dxa"/>
            </w:tcMar>
            <w:vAlign w:val="center"/>
            <w:hideMark/>
          </w:tcPr>
          <w:p w14:paraId="13B89D51" w14:textId="77777777" w:rsidR="00B047CB" w:rsidRPr="00C6631A" w:rsidRDefault="00B047CB" w:rsidP="00E94D8B">
            <w:pPr>
              <w:spacing w:after="0" w:line="240" w:lineRule="auto"/>
              <w:rPr>
                <w:b/>
                <w:bCs/>
              </w:rPr>
            </w:pPr>
            <w:r w:rsidRPr="00C6631A">
              <w:rPr>
                <w:b/>
                <w:bCs/>
              </w:rPr>
              <w:t>Patvirtinančių dokumentų sąrašas</w:t>
            </w:r>
          </w:p>
        </w:tc>
      </w:tr>
      <w:tr w:rsidR="00B047CB" w:rsidRPr="00C6631A" w14:paraId="05A78978" w14:textId="77777777" w:rsidTr="00E94D8B">
        <w:trPr>
          <w:trHeight w:val="357"/>
        </w:trPr>
        <w:tc>
          <w:tcPr>
            <w:tcW w:w="9781" w:type="dxa"/>
            <w:gridSpan w:val="3"/>
            <w:tcMar>
              <w:top w:w="0" w:type="dxa"/>
              <w:left w:w="108" w:type="dxa"/>
              <w:bottom w:w="0" w:type="dxa"/>
              <w:right w:w="108" w:type="dxa"/>
            </w:tcMar>
            <w:hideMark/>
          </w:tcPr>
          <w:p w14:paraId="0E87AA93" w14:textId="77777777" w:rsidR="00B047CB" w:rsidRPr="00C6631A" w:rsidRDefault="00B047CB" w:rsidP="00E94D8B">
            <w:pPr>
              <w:spacing w:after="0" w:line="240" w:lineRule="auto"/>
              <w:jc w:val="center"/>
            </w:pPr>
            <w:r>
              <w:rPr>
                <w:b/>
                <w:bCs/>
                <w:i/>
                <w:iCs/>
              </w:rPr>
              <w:t>Teisė verstis veikla</w:t>
            </w:r>
          </w:p>
        </w:tc>
      </w:tr>
      <w:tr w:rsidR="00B047CB" w:rsidRPr="00C6631A" w14:paraId="48581B59" w14:textId="77777777" w:rsidTr="00E94D8B">
        <w:tc>
          <w:tcPr>
            <w:tcW w:w="763" w:type="dxa"/>
            <w:tcMar>
              <w:top w:w="0" w:type="dxa"/>
              <w:left w:w="108" w:type="dxa"/>
              <w:bottom w:w="0" w:type="dxa"/>
              <w:right w:w="108" w:type="dxa"/>
            </w:tcMar>
          </w:tcPr>
          <w:p w14:paraId="07517FB0" w14:textId="77777777" w:rsidR="00B047CB" w:rsidRPr="00C6631A" w:rsidRDefault="00B047CB" w:rsidP="00E94D8B">
            <w:pPr>
              <w:spacing w:after="0" w:line="240" w:lineRule="auto"/>
            </w:pPr>
            <w:r>
              <w:t>2.1</w:t>
            </w:r>
          </w:p>
        </w:tc>
        <w:tc>
          <w:tcPr>
            <w:tcW w:w="4627" w:type="dxa"/>
            <w:tcMar>
              <w:top w:w="0" w:type="dxa"/>
              <w:left w:w="108" w:type="dxa"/>
              <w:bottom w:w="0" w:type="dxa"/>
              <w:right w:w="108" w:type="dxa"/>
            </w:tcMar>
          </w:tcPr>
          <w:p w14:paraId="5C9C342A" w14:textId="77777777" w:rsidR="00B047CB" w:rsidRPr="00106940" w:rsidRDefault="00B047CB" w:rsidP="00E94D8B">
            <w:pPr>
              <w:spacing w:after="0" w:line="240" w:lineRule="auto"/>
              <w:jc w:val="both"/>
              <w:rPr>
                <w:rFonts w:cstheme="minorHAnsi"/>
                <w:iCs/>
              </w:rPr>
            </w:pPr>
            <w:r w:rsidRPr="00106940">
              <w:rPr>
                <w:rFonts w:cstheme="minorHAnsi"/>
                <w:bCs/>
              </w:rPr>
              <w:t>Tiekėjas</w:t>
            </w:r>
            <w:r w:rsidRPr="00106940">
              <w:rPr>
                <w:rFonts w:cstheme="minorHAnsi"/>
                <w:iCs/>
              </w:rPr>
              <w:t xml:space="preserve"> turi </w:t>
            </w:r>
            <w:r>
              <w:rPr>
                <w:rFonts w:cstheme="minorHAnsi"/>
                <w:iCs/>
              </w:rPr>
              <w:t xml:space="preserve">turėti </w:t>
            </w:r>
            <w:r w:rsidRPr="00106940">
              <w:rPr>
                <w:rFonts w:cstheme="minorHAnsi"/>
                <w:iCs/>
              </w:rPr>
              <w:t>teisę:</w:t>
            </w:r>
          </w:p>
          <w:p w14:paraId="6F8A160F" w14:textId="77777777" w:rsidR="00B047CB" w:rsidRPr="00106940" w:rsidRDefault="00B047CB" w:rsidP="00E94D8B">
            <w:pPr>
              <w:spacing w:after="0" w:line="240" w:lineRule="auto"/>
              <w:jc w:val="both"/>
              <w:rPr>
                <w:rFonts w:cstheme="minorHAnsi"/>
                <w:iCs/>
              </w:rPr>
            </w:pPr>
            <w:r w:rsidRPr="00106940">
              <w:rPr>
                <w:rFonts w:cstheme="minorHAnsi"/>
                <w:iCs/>
              </w:rPr>
              <w:t>1. atlikti elektros įrenginių iki 1000V įrengimo  darbus;</w:t>
            </w:r>
          </w:p>
          <w:p w14:paraId="1F7D1F62" w14:textId="77777777" w:rsidR="00B047CB" w:rsidRPr="00106940" w:rsidRDefault="00B047CB" w:rsidP="00E94D8B">
            <w:pPr>
              <w:spacing w:after="0" w:line="240" w:lineRule="auto"/>
              <w:jc w:val="both"/>
              <w:rPr>
                <w:rFonts w:cstheme="minorHAnsi"/>
                <w:iCs/>
              </w:rPr>
            </w:pPr>
            <w:r w:rsidRPr="00106940">
              <w:rPr>
                <w:rFonts w:cstheme="minorHAnsi"/>
                <w:iCs/>
              </w:rPr>
              <w:t>2. atlikti elektros tinklo ir įrenginių iki 1000V eksploatavimo darbus.</w:t>
            </w:r>
          </w:p>
          <w:p w14:paraId="1E29B5AA" w14:textId="77777777" w:rsidR="00B047CB" w:rsidRPr="00106940" w:rsidRDefault="00B047CB" w:rsidP="00E94D8B">
            <w:pPr>
              <w:spacing w:after="0" w:line="240" w:lineRule="auto"/>
              <w:jc w:val="both"/>
              <w:rPr>
                <w:rFonts w:cstheme="minorHAnsi"/>
                <w:iCs/>
              </w:rPr>
            </w:pPr>
          </w:p>
          <w:p w14:paraId="412B040A" w14:textId="77777777" w:rsidR="00B047CB" w:rsidRDefault="00B047CB" w:rsidP="00E94D8B">
            <w:pPr>
              <w:spacing w:after="0" w:line="240" w:lineRule="auto"/>
              <w:jc w:val="both"/>
              <w:rPr>
                <w:rFonts w:cstheme="minorHAnsi"/>
                <w:iCs/>
              </w:rPr>
            </w:pPr>
            <w:r>
              <w:rPr>
                <w:rFonts w:cstheme="minorHAnsi"/>
                <w:iCs/>
              </w:rPr>
              <w:t>T</w:t>
            </w:r>
            <w:r w:rsidRPr="00106940">
              <w:rPr>
                <w:rFonts w:cstheme="minorHAnsi"/>
                <w:iCs/>
              </w:rPr>
              <w:t xml:space="preserve">eisinis pagrindas: </w:t>
            </w:r>
          </w:p>
          <w:p w14:paraId="2A46BFD6" w14:textId="77777777" w:rsidR="00B047CB" w:rsidRDefault="00B047CB" w:rsidP="00E94D8B">
            <w:pPr>
              <w:spacing w:after="0" w:line="240" w:lineRule="auto"/>
              <w:jc w:val="both"/>
              <w:rPr>
                <w:rFonts w:cstheme="minorHAnsi"/>
                <w:iCs/>
              </w:rPr>
            </w:pPr>
            <w:r w:rsidRPr="00106940">
              <w:rPr>
                <w:rFonts w:cstheme="minorHAnsi"/>
                <w:iCs/>
              </w:rPr>
              <w:t>Lietuvos Respublikos Energetikos  įstatymo 22 straipsnis.</w:t>
            </w:r>
          </w:p>
          <w:p w14:paraId="773A442A" w14:textId="77777777" w:rsidR="00B047CB" w:rsidRDefault="00B047CB" w:rsidP="00E94D8B">
            <w:pPr>
              <w:spacing w:after="0" w:line="240" w:lineRule="auto"/>
              <w:jc w:val="both"/>
              <w:rPr>
                <w:rFonts w:cstheme="minorHAnsi"/>
                <w:iCs/>
                <w:color w:val="000000"/>
                <w:szCs w:val="24"/>
              </w:rPr>
            </w:pPr>
          </w:p>
          <w:p w14:paraId="1155EDC8" w14:textId="77777777" w:rsidR="00B047CB" w:rsidRPr="00A14EB2" w:rsidRDefault="00B047CB" w:rsidP="00E94D8B">
            <w:pPr>
              <w:spacing w:after="0" w:line="240" w:lineRule="auto"/>
              <w:jc w:val="both"/>
              <w:rPr>
                <w:rFonts w:cstheme="minorHAnsi"/>
                <w:b/>
                <w:bCs/>
                <w:i/>
                <w:szCs w:val="24"/>
              </w:rPr>
            </w:pPr>
            <w:r w:rsidRPr="00A14EB2">
              <w:rPr>
                <w:rFonts w:cstheme="minorHAnsi"/>
                <w:b/>
                <w:bCs/>
                <w:i/>
                <w:color w:val="000000"/>
                <w:szCs w:val="24"/>
              </w:rPr>
              <w:t>Pastabos:</w:t>
            </w:r>
          </w:p>
          <w:p w14:paraId="288FC223" w14:textId="77777777" w:rsidR="00B047CB" w:rsidRDefault="00B047CB" w:rsidP="00E94D8B">
            <w:pPr>
              <w:spacing w:line="240" w:lineRule="auto"/>
              <w:jc w:val="both"/>
              <w:rPr>
                <w:iCs/>
                <w:color w:val="000000"/>
                <w:szCs w:val="24"/>
              </w:rPr>
            </w:pPr>
            <w:r w:rsidRPr="00C6631A">
              <w:rPr>
                <w:rFonts w:cstheme="minorHAnsi"/>
                <w:color w:val="000000"/>
              </w:rPr>
              <w:sym w:font="Symbol" w:char="F0B7"/>
            </w:r>
            <w:r>
              <w:rPr>
                <w:iCs/>
                <w:color w:val="000000"/>
                <w:szCs w:val="24"/>
              </w:rPr>
              <w:t>jeigu pasiūlymą teikia ūkio subjektų grupė – reikalavimą turi atitikti kiekvienas ūkio subjektų grupės narys (-</w:t>
            </w:r>
            <w:proofErr w:type="spellStart"/>
            <w:r>
              <w:rPr>
                <w:iCs/>
                <w:color w:val="000000"/>
                <w:szCs w:val="24"/>
              </w:rPr>
              <w:t>iai</w:t>
            </w:r>
            <w:proofErr w:type="spellEnd"/>
            <w:r>
              <w:rPr>
                <w:iCs/>
                <w:color w:val="000000"/>
                <w:szCs w:val="24"/>
              </w:rPr>
              <w:t>), pagal jų prisiimamus įsipareigojimus pirkimo sutarčiai vykdyti;</w:t>
            </w:r>
          </w:p>
          <w:p w14:paraId="2E178033" w14:textId="77777777" w:rsidR="00B047CB" w:rsidRDefault="00B047CB" w:rsidP="00E94D8B">
            <w:pPr>
              <w:spacing w:line="240" w:lineRule="auto"/>
              <w:jc w:val="both"/>
              <w:rPr>
                <w:color w:val="000000"/>
                <w:szCs w:val="24"/>
              </w:rPr>
            </w:pPr>
            <w:r>
              <w:rPr>
                <w:rFonts w:ascii="Symbol" w:hAnsi="Symbol"/>
                <w:color w:val="000000"/>
                <w:szCs w:val="24"/>
              </w:rPr>
              <w:t></w:t>
            </w:r>
            <w:r>
              <w:rPr>
                <w:color w:val="000000"/>
                <w:szCs w:val="24"/>
              </w:rPr>
              <w:t>t</w:t>
            </w:r>
            <w:r>
              <w:rPr>
                <w:rFonts w:eastAsia="Calibri"/>
                <w:color w:val="000000"/>
                <w:szCs w:val="24"/>
              </w:rPr>
              <w:t>iekėjas gali remtis kitų ūkio subjektų pajėgumais tik tuomet, kai tie subjektai, kurių pajėgumais buvo pasiremta, patys tieks prekes, teiks paslaugas ar atliks darbus, kuriems reikia jų pajėgumų;</w:t>
            </w:r>
          </w:p>
          <w:p w14:paraId="569DE2F1" w14:textId="77777777" w:rsidR="00B047CB" w:rsidRPr="00C6631A" w:rsidRDefault="00B047CB" w:rsidP="00E94D8B">
            <w:pPr>
              <w:tabs>
                <w:tab w:val="left" w:pos="264"/>
              </w:tabs>
              <w:spacing w:after="0" w:line="240" w:lineRule="auto"/>
              <w:jc w:val="both"/>
              <w:rPr>
                <w:rFonts w:cstheme="minorHAnsi"/>
              </w:rPr>
            </w:pPr>
            <w:r>
              <w:rPr>
                <w:rFonts w:ascii="Symbol" w:hAnsi="Symbol"/>
                <w:iCs/>
                <w:color w:val="000000"/>
                <w:szCs w:val="24"/>
              </w:rPr>
              <w:t></w:t>
            </w:r>
            <w:r>
              <w:rPr>
                <w:iCs/>
                <w:color w:val="000000"/>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Pr>
                <w:color w:val="000000"/>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391" w:type="dxa"/>
            <w:tcMar>
              <w:top w:w="0" w:type="dxa"/>
              <w:left w:w="108" w:type="dxa"/>
              <w:bottom w:w="0" w:type="dxa"/>
              <w:right w:w="108" w:type="dxa"/>
            </w:tcMar>
          </w:tcPr>
          <w:p w14:paraId="02181D28" w14:textId="77777777" w:rsidR="00B047CB" w:rsidRPr="00106940" w:rsidRDefault="00B047CB" w:rsidP="00E94D8B">
            <w:pPr>
              <w:spacing w:after="0" w:line="240" w:lineRule="auto"/>
              <w:jc w:val="both"/>
              <w:rPr>
                <w:rFonts w:cstheme="minorHAnsi"/>
                <w:b/>
                <w:bCs/>
              </w:rPr>
            </w:pPr>
            <w:r w:rsidRPr="00106940">
              <w:rPr>
                <w:rFonts w:cstheme="minorHAnsi"/>
                <w:b/>
                <w:bCs/>
              </w:rPr>
              <w:t>Nustatyto galimo laimėtojo bus prašoma pateikti:</w:t>
            </w:r>
          </w:p>
          <w:p w14:paraId="722346B1" w14:textId="77777777" w:rsidR="00B047CB" w:rsidRPr="00106940" w:rsidRDefault="00B047CB" w:rsidP="00E94D8B">
            <w:pPr>
              <w:spacing w:after="0" w:line="240" w:lineRule="auto"/>
              <w:jc w:val="both"/>
              <w:rPr>
                <w:rFonts w:cstheme="minorHAnsi"/>
                <w:bCs/>
                <w:iCs/>
              </w:rPr>
            </w:pPr>
            <w:r w:rsidRPr="00106940">
              <w:rPr>
                <w:rFonts w:cstheme="minorHAnsi"/>
                <w:bCs/>
                <w:iCs/>
              </w:rPr>
              <w:t>Valstybinės energetikos inspekcijos prie Lietuvos Respublikos energetikos  ministerijos ar Valstybinės energetikos reguliavimo tarybos išduot</w:t>
            </w:r>
            <w:r>
              <w:rPr>
                <w:rFonts w:cstheme="minorHAnsi"/>
                <w:bCs/>
                <w:iCs/>
              </w:rPr>
              <w:t>us</w:t>
            </w:r>
            <w:r w:rsidRPr="00106940">
              <w:rPr>
                <w:rFonts w:cstheme="minorHAnsi"/>
                <w:bCs/>
                <w:iCs/>
              </w:rPr>
              <w:t xml:space="preserve"> atestat</w:t>
            </w:r>
            <w:r>
              <w:rPr>
                <w:rFonts w:cstheme="minorHAnsi"/>
                <w:bCs/>
                <w:iCs/>
              </w:rPr>
              <w:t>us,</w:t>
            </w:r>
            <w:r w:rsidRPr="00106940">
              <w:rPr>
                <w:rFonts w:cstheme="minorHAnsi"/>
                <w:bCs/>
                <w:iCs/>
              </w:rPr>
              <w:t xml:space="preserve"> suteikian</w:t>
            </w:r>
            <w:r>
              <w:rPr>
                <w:rFonts w:cstheme="minorHAnsi"/>
                <w:bCs/>
                <w:iCs/>
              </w:rPr>
              <w:t>čius</w:t>
            </w:r>
            <w:r w:rsidRPr="00106940">
              <w:rPr>
                <w:rFonts w:cstheme="minorHAnsi"/>
                <w:bCs/>
                <w:iCs/>
              </w:rPr>
              <w:t xml:space="preserve"> teisę atlikti: </w:t>
            </w:r>
          </w:p>
          <w:p w14:paraId="4E5BF93A" w14:textId="77777777" w:rsidR="00B047CB" w:rsidRPr="00106940" w:rsidRDefault="00B047CB" w:rsidP="00E94D8B">
            <w:pPr>
              <w:spacing w:after="0" w:line="240" w:lineRule="auto"/>
              <w:jc w:val="both"/>
              <w:rPr>
                <w:rFonts w:cstheme="minorHAnsi"/>
                <w:bCs/>
                <w:iCs/>
              </w:rPr>
            </w:pPr>
            <w:r w:rsidRPr="00106940">
              <w:rPr>
                <w:rFonts w:cstheme="minorHAnsi"/>
                <w:bCs/>
                <w:iCs/>
              </w:rPr>
              <w:t>1</w:t>
            </w:r>
            <w:r>
              <w:rPr>
                <w:rFonts w:cstheme="minorHAnsi"/>
                <w:bCs/>
                <w:iCs/>
              </w:rPr>
              <w:t>.</w:t>
            </w:r>
            <w:r w:rsidRPr="00106940">
              <w:rPr>
                <w:rFonts w:cstheme="minorHAnsi"/>
                <w:bCs/>
                <w:iCs/>
              </w:rPr>
              <w:t xml:space="preserve"> Elektros įrenginių iki 1000 V įrengimo darb</w:t>
            </w:r>
            <w:r>
              <w:rPr>
                <w:rFonts w:cstheme="minorHAnsi"/>
                <w:bCs/>
                <w:iCs/>
              </w:rPr>
              <w:t>us</w:t>
            </w:r>
            <w:r w:rsidRPr="00106940">
              <w:rPr>
                <w:rFonts w:cstheme="minorHAnsi"/>
                <w:bCs/>
                <w:iCs/>
              </w:rPr>
              <w:t>.</w:t>
            </w:r>
          </w:p>
          <w:p w14:paraId="3974F977" w14:textId="77777777" w:rsidR="00B047CB" w:rsidRDefault="00B047CB" w:rsidP="00E94D8B">
            <w:pPr>
              <w:tabs>
                <w:tab w:val="left" w:pos="312"/>
              </w:tabs>
              <w:spacing w:after="0" w:line="240" w:lineRule="auto"/>
              <w:jc w:val="both"/>
              <w:rPr>
                <w:rFonts w:cstheme="minorHAnsi"/>
                <w:bCs/>
                <w:iCs/>
              </w:rPr>
            </w:pPr>
            <w:r w:rsidRPr="00106940">
              <w:rPr>
                <w:rFonts w:cstheme="minorHAnsi"/>
                <w:bCs/>
                <w:iCs/>
              </w:rPr>
              <w:t>2</w:t>
            </w:r>
            <w:r>
              <w:rPr>
                <w:rFonts w:cstheme="minorHAnsi"/>
                <w:bCs/>
                <w:iCs/>
              </w:rPr>
              <w:t xml:space="preserve">. </w:t>
            </w:r>
            <w:r w:rsidRPr="00106940">
              <w:rPr>
                <w:rFonts w:cstheme="minorHAnsi"/>
                <w:bCs/>
                <w:iCs/>
              </w:rPr>
              <w:t>Elektros tinklo ir įrenginių iki 1000 V eksploatavimo darb</w:t>
            </w:r>
            <w:r>
              <w:rPr>
                <w:rFonts w:cstheme="minorHAnsi"/>
                <w:bCs/>
                <w:iCs/>
              </w:rPr>
              <w:t>us</w:t>
            </w:r>
            <w:r w:rsidRPr="00106940">
              <w:rPr>
                <w:rFonts w:cstheme="minorHAnsi"/>
                <w:bCs/>
                <w:iCs/>
              </w:rPr>
              <w:t>.</w:t>
            </w:r>
          </w:p>
          <w:p w14:paraId="57932A70" w14:textId="77777777" w:rsidR="00B047CB" w:rsidRPr="00106940" w:rsidRDefault="00B047CB" w:rsidP="00E94D8B">
            <w:pPr>
              <w:tabs>
                <w:tab w:val="left" w:pos="170"/>
              </w:tabs>
              <w:spacing w:after="0" w:line="240" w:lineRule="auto"/>
              <w:jc w:val="both"/>
              <w:rPr>
                <w:rFonts w:cstheme="minorHAnsi"/>
                <w:bCs/>
                <w:iCs/>
              </w:rPr>
            </w:pPr>
          </w:p>
          <w:p w14:paraId="43CFED38" w14:textId="77777777" w:rsidR="00B047CB" w:rsidRPr="00106940" w:rsidRDefault="00B047CB" w:rsidP="00E94D8B">
            <w:pPr>
              <w:pStyle w:val="Pagrindinistekstas"/>
              <w:tabs>
                <w:tab w:val="left" w:pos="426"/>
              </w:tabs>
              <w:ind w:firstLine="0"/>
              <w:rPr>
                <w:rFonts w:asciiTheme="minorHAnsi" w:hAnsiTheme="minorHAnsi" w:cstheme="minorHAnsi"/>
                <w:bCs/>
                <w:iCs/>
                <w:sz w:val="21"/>
                <w:szCs w:val="21"/>
              </w:rPr>
            </w:pPr>
            <w:r w:rsidRPr="00CF3856">
              <w:rPr>
                <w:rFonts w:asciiTheme="minorHAnsi" w:hAnsiTheme="minorHAnsi" w:cstheme="minorHAnsi"/>
                <w:b/>
                <w:bCs/>
                <w:i/>
                <w:iCs/>
                <w:kern w:val="2"/>
                <w:sz w:val="21"/>
                <w:szCs w:val="21"/>
                <w:lang w:eastAsia="en-US"/>
                <w14:ligatures w14:val="standardContextual"/>
              </w:rPr>
              <w:t>Pastab</w:t>
            </w:r>
            <w:r>
              <w:rPr>
                <w:rFonts w:asciiTheme="minorHAnsi" w:hAnsiTheme="minorHAnsi" w:cstheme="minorHAnsi"/>
                <w:b/>
                <w:bCs/>
                <w:i/>
                <w:iCs/>
                <w:kern w:val="2"/>
                <w:sz w:val="21"/>
                <w:szCs w:val="21"/>
                <w:lang w:eastAsia="en-US"/>
                <w14:ligatures w14:val="standardContextual"/>
              </w:rPr>
              <w:t>a</w:t>
            </w:r>
            <w:r w:rsidRPr="00CF3856">
              <w:rPr>
                <w:rFonts w:asciiTheme="minorHAnsi" w:hAnsiTheme="minorHAnsi" w:cstheme="minorHAnsi"/>
                <w:b/>
                <w:bCs/>
                <w:i/>
                <w:iCs/>
                <w:kern w:val="2"/>
                <w:sz w:val="21"/>
                <w:szCs w:val="21"/>
                <w:lang w:eastAsia="en-US"/>
                <w14:ligatures w14:val="standardContextual"/>
              </w:rPr>
              <w:t>:</w:t>
            </w:r>
            <w:r w:rsidRPr="00CF3856">
              <w:rPr>
                <w:rFonts w:asciiTheme="minorHAnsi" w:hAnsiTheme="minorHAnsi" w:cstheme="minorHAnsi"/>
                <w:i/>
                <w:iCs/>
                <w:kern w:val="2"/>
                <w:sz w:val="21"/>
                <w:szCs w:val="21"/>
                <w:lang w:eastAsia="en-US"/>
                <w14:ligatures w14:val="standardContextual"/>
              </w:rPr>
              <w:t xml:space="preserve">  </w:t>
            </w:r>
          </w:p>
          <w:p w14:paraId="1ACC51B7" w14:textId="77777777" w:rsidR="00B047CB" w:rsidRDefault="00B047CB" w:rsidP="00E94D8B">
            <w:pPr>
              <w:spacing w:after="0" w:line="240" w:lineRule="auto"/>
              <w:jc w:val="both"/>
              <w:rPr>
                <w:rFonts w:cstheme="minorHAnsi"/>
                <w:bCs/>
                <w:iCs/>
              </w:rPr>
            </w:pPr>
            <w:r w:rsidRPr="00C6631A">
              <w:rPr>
                <w:rFonts w:cstheme="minorHAnsi"/>
                <w:color w:val="000000"/>
              </w:rPr>
              <w:sym w:font="Symbol" w:char="F0B7"/>
            </w:r>
            <w:r>
              <w:rPr>
                <w:rFonts w:cstheme="minorHAnsi"/>
                <w:color w:val="000000"/>
              </w:rPr>
              <w:t>i</w:t>
            </w:r>
            <w:r w:rsidRPr="00106940">
              <w:rPr>
                <w:rFonts w:cstheme="minorHAnsi"/>
                <w:bCs/>
                <w:iCs/>
              </w:rPr>
              <w:t xml:space="preserve">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2512A8">
              <w:rPr>
                <w:rFonts w:cstheme="minorHAnsi"/>
                <w:bCs/>
                <w:iCs/>
              </w:rPr>
              <w:t xml:space="preserve">iki pirkimo sutarties pasirašymo. Kartu su pasiūlymu turi būti pateiktas kreipimąsi į atitinkamą Lietuvos Respublikos instituciją dėl </w:t>
            </w:r>
            <w:r w:rsidRPr="002512A8">
              <w:rPr>
                <w:rFonts w:cstheme="minorHAnsi"/>
                <w:bCs/>
              </w:rPr>
              <w:t xml:space="preserve"> </w:t>
            </w:r>
            <w:r w:rsidRPr="002512A8">
              <w:rPr>
                <w:rFonts w:cstheme="minorHAnsi"/>
                <w:bCs/>
                <w:iCs/>
              </w:rPr>
              <w:t>teisės pripažinimo dokumento išdavimo patvirtinantis dokumentas.</w:t>
            </w:r>
          </w:p>
          <w:p w14:paraId="2B67A130" w14:textId="77777777" w:rsidR="00B047CB" w:rsidRDefault="00B047CB" w:rsidP="00E94D8B">
            <w:pPr>
              <w:spacing w:after="0" w:line="240" w:lineRule="auto"/>
              <w:jc w:val="both"/>
              <w:rPr>
                <w:rFonts w:cstheme="minorHAnsi"/>
                <w:bCs/>
                <w:iCs/>
              </w:rPr>
            </w:pPr>
          </w:p>
          <w:p w14:paraId="419F81C2" w14:textId="77777777" w:rsidR="00B047CB" w:rsidRPr="00CF3856" w:rsidRDefault="00B047CB" w:rsidP="00E94D8B">
            <w:pPr>
              <w:pStyle w:val="Pagrindinistekstas"/>
              <w:ind w:firstLine="0"/>
              <w:rPr>
                <w:rFonts w:asciiTheme="minorHAnsi" w:hAnsiTheme="minorHAnsi" w:cstheme="minorHAnsi"/>
                <w:i/>
                <w:iCs/>
                <w:kern w:val="2"/>
                <w:sz w:val="21"/>
                <w:szCs w:val="21"/>
                <w:lang w:eastAsia="en-US"/>
                <w14:ligatures w14:val="standardContextual"/>
              </w:rPr>
            </w:pPr>
            <w:r w:rsidRPr="00CF3856">
              <w:rPr>
                <w:rFonts w:asciiTheme="minorHAnsi" w:hAnsiTheme="minorHAnsi" w:cstheme="minorHAnsi"/>
                <w:i/>
                <w:iCs/>
                <w:kern w:val="2"/>
                <w:sz w:val="21"/>
                <w:szCs w:val="21"/>
                <w:lang w:eastAsia="en-US"/>
                <w14:ligatures w14:val="standardContextual"/>
              </w:rPr>
              <w:t>-Jei kvalifikacija yra grindžiama nurodant specialistą, kuris nėra tiekėjo, jungtinės veiklos partnerio (-</w:t>
            </w:r>
            <w:proofErr w:type="spellStart"/>
            <w:r w:rsidRPr="00CF3856">
              <w:rPr>
                <w:rFonts w:asciiTheme="minorHAnsi" w:hAnsiTheme="minorHAnsi" w:cstheme="minorHAnsi"/>
                <w:i/>
                <w:iCs/>
                <w:kern w:val="2"/>
                <w:sz w:val="21"/>
                <w:szCs w:val="21"/>
                <w:lang w:eastAsia="en-US"/>
                <w14:ligatures w14:val="standardContextual"/>
              </w:rPr>
              <w:t>ių</w:t>
            </w:r>
            <w:proofErr w:type="spellEnd"/>
            <w:r w:rsidRPr="00CF3856">
              <w:rPr>
                <w:rFonts w:asciiTheme="minorHAnsi" w:hAnsiTheme="minorHAnsi" w:cstheme="minorHAnsi"/>
                <w:i/>
                <w:iCs/>
                <w:kern w:val="2"/>
                <w:sz w:val="21"/>
                <w:szCs w:val="21"/>
                <w:lang w:eastAsia="en-US"/>
                <w14:ligatures w14:val="standardContextual"/>
              </w:rPr>
              <w:t>) ar subtiekėjo (-ų) darbuotojas, tačiau yra ketinamas įdarbinti sutarties vykdymo metu, tokiu atveju specialistas turi būti išviešintas pasiūlyme</w:t>
            </w:r>
            <w:r w:rsidRPr="00CF3856">
              <w:rPr>
                <w:rFonts w:asciiTheme="minorHAnsi" w:hAnsiTheme="minorHAnsi" w:cstheme="minorHAnsi"/>
                <w:b/>
                <w:bCs/>
                <w:i/>
                <w:iCs/>
                <w:kern w:val="2"/>
                <w:sz w:val="21"/>
                <w:szCs w:val="21"/>
                <w:lang w:eastAsia="en-US"/>
                <w14:ligatures w14:val="standardContextual"/>
              </w:rPr>
              <w:t xml:space="preserve"> </w:t>
            </w:r>
            <w:r w:rsidRPr="00CF3856">
              <w:rPr>
                <w:rFonts w:asciiTheme="minorHAnsi" w:hAnsiTheme="minorHAnsi" w:cstheme="minorHAnsi"/>
                <w:i/>
                <w:iCs/>
                <w:kern w:val="2"/>
                <w:sz w:val="21"/>
                <w:szCs w:val="21"/>
                <w:lang w:eastAsia="en-US"/>
                <w14:ligatures w14:val="standardContextual"/>
              </w:rPr>
              <w:t xml:space="preserve">bei tiekėjas privalo pateikti tiekėjo ir </w:t>
            </w:r>
            <w:r w:rsidRPr="00CF3856">
              <w:rPr>
                <w:rFonts w:asciiTheme="minorHAnsi" w:hAnsiTheme="minorHAnsi" w:cstheme="minorHAnsi"/>
                <w:i/>
                <w:iCs/>
                <w:kern w:val="2"/>
                <w:sz w:val="21"/>
                <w:szCs w:val="21"/>
                <w:lang w:eastAsia="en-US"/>
                <w14:ligatures w14:val="standardContextual"/>
              </w:rPr>
              <w:lastRenderedPageBreak/>
              <w:t>siūlomo specialisto teisinio pobūdžio ryšių pagrindimo dokumento ‒ dvišalio (tiekėjo ir būsimo darbuotojo (specialisto) pasirašyto dokumento ‒ ketinimo protokolo ar preliminaraus susitarimo dėl darbo santykių sukūrimo pagal darbo sutartį, kopiją.</w:t>
            </w:r>
          </w:p>
          <w:p w14:paraId="1F41C8B8" w14:textId="77777777" w:rsidR="00B047CB" w:rsidRPr="00CF3856" w:rsidRDefault="00B047CB" w:rsidP="00E94D8B">
            <w:pPr>
              <w:spacing w:after="0" w:line="240" w:lineRule="auto"/>
              <w:jc w:val="both"/>
              <w:rPr>
                <w:rFonts w:cstheme="minorHAnsi"/>
                <w:bCs/>
                <w:iCs/>
              </w:rPr>
            </w:pPr>
          </w:p>
          <w:p w14:paraId="39BDFB22" w14:textId="77777777" w:rsidR="00B047CB" w:rsidRPr="00C6631A" w:rsidRDefault="00B047CB" w:rsidP="00E94D8B">
            <w:pPr>
              <w:spacing w:after="0" w:line="240" w:lineRule="auto"/>
              <w:jc w:val="center"/>
              <w:rPr>
                <w:rFonts w:cstheme="minorHAnsi"/>
                <w:b/>
                <w:bCs/>
              </w:rPr>
            </w:pPr>
            <w:r w:rsidRPr="002512A8">
              <w:rPr>
                <w:rFonts w:cstheme="minorHAnsi"/>
                <w:b/>
                <w:bCs/>
                <w:i/>
                <w:iCs/>
                <w:lang w:eastAsia="en-GB"/>
              </w:rPr>
              <w:t xml:space="preserve">CVP IS priemonėmis pateikiamos skaitmeninės dokumentų kopijos </w:t>
            </w:r>
            <w:r w:rsidRPr="002512A8">
              <w:rPr>
                <w:rFonts w:cstheme="minorHAnsi"/>
                <w:b/>
                <w:bCs/>
                <w:i/>
                <w:iCs/>
              </w:rPr>
              <w:t>arba nuorodos į nacionalines duomenų bazes bet kurioje valstybės narėje, prie kurių Perkančioji organizacija turės galimybę tiesiogiai ir neatlygintinai prisijungti ir susipažinti su reikalaujamais dokumentais ir (ar) informacija.</w:t>
            </w:r>
          </w:p>
        </w:tc>
      </w:tr>
    </w:tbl>
    <w:p w14:paraId="015851F5" w14:textId="77777777" w:rsidR="00B047CB" w:rsidRPr="00895DA6" w:rsidRDefault="00B047CB" w:rsidP="00B047CB">
      <w:pPr>
        <w:pStyle w:val="Sraopastraipa"/>
        <w:widowControl w:val="0"/>
        <w:tabs>
          <w:tab w:val="left" w:pos="1276"/>
          <w:tab w:val="left" w:pos="1418"/>
        </w:tabs>
        <w:spacing w:after="0" w:line="240" w:lineRule="auto"/>
        <w:ind w:left="0" w:firstLine="567"/>
        <w:jc w:val="both"/>
        <w:rPr>
          <w:sz w:val="19"/>
          <w:szCs w:val="19"/>
        </w:rPr>
      </w:pPr>
      <w:r w:rsidRPr="00895DA6">
        <w:rPr>
          <w:sz w:val="19"/>
          <w:szCs w:val="19"/>
        </w:rPr>
        <w:lastRenderedPageBreak/>
        <w:t>*</w:t>
      </w:r>
      <w:r w:rsidRPr="00895DA6">
        <w:rPr>
          <w:b/>
          <w:bCs/>
          <w:sz w:val="19"/>
          <w:szCs w:val="19"/>
        </w:rPr>
        <w:t>Pastaba</w:t>
      </w:r>
      <w:r w:rsidRPr="00895DA6">
        <w:rPr>
          <w:sz w:val="19"/>
          <w:szCs w:val="19"/>
        </w:rPr>
        <w:t xml:space="preserve">. Dėl aukščiau numatytų kvalifikacijos atitikimą įrodančių dokumentų: atkreipiamas dėmesys, kad vadovaujantis LAT </w:t>
      </w:r>
      <w:bookmarkStart w:id="0" w:name="_Hlk119605552"/>
      <w:r w:rsidRPr="00895DA6">
        <w:rPr>
          <w:sz w:val="19"/>
          <w:szCs w:val="19"/>
        </w:rPr>
        <w:t xml:space="preserve">2022 m. spalio 6 </w:t>
      </w:r>
      <w:bookmarkEnd w:id="0"/>
      <w:r w:rsidRPr="00895DA6">
        <w:rPr>
          <w:sz w:val="19"/>
          <w:szCs w:val="19"/>
        </w:rPr>
        <w:t xml:space="preserve">d. nutartimi </w:t>
      </w:r>
      <w:hyperlink r:id="rId7" w:history="1">
        <w:r w:rsidRPr="00895DA6">
          <w:rPr>
            <w:rStyle w:val="Hipersaitas"/>
            <w:sz w:val="19"/>
            <w:szCs w:val="19"/>
          </w:rPr>
          <w:t>Lietuvos Aukščiausiojo Teismo 2022 m. spalio 6 d. nutartis civilinėje byloje Nr. e3K-3-328-469/2022 | Viešųjų pirkimų tarnyba (</w:t>
        </w:r>
        <w:proofErr w:type="spellStart"/>
        <w:r w:rsidRPr="00895DA6">
          <w:rPr>
            <w:rStyle w:val="Hipersaitas"/>
            <w:sz w:val="19"/>
            <w:szCs w:val="19"/>
          </w:rPr>
          <w:t>vpt.lt</w:t>
        </w:r>
        <w:proofErr w:type="spellEnd"/>
        <w:r w:rsidRPr="00895DA6">
          <w:rPr>
            <w:rStyle w:val="Hipersaitas"/>
            <w:sz w:val="19"/>
            <w:szCs w:val="19"/>
          </w:rPr>
          <w:t>)</w:t>
        </w:r>
      </w:hyperlink>
      <w:r w:rsidRPr="00895DA6">
        <w:rPr>
          <w:sz w:val="19"/>
          <w:szCs w:val="19"/>
        </w:rPr>
        <w:t xml:space="preserve"> ir </w:t>
      </w:r>
      <w:r w:rsidRPr="00895DA6">
        <w:rPr>
          <w:color w:val="000000"/>
          <w:sz w:val="19"/>
          <w:szCs w:val="19"/>
        </w:rPr>
        <w:t xml:space="preserve">Viešųjų pirkimų tarnybos direktoriaus 2022 m. gruodžio 30 d. įsakymu Nr. 1S-240 patvirtintomis Pasiūlymo patikslinimo, papildymo ar paaiškinimo taisyklėmis, </w:t>
      </w:r>
      <w:r w:rsidRPr="00895DA6">
        <w:rPr>
          <w:b/>
          <w:bCs/>
          <w:sz w:val="19"/>
          <w:szCs w:val="19"/>
        </w:rPr>
        <w:t xml:space="preserve">tiekėjai vieną kartą gali tikslinti tik pradinius kvalifikacijos duomenis </w:t>
      </w:r>
      <w:r w:rsidRPr="00895DA6">
        <w:rPr>
          <w:sz w:val="19"/>
          <w:szCs w:val="19"/>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44CDC33" w14:textId="77777777" w:rsidR="00B047CB" w:rsidRPr="00C6631A" w:rsidRDefault="00B047CB" w:rsidP="00B047CB">
      <w:pPr>
        <w:tabs>
          <w:tab w:val="left" w:pos="709"/>
          <w:tab w:val="left" w:pos="993"/>
        </w:tabs>
        <w:spacing w:after="0" w:line="240" w:lineRule="auto"/>
        <w:ind w:firstLine="709"/>
        <w:jc w:val="both"/>
        <w:rPr>
          <w:rFonts w:eastAsiaTheme="minorHAnsi" w:cstheme="minorHAnsi"/>
          <w:b/>
          <w:i/>
          <w:iCs/>
          <w:color w:val="7030A0"/>
          <w:lang w:eastAsia="en-US"/>
        </w:rPr>
      </w:pPr>
    </w:p>
    <w:p w14:paraId="03A87337" w14:textId="77777777" w:rsidR="00B047CB" w:rsidRPr="00C6631A" w:rsidRDefault="00B047CB" w:rsidP="00B047CB">
      <w:pPr>
        <w:tabs>
          <w:tab w:val="left" w:pos="720"/>
        </w:tabs>
        <w:spacing w:after="0" w:line="240" w:lineRule="auto"/>
        <w:ind w:firstLine="567"/>
        <w:jc w:val="center"/>
        <w:rPr>
          <w:rFonts w:eastAsia="Calibri"/>
          <w:b/>
          <w:bCs/>
          <w:lang w:eastAsia="en-US"/>
        </w:rPr>
      </w:pPr>
      <w:r w:rsidRPr="00C6631A">
        <w:rPr>
          <w:rFonts w:eastAsia="Calibri"/>
          <w:b/>
          <w:bCs/>
          <w:lang w:eastAsia="en-US"/>
        </w:rPr>
        <w:t>Tiekėjams keliami reikalavimai dėl kokybės vadybos sistemos ir (ar) aplinkos apsaugos vadybos sistemos standartų reikalavimai</w:t>
      </w:r>
    </w:p>
    <w:p w14:paraId="7058A60F" w14:textId="77777777" w:rsidR="00B047CB" w:rsidRPr="00C6631A" w:rsidRDefault="00B047CB" w:rsidP="00B047CB">
      <w:pPr>
        <w:tabs>
          <w:tab w:val="left" w:pos="720"/>
        </w:tabs>
        <w:spacing w:after="0" w:line="240" w:lineRule="auto"/>
        <w:ind w:firstLine="567"/>
        <w:jc w:val="both"/>
        <w:rPr>
          <w:rFonts w:eastAsia="Calibri" w:cstheme="minorHAnsi"/>
          <w:i/>
          <w:iCs/>
          <w:color w:val="7030A0"/>
          <w:lang w:eastAsia="en-US"/>
        </w:rPr>
      </w:pPr>
    </w:p>
    <w:p w14:paraId="13E781EE" w14:textId="77777777" w:rsidR="00B047CB" w:rsidRPr="00C6631A" w:rsidRDefault="00B047CB" w:rsidP="00B047CB">
      <w:pPr>
        <w:spacing w:after="0" w:line="240" w:lineRule="auto"/>
        <w:ind w:firstLine="709"/>
        <w:jc w:val="both"/>
        <w:rPr>
          <w:rFonts w:eastAsiaTheme="minorHAnsi" w:cstheme="minorHAnsi"/>
          <w:lang w:eastAsia="en-US"/>
        </w:rPr>
      </w:pPr>
      <w:r w:rsidRPr="00C6631A">
        <w:rPr>
          <w:rFonts w:eastAsia="Calibri" w:cstheme="minorHAnsi"/>
          <w:lang w:eastAsia="en-US"/>
        </w:rPr>
        <w:t>3. Perkančioji organizacija nereikalauja, kad tiekėjai laikytųsi k</w:t>
      </w:r>
      <w:r w:rsidRPr="00C6631A">
        <w:rPr>
          <w:rFonts w:eastAsia="Calibri" w:cstheme="minorHAnsi"/>
          <w:iCs/>
          <w:lang w:eastAsia="en-US"/>
        </w:rPr>
        <w:t>okybės vadybos sistemos ir (arba) aplinkos apsaugos vadybos sistemos standartų</w:t>
      </w:r>
      <w:r w:rsidRPr="00C6631A">
        <w:rPr>
          <w:rFonts w:eastAsiaTheme="minorHAnsi" w:cstheme="minorHAnsi"/>
          <w:lang w:eastAsia="en-US"/>
        </w:rPr>
        <w:t>.</w:t>
      </w:r>
    </w:p>
    <w:p w14:paraId="337035B1" w14:textId="77777777" w:rsidR="00B047CB" w:rsidRPr="00C6631A" w:rsidRDefault="00B047CB" w:rsidP="00B047CB">
      <w:pPr>
        <w:spacing w:after="0" w:line="240" w:lineRule="auto"/>
        <w:ind w:firstLine="709"/>
        <w:jc w:val="both"/>
        <w:rPr>
          <w:rFonts w:cstheme="minorHAnsi"/>
          <w:b/>
          <w:bCs/>
          <w:smallCaps/>
        </w:rPr>
      </w:pPr>
      <w:r w:rsidRPr="00C6631A">
        <w:rPr>
          <w:rFonts w:eastAsiaTheme="minorHAnsi" w:cstheme="minorHAnsi"/>
          <w:lang w:eastAsia="en-US"/>
        </w:rPr>
        <w:t xml:space="preserve">4. </w:t>
      </w:r>
      <w:r w:rsidRPr="00C6631A">
        <w:t>Šiame priede reikalaujama kvalifikacija turi būti įgyta iki pasiūlymų pateikimo termino pabaigos.</w:t>
      </w:r>
    </w:p>
    <w:p w14:paraId="2C67B0ED" w14:textId="4E4DAE61" w:rsidR="00CD56AC" w:rsidRPr="00C6631A" w:rsidRDefault="00CD56AC" w:rsidP="00CD56AC">
      <w:pPr>
        <w:spacing w:after="0" w:line="240" w:lineRule="auto"/>
        <w:ind w:firstLine="709"/>
        <w:jc w:val="both"/>
        <w:rPr>
          <w:rFonts w:cstheme="minorHAnsi"/>
          <w:b/>
          <w:bCs/>
          <w:smallCaps/>
        </w:rPr>
      </w:pPr>
    </w:p>
    <w:p w14:paraId="6BA96CD5" w14:textId="735BC981" w:rsidR="008C7126" w:rsidRPr="0040447D" w:rsidRDefault="008C7126" w:rsidP="0040447D"/>
    <w:sectPr w:rsidR="008C7126" w:rsidRPr="0040447D" w:rsidSect="00E9383B">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D85C" w14:textId="77777777" w:rsidR="0037562A" w:rsidRDefault="0037562A" w:rsidP="00C501AE">
      <w:pPr>
        <w:spacing w:after="0" w:line="240" w:lineRule="auto"/>
      </w:pPr>
      <w:r>
        <w:separator/>
      </w:r>
    </w:p>
  </w:endnote>
  <w:endnote w:type="continuationSeparator" w:id="0">
    <w:p w14:paraId="3E95F072" w14:textId="77777777" w:rsidR="0037562A" w:rsidRDefault="0037562A" w:rsidP="00C5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3F86" w14:textId="77777777" w:rsidR="0037562A" w:rsidRDefault="0037562A" w:rsidP="00C501AE">
      <w:pPr>
        <w:spacing w:after="0" w:line="240" w:lineRule="auto"/>
      </w:pPr>
      <w:r>
        <w:separator/>
      </w:r>
    </w:p>
  </w:footnote>
  <w:footnote w:type="continuationSeparator" w:id="0">
    <w:p w14:paraId="1B566ECD" w14:textId="77777777" w:rsidR="0037562A" w:rsidRDefault="0037562A" w:rsidP="00C5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4375"/>
      <w:docPartObj>
        <w:docPartGallery w:val="Page Numbers (Top of Page)"/>
        <w:docPartUnique/>
      </w:docPartObj>
    </w:sdtPr>
    <w:sdtContent>
      <w:p w14:paraId="33531E93" w14:textId="728F236F" w:rsidR="00C501AE" w:rsidRDefault="00C501AE">
        <w:pPr>
          <w:pStyle w:val="Antrats"/>
          <w:jc w:val="center"/>
        </w:pPr>
        <w:r>
          <w:fldChar w:fldCharType="begin"/>
        </w:r>
        <w:r>
          <w:instrText>PAGE   \* MERGEFORMAT</w:instrText>
        </w:r>
        <w:r>
          <w:fldChar w:fldCharType="separate"/>
        </w:r>
        <w:r>
          <w:t>2</w:t>
        </w:r>
        <w:r>
          <w:fldChar w:fldCharType="end"/>
        </w:r>
      </w:p>
    </w:sdtContent>
  </w:sdt>
  <w:p w14:paraId="38CFFA3B" w14:textId="77777777" w:rsidR="00C501AE" w:rsidRDefault="00C501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F69" w14:textId="244B0CD2" w:rsidR="00DA6496" w:rsidRPr="006B1F42" w:rsidRDefault="00DA6496" w:rsidP="00DA6496">
    <w:pPr>
      <w:pStyle w:val="Antrats"/>
      <w:jc w:val="right"/>
      <w:rPr>
        <w:rFonts w:ascii="Times New Roman" w:hAnsi="Times New Roman" w:cs="Times New Roman"/>
        <w:i/>
        <w:iCs/>
      </w:rPr>
    </w:pPr>
    <w:r w:rsidRPr="006B1F42">
      <w:rPr>
        <w:rFonts w:ascii="Times New Roman" w:hAnsi="Times New Roman" w:cs="Times New Roman"/>
        <w:i/>
        <w:iCs/>
      </w:rPr>
      <w:t xml:space="preserve">Specialiųjų pirkimo sąlygų </w:t>
    </w:r>
    <w:r w:rsidR="0040447D">
      <w:rPr>
        <w:rFonts w:ascii="Times New Roman" w:hAnsi="Times New Roman" w:cs="Times New Roman"/>
        <w:i/>
        <w:iCs/>
      </w:rPr>
      <w:t>4</w:t>
    </w:r>
    <w:r w:rsidRPr="006B1F42">
      <w:rPr>
        <w:rFonts w:ascii="Times New Roman" w:hAnsi="Times New Roman" w:cs="Times New Roman"/>
        <w:i/>
        <w:iCs/>
      </w:rPr>
      <w:t xml:space="preserve"> priedas</w:t>
    </w:r>
    <w:r>
      <w:rPr>
        <w:rFonts w:ascii="Times New Roman" w:hAnsi="Times New Roman" w:cs="Times New Roman"/>
        <w:i/>
        <w:iCs/>
      </w:rPr>
      <w:t xml:space="preserve"> I</w:t>
    </w:r>
    <w:r w:rsidR="0040447D">
      <w:rPr>
        <w:rFonts w:ascii="Times New Roman" w:hAnsi="Times New Roman" w:cs="Times New Roman"/>
        <w:i/>
        <w:iCs/>
      </w:rPr>
      <w:t>I</w:t>
    </w:r>
    <w:r>
      <w:rPr>
        <w:rFonts w:ascii="Times New Roman" w:hAnsi="Times New Roman" w:cs="Times New Roman"/>
        <w:i/>
        <w:iCs/>
      </w:rPr>
      <w:t xml:space="preserve"> dalis</w:t>
    </w:r>
  </w:p>
  <w:p w14:paraId="20AD26A4" w14:textId="77777777" w:rsidR="001227D0" w:rsidRDefault="001227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928"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3" w15:restartNumberingAfterBreak="0">
    <w:nsid w:val="240A4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5"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31C20DFF"/>
    <w:multiLevelType w:val="hybridMultilevel"/>
    <w:tmpl w:val="72DA746C"/>
    <w:lvl w:ilvl="0" w:tplc="9C02A1F2">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9C74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9" w15:restartNumberingAfterBreak="0">
    <w:nsid w:val="4C4E0A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C55B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A737E77"/>
    <w:multiLevelType w:val="multilevel"/>
    <w:tmpl w:val="D8D05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C81DF7"/>
    <w:multiLevelType w:val="multilevel"/>
    <w:tmpl w:val="6B949312"/>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9765734">
    <w:abstractNumId w:val="12"/>
  </w:num>
  <w:num w:numId="2" w16cid:durableId="1658460759">
    <w:abstractNumId w:val="1"/>
  </w:num>
  <w:num w:numId="3" w16cid:durableId="1196887855">
    <w:abstractNumId w:val="3"/>
  </w:num>
  <w:num w:numId="4" w16cid:durableId="280690817">
    <w:abstractNumId w:val="4"/>
  </w:num>
  <w:num w:numId="5" w16cid:durableId="506797216">
    <w:abstractNumId w:val="10"/>
  </w:num>
  <w:num w:numId="6" w16cid:durableId="469590050">
    <w:abstractNumId w:val="7"/>
  </w:num>
  <w:num w:numId="7" w16cid:durableId="1484538982">
    <w:abstractNumId w:val="9"/>
  </w:num>
  <w:num w:numId="8" w16cid:durableId="539631479">
    <w:abstractNumId w:val="6"/>
  </w:num>
  <w:num w:numId="9" w16cid:durableId="1401322319">
    <w:abstractNumId w:val="13"/>
  </w:num>
  <w:num w:numId="10" w16cid:durableId="1879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951398">
    <w:abstractNumId w:val="5"/>
  </w:num>
  <w:num w:numId="12" w16cid:durableId="77989661">
    <w:abstractNumId w:val="0"/>
  </w:num>
  <w:num w:numId="13" w16cid:durableId="2024822620">
    <w:abstractNumId w:val="11"/>
  </w:num>
  <w:num w:numId="14" w16cid:durableId="100670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AF"/>
    <w:rsid w:val="00044547"/>
    <w:rsid w:val="00054EF5"/>
    <w:rsid w:val="000916C7"/>
    <w:rsid w:val="000A7D0D"/>
    <w:rsid w:val="000C2FFA"/>
    <w:rsid w:val="000E1CA2"/>
    <w:rsid w:val="000E6E37"/>
    <w:rsid w:val="000F3EE8"/>
    <w:rsid w:val="00111415"/>
    <w:rsid w:val="00114013"/>
    <w:rsid w:val="001227D0"/>
    <w:rsid w:val="00147319"/>
    <w:rsid w:val="00152353"/>
    <w:rsid w:val="00182388"/>
    <w:rsid w:val="00186ED4"/>
    <w:rsid w:val="0019019A"/>
    <w:rsid w:val="00190DAC"/>
    <w:rsid w:val="00197720"/>
    <w:rsid w:val="001D305F"/>
    <w:rsid w:val="001D57CB"/>
    <w:rsid w:val="002202BC"/>
    <w:rsid w:val="0022533D"/>
    <w:rsid w:val="0023025D"/>
    <w:rsid w:val="0023155D"/>
    <w:rsid w:val="00243D7D"/>
    <w:rsid w:val="00264494"/>
    <w:rsid w:val="00276F32"/>
    <w:rsid w:val="00297B6E"/>
    <w:rsid w:val="002E1E68"/>
    <w:rsid w:val="002F226E"/>
    <w:rsid w:val="00317744"/>
    <w:rsid w:val="00362378"/>
    <w:rsid w:val="00367DF9"/>
    <w:rsid w:val="00371F67"/>
    <w:rsid w:val="00374B08"/>
    <w:rsid w:val="0037562A"/>
    <w:rsid w:val="003A7B7E"/>
    <w:rsid w:val="003B1BA6"/>
    <w:rsid w:val="003B5303"/>
    <w:rsid w:val="003B7D89"/>
    <w:rsid w:val="003D1893"/>
    <w:rsid w:val="003D300B"/>
    <w:rsid w:val="003D505D"/>
    <w:rsid w:val="003D7962"/>
    <w:rsid w:val="003E4AF3"/>
    <w:rsid w:val="003F785B"/>
    <w:rsid w:val="0040447D"/>
    <w:rsid w:val="00433A03"/>
    <w:rsid w:val="00436E72"/>
    <w:rsid w:val="004577FF"/>
    <w:rsid w:val="004802AF"/>
    <w:rsid w:val="0048125D"/>
    <w:rsid w:val="00497F96"/>
    <w:rsid w:val="004A2993"/>
    <w:rsid w:val="004B6DEF"/>
    <w:rsid w:val="004C31D3"/>
    <w:rsid w:val="004D6E0F"/>
    <w:rsid w:val="004E1F2C"/>
    <w:rsid w:val="004E3346"/>
    <w:rsid w:val="00500F50"/>
    <w:rsid w:val="005050BA"/>
    <w:rsid w:val="005139BD"/>
    <w:rsid w:val="00525C78"/>
    <w:rsid w:val="00530E7A"/>
    <w:rsid w:val="00533E2B"/>
    <w:rsid w:val="00534621"/>
    <w:rsid w:val="00536640"/>
    <w:rsid w:val="00537132"/>
    <w:rsid w:val="005A7DB2"/>
    <w:rsid w:val="005B5441"/>
    <w:rsid w:val="005C441B"/>
    <w:rsid w:val="005C5359"/>
    <w:rsid w:val="005E267D"/>
    <w:rsid w:val="005E7CF7"/>
    <w:rsid w:val="005F3324"/>
    <w:rsid w:val="00602DA9"/>
    <w:rsid w:val="0062670B"/>
    <w:rsid w:val="00630FDD"/>
    <w:rsid w:val="00645A48"/>
    <w:rsid w:val="00681B64"/>
    <w:rsid w:val="00682673"/>
    <w:rsid w:val="006836EB"/>
    <w:rsid w:val="00686DB5"/>
    <w:rsid w:val="00694B60"/>
    <w:rsid w:val="006A59B3"/>
    <w:rsid w:val="006A6637"/>
    <w:rsid w:val="006B3056"/>
    <w:rsid w:val="006B7AF8"/>
    <w:rsid w:val="006D69A2"/>
    <w:rsid w:val="006E7B4C"/>
    <w:rsid w:val="006F25DB"/>
    <w:rsid w:val="007644E1"/>
    <w:rsid w:val="00783D2A"/>
    <w:rsid w:val="007E7A52"/>
    <w:rsid w:val="00802ABD"/>
    <w:rsid w:val="00805499"/>
    <w:rsid w:val="008126A0"/>
    <w:rsid w:val="00813340"/>
    <w:rsid w:val="00815CE2"/>
    <w:rsid w:val="00821D23"/>
    <w:rsid w:val="00834B8A"/>
    <w:rsid w:val="00857ED4"/>
    <w:rsid w:val="0087483F"/>
    <w:rsid w:val="00874E27"/>
    <w:rsid w:val="00896A43"/>
    <w:rsid w:val="00897795"/>
    <w:rsid w:val="008C02AE"/>
    <w:rsid w:val="008C7126"/>
    <w:rsid w:val="008C725B"/>
    <w:rsid w:val="008E328B"/>
    <w:rsid w:val="00912A11"/>
    <w:rsid w:val="00927AAA"/>
    <w:rsid w:val="00935A5F"/>
    <w:rsid w:val="00944C33"/>
    <w:rsid w:val="00946DA4"/>
    <w:rsid w:val="009505F5"/>
    <w:rsid w:val="00950A81"/>
    <w:rsid w:val="00987AAB"/>
    <w:rsid w:val="009975F2"/>
    <w:rsid w:val="0099762B"/>
    <w:rsid w:val="009B07FA"/>
    <w:rsid w:val="009B75D5"/>
    <w:rsid w:val="009F0A9A"/>
    <w:rsid w:val="00A000B7"/>
    <w:rsid w:val="00A25845"/>
    <w:rsid w:val="00A41306"/>
    <w:rsid w:val="00A418D0"/>
    <w:rsid w:val="00A505C7"/>
    <w:rsid w:val="00A54464"/>
    <w:rsid w:val="00A645A9"/>
    <w:rsid w:val="00A75045"/>
    <w:rsid w:val="00A856E2"/>
    <w:rsid w:val="00A9445C"/>
    <w:rsid w:val="00AC6E64"/>
    <w:rsid w:val="00AD2914"/>
    <w:rsid w:val="00AD4419"/>
    <w:rsid w:val="00AE2C67"/>
    <w:rsid w:val="00AE5D55"/>
    <w:rsid w:val="00AF7675"/>
    <w:rsid w:val="00B047CB"/>
    <w:rsid w:val="00B32949"/>
    <w:rsid w:val="00B35C4C"/>
    <w:rsid w:val="00B5079C"/>
    <w:rsid w:val="00B672F1"/>
    <w:rsid w:val="00B67C64"/>
    <w:rsid w:val="00B67EA1"/>
    <w:rsid w:val="00B71219"/>
    <w:rsid w:val="00B77752"/>
    <w:rsid w:val="00B8508A"/>
    <w:rsid w:val="00B96D87"/>
    <w:rsid w:val="00BB2FD5"/>
    <w:rsid w:val="00BB41D7"/>
    <w:rsid w:val="00BC480F"/>
    <w:rsid w:val="00BF1B7C"/>
    <w:rsid w:val="00BF2B01"/>
    <w:rsid w:val="00BF3632"/>
    <w:rsid w:val="00BF6678"/>
    <w:rsid w:val="00C03F51"/>
    <w:rsid w:val="00C123AB"/>
    <w:rsid w:val="00C237C9"/>
    <w:rsid w:val="00C501AE"/>
    <w:rsid w:val="00C551D6"/>
    <w:rsid w:val="00C55636"/>
    <w:rsid w:val="00C63680"/>
    <w:rsid w:val="00C6631A"/>
    <w:rsid w:val="00C75E13"/>
    <w:rsid w:val="00C8784A"/>
    <w:rsid w:val="00C966A3"/>
    <w:rsid w:val="00CC2E77"/>
    <w:rsid w:val="00CD56AC"/>
    <w:rsid w:val="00CD7A9A"/>
    <w:rsid w:val="00CF02E8"/>
    <w:rsid w:val="00CF2420"/>
    <w:rsid w:val="00D33064"/>
    <w:rsid w:val="00D33EFA"/>
    <w:rsid w:val="00D36418"/>
    <w:rsid w:val="00D568E2"/>
    <w:rsid w:val="00D603C8"/>
    <w:rsid w:val="00D73139"/>
    <w:rsid w:val="00D758F6"/>
    <w:rsid w:val="00D76B57"/>
    <w:rsid w:val="00DA06EB"/>
    <w:rsid w:val="00DA1CE4"/>
    <w:rsid w:val="00DA6496"/>
    <w:rsid w:val="00DB7294"/>
    <w:rsid w:val="00DC129E"/>
    <w:rsid w:val="00DC5642"/>
    <w:rsid w:val="00DD1D0F"/>
    <w:rsid w:val="00DE3130"/>
    <w:rsid w:val="00E42473"/>
    <w:rsid w:val="00E44788"/>
    <w:rsid w:val="00E556DF"/>
    <w:rsid w:val="00E8112E"/>
    <w:rsid w:val="00E83E55"/>
    <w:rsid w:val="00E9383B"/>
    <w:rsid w:val="00EA1867"/>
    <w:rsid w:val="00EB0703"/>
    <w:rsid w:val="00EB3C51"/>
    <w:rsid w:val="00EF253D"/>
    <w:rsid w:val="00F019A1"/>
    <w:rsid w:val="00F55E3C"/>
    <w:rsid w:val="00F632C2"/>
    <w:rsid w:val="00F73B82"/>
    <w:rsid w:val="00F81658"/>
    <w:rsid w:val="00F920AF"/>
    <w:rsid w:val="00FA28C3"/>
    <w:rsid w:val="00FB2B95"/>
    <w:rsid w:val="00FD4D96"/>
    <w:rsid w:val="00FD70EF"/>
    <w:rsid w:val="00FF0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8EE6"/>
  <w15:chartTrackingRefBased/>
  <w15:docId w15:val="{C1AD81CD-FF84-4134-9ED6-F5B3F34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9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F9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20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20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20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20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20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20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20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20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F920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20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20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20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20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20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20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20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20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920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920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20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20AF"/>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B"/>
    <w:basedOn w:val="prastasis"/>
    <w:link w:val="SraopastraipaDiagrama"/>
    <w:uiPriority w:val="34"/>
    <w:qFormat/>
    <w:rsid w:val="00F920AF"/>
    <w:pPr>
      <w:ind w:left="720"/>
      <w:contextualSpacing/>
    </w:pPr>
  </w:style>
  <w:style w:type="character" w:styleId="Rykuspabraukimas">
    <w:name w:val="Intense Emphasis"/>
    <w:basedOn w:val="Numatytasispastraiposriftas"/>
    <w:uiPriority w:val="21"/>
    <w:qFormat/>
    <w:rsid w:val="00F920AF"/>
    <w:rPr>
      <w:i/>
      <w:iCs/>
      <w:color w:val="2F5496" w:themeColor="accent1" w:themeShade="BF"/>
    </w:rPr>
  </w:style>
  <w:style w:type="paragraph" w:styleId="Iskirtacitata">
    <w:name w:val="Intense Quote"/>
    <w:basedOn w:val="prastasis"/>
    <w:next w:val="prastasis"/>
    <w:link w:val="IskirtacitataDiagrama"/>
    <w:uiPriority w:val="30"/>
    <w:qFormat/>
    <w:rsid w:val="00F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20AF"/>
    <w:rPr>
      <w:i/>
      <w:iCs/>
      <w:color w:val="2F5496" w:themeColor="accent1" w:themeShade="BF"/>
    </w:rPr>
  </w:style>
  <w:style w:type="character" w:styleId="Rykinuoroda">
    <w:name w:val="Intense Reference"/>
    <w:basedOn w:val="Numatytasispastraiposriftas"/>
    <w:uiPriority w:val="32"/>
    <w:qFormat/>
    <w:rsid w:val="00F920AF"/>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30E7A"/>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0E7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C501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1AE"/>
  </w:style>
  <w:style w:type="paragraph" w:styleId="Porat">
    <w:name w:val="footer"/>
    <w:basedOn w:val="prastasis"/>
    <w:link w:val="PoratDiagrama"/>
    <w:uiPriority w:val="99"/>
    <w:unhideWhenUsed/>
    <w:rsid w:val="00C501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1AE"/>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36E72"/>
  </w:style>
  <w:style w:type="character" w:styleId="Komentaronuoroda">
    <w:name w:val="annotation reference"/>
    <w:basedOn w:val="Numatytasispastraiposriftas"/>
    <w:uiPriority w:val="99"/>
    <w:semiHidden/>
    <w:unhideWhenUsed/>
    <w:rsid w:val="00367DF9"/>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367DF9"/>
    <w:pPr>
      <w:spacing w:line="240" w:lineRule="auto"/>
    </w:pPr>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367DF9"/>
    <w:rPr>
      <w:sz w:val="20"/>
      <w:szCs w:val="20"/>
    </w:rPr>
  </w:style>
  <w:style w:type="paragraph" w:styleId="Komentarotema">
    <w:name w:val="annotation subject"/>
    <w:basedOn w:val="Komentarotekstas"/>
    <w:next w:val="Komentarotekstas"/>
    <w:link w:val="KomentarotemaDiagrama"/>
    <w:uiPriority w:val="99"/>
    <w:semiHidden/>
    <w:unhideWhenUsed/>
    <w:rsid w:val="00367DF9"/>
    <w:rPr>
      <w:b/>
      <w:bCs/>
    </w:rPr>
  </w:style>
  <w:style w:type="character" w:customStyle="1" w:styleId="KomentarotemaDiagrama">
    <w:name w:val="Komentaro tema Diagrama"/>
    <w:basedOn w:val="KomentarotekstasDiagrama"/>
    <w:link w:val="Komentarotema"/>
    <w:uiPriority w:val="99"/>
    <w:semiHidden/>
    <w:rsid w:val="00367DF9"/>
    <w:rPr>
      <w:b/>
      <w:bCs/>
      <w:sz w:val="20"/>
      <w:szCs w:val="20"/>
    </w:rPr>
  </w:style>
  <w:style w:type="character" w:styleId="Hipersaitas">
    <w:name w:val="Hyperlink"/>
    <w:aliases w:val="Alna,IVPK Hyperlink"/>
    <w:basedOn w:val="Numatytasispastraiposriftas"/>
    <w:uiPriority w:val="99"/>
    <w:unhideWhenUsed/>
    <w:rsid w:val="00E9383B"/>
    <w:rPr>
      <w:strike w:val="0"/>
      <w:dstrike w:val="0"/>
      <w:color w:val="auto"/>
      <w:u w:val="none"/>
      <w:effect w:val="none"/>
    </w:rPr>
  </w:style>
  <w:style w:type="table" w:customStyle="1" w:styleId="TableGrid3">
    <w:name w:val="Table Grid3"/>
    <w:basedOn w:val="prastojilentel"/>
    <w:next w:val="Lentelstinklelis"/>
    <w:uiPriority w:val="39"/>
    <w:rsid w:val="00E938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E9383B"/>
  </w:style>
  <w:style w:type="table" w:styleId="Lentelstinklelis">
    <w:name w:val="Table Grid"/>
    <w:basedOn w:val="prastojilentel"/>
    <w:uiPriority w:val="39"/>
    <w:rsid w:val="00E9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lt/naujienos/lietuvos-auksciausiojo-teismo-2022-m-spalio-6-d-nutartis-civilineje-byloje-nr-e3k-3-328-469-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3799</Words>
  <Characters>2166</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irina.kumslytiene@mazeikiai.lt</cp:lastModifiedBy>
  <cp:revision>11</cp:revision>
  <dcterms:created xsi:type="dcterms:W3CDTF">2025-10-06T08:09:00Z</dcterms:created>
  <dcterms:modified xsi:type="dcterms:W3CDTF">2025-10-08T10:23:00Z</dcterms:modified>
</cp:coreProperties>
</file>