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6B96" w14:textId="77777777" w:rsidR="009C5D91" w:rsidRPr="00E52C9C" w:rsidRDefault="00776ADC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59C43CEC" w14:textId="77777777" w:rsidR="00064A9C" w:rsidRDefault="00064A9C" w:rsidP="00BE5828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</w:p>
    <w:p w14:paraId="586204FF" w14:textId="77777777"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43668D9E" w14:textId="3073BCA2" w:rsidR="00C429A4" w:rsidRDefault="000310AA" w:rsidP="00E20D4F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OPERACINIŲ ĮRANGOS DALYS</w:t>
      </w:r>
      <w:r w:rsidR="009342D8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(</w:t>
      </w:r>
      <w:r w:rsidR="00511436"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 w:rsidR="004E1BE9"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42</w:t>
      </w:r>
      <w:r w:rsidR="00EB21FD">
        <w:rPr>
          <w:rFonts w:eastAsia="Times New Roman" w:cs="Times New Roman"/>
          <w:b/>
          <w:color w:val="auto"/>
          <w:sz w:val="24"/>
          <w:szCs w:val="24"/>
          <w:lang w:val="lt-LT"/>
        </w:rPr>
        <w:t>3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)</w:t>
      </w:r>
    </w:p>
    <w:p w14:paraId="5053BE37" w14:textId="77777777" w:rsidR="002A68CE" w:rsidRPr="00E52C9C" w:rsidRDefault="002A68CE" w:rsidP="00E20D4F">
      <w:pPr>
        <w:pStyle w:val="Body2"/>
        <w:jc w:val="center"/>
        <w:rPr>
          <w:lang w:val="lt-LT"/>
        </w:rPr>
      </w:pPr>
    </w:p>
    <w:p w14:paraId="37B51953" w14:textId="2065D37E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1.</w:t>
      </w:r>
      <w:r w:rsidR="006D4DF7" w:rsidRPr="00E52C9C">
        <w:rPr>
          <w:color w:val="000000" w:themeColor="text1"/>
          <w:lang w:val="lt-LT"/>
        </w:rPr>
        <w:t xml:space="preserve"> </w:t>
      </w:r>
      <w:proofErr w:type="spellStart"/>
      <w:r w:rsidR="00F63F6A" w:rsidRPr="00E52C9C">
        <w:rPr>
          <w:color w:val="000000" w:themeColor="text1"/>
        </w:rPr>
        <w:t>VšĮ</w:t>
      </w:r>
      <w:proofErr w:type="spellEnd"/>
      <w:r w:rsidR="00F63F6A" w:rsidRPr="00E52C9C">
        <w:rPr>
          <w:color w:val="000000" w:themeColor="text1"/>
        </w:rPr>
        <w:t xml:space="preserve"> Vilniaus </w:t>
      </w:r>
      <w:proofErr w:type="spellStart"/>
      <w:r w:rsidR="00F63F6A" w:rsidRPr="00E52C9C">
        <w:rPr>
          <w:color w:val="000000" w:themeColor="text1"/>
        </w:rPr>
        <w:t>universiteto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ligoninė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Santaros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klinikos</w:t>
      </w:r>
      <w:proofErr w:type="spellEnd"/>
      <w:r w:rsidR="00F63F6A" w:rsidRPr="00E52C9C">
        <w:rPr>
          <w:color w:val="000000" w:themeColor="text1"/>
        </w:rPr>
        <w:t xml:space="preserve"> (</w:t>
      </w:r>
      <w:proofErr w:type="spellStart"/>
      <w:r w:rsidR="00F63F6A" w:rsidRPr="00E52C9C">
        <w:rPr>
          <w:color w:val="000000" w:themeColor="text1"/>
        </w:rPr>
        <w:t>toliau</w:t>
      </w:r>
      <w:proofErr w:type="spellEnd"/>
      <w:r w:rsidR="00F63F6A" w:rsidRPr="00E52C9C">
        <w:rPr>
          <w:color w:val="000000" w:themeColor="text1"/>
        </w:rPr>
        <w:t xml:space="preserve"> </w:t>
      </w:r>
      <w:r w:rsidR="006007BC">
        <w:rPr>
          <w:color w:val="000000" w:themeColor="text1"/>
        </w:rPr>
        <w:t>–</w:t>
      </w:r>
      <w:r w:rsidR="00F63F6A" w:rsidRPr="00E52C9C">
        <w:rPr>
          <w:color w:val="000000" w:themeColor="text1"/>
        </w:rPr>
        <w:t xml:space="preserve"> </w:t>
      </w:r>
      <w:r w:rsidR="006D4DF7" w:rsidRPr="00E52C9C">
        <w:rPr>
          <w:color w:val="000000" w:themeColor="text1"/>
        </w:rPr>
        <w:t>PO</w:t>
      </w:r>
      <w:r w:rsidR="00F63F6A" w:rsidRPr="00E52C9C">
        <w:rPr>
          <w:color w:val="000000" w:themeColor="text1"/>
        </w:rPr>
        <w:t xml:space="preserve">), </w:t>
      </w:r>
      <w:proofErr w:type="spellStart"/>
      <w:r w:rsidR="00F63F6A" w:rsidRPr="00E52C9C">
        <w:rPr>
          <w:color w:val="000000" w:themeColor="text1"/>
        </w:rPr>
        <w:t>vykdydama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viešąjį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pirkimą</w:t>
      </w:r>
      <w:proofErr w:type="spellEnd"/>
      <w:r w:rsidR="00A7139E">
        <w:rPr>
          <w:color w:val="000000" w:themeColor="text1"/>
        </w:rPr>
        <w:t>,</w:t>
      </w:r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numato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9342D8" w:rsidRPr="00640B6E">
        <w:rPr>
          <w:color w:val="000000" w:themeColor="text1"/>
        </w:rPr>
        <w:t>įsigyti</w:t>
      </w:r>
      <w:proofErr w:type="spellEnd"/>
      <w:r w:rsidR="00A27CD8" w:rsidRPr="00640B6E">
        <w:rPr>
          <w:color w:val="000000" w:themeColor="text1"/>
        </w:rPr>
        <w:t xml:space="preserve"> </w:t>
      </w:r>
      <w:r w:rsidR="00934CE3">
        <w:rPr>
          <w:color w:val="000000" w:themeColor="text1"/>
          <w:lang w:val="lt-LT"/>
        </w:rPr>
        <w:t>operacinių įrangos dalis</w:t>
      </w:r>
      <w:r w:rsidR="00FF1ADC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(toliau </w:t>
      </w:r>
      <w:r w:rsidR="004E1BE9">
        <w:rPr>
          <w:color w:val="000000" w:themeColor="text1"/>
          <w:lang w:val="lt-LT"/>
        </w:rPr>
        <w:t>–</w:t>
      </w:r>
      <w:r w:rsidRPr="00E52C9C">
        <w:rPr>
          <w:color w:val="000000" w:themeColor="text1"/>
          <w:lang w:val="lt-LT"/>
        </w:rPr>
        <w:t xml:space="preserve"> prekė</w:t>
      </w:r>
      <w:r w:rsidR="00DB67DF">
        <w:rPr>
          <w:color w:val="000000" w:themeColor="text1"/>
          <w:lang w:val="lt-LT"/>
        </w:rPr>
        <w:t>s</w:t>
      </w:r>
      <w:r w:rsidRPr="00E52C9C">
        <w:rPr>
          <w:color w:val="000000" w:themeColor="text1"/>
          <w:lang w:val="lt-LT"/>
        </w:rPr>
        <w:t>)</w:t>
      </w:r>
      <w:r w:rsidR="00116B0B" w:rsidRPr="00E52C9C">
        <w:rPr>
          <w:color w:val="FF0000"/>
          <w:lang w:val="lt-LT"/>
        </w:rPr>
        <w:t>.</w:t>
      </w:r>
    </w:p>
    <w:p w14:paraId="39995AB9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586FC7">
        <w:rPr>
          <w:color w:val="auto"/>
          <w:lang w:val="lt-LT"/>
        </w:rPr>
        <w:t>supaprastintą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Pr="00E52C9C">
        <w:rPr>
          <w:color w:val="000000" w:themeColor="text1"/>
          <w:lang w:val="lt-LT"/>
        </w:rPr>
        <w:t xml:space="preserve"> atviro konkurso būdu.</w:t>
      </w:r>
    </w:p>
    <w:p w14:paraId="4B3A2F51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3</w:t>
      </w:r>
      <w:r w:rsidRPr="00E52C9C">
        <w:rPr>
          <w:color w:val="000000" w:themeColor="text1"/>
          <w:lang w:val="lt-LT"/>
        </w:rPr>
        <w:t xml:space="preserve">. </w:t>
      </w:r>
      <w:r w:rsidR="007D4B46" w:rsidRPr="00E52C9C">
        <w:rPr>
          <w:color w:val="000000" w:themeColor="text1"/>
          <w:lang w:val="lt-LT"/>
        </w:rPr>
        <w:t>I</w:t>
      </w:r>
      <w:r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="007D4B46" w:rsidRPr="00E52C9C">
        <w:rPr>
          <w:color w:val="000000" w:themeColor="text1"/>
          <w:lang w:val="lt-LT"/>
        </w:rPr>
        <w:t xml:space="preserve"> paskelbtas.</w:t>
      </w:r>
      <w:r w:rsidR="00AD1478">
        <w:rPr>
          <w:color w:val="000000" w:themeColor="text1"/>
          <w:lang w:val="lt-LT"/>
        </w:rPr>
        <w:t xml:space="preserve"> </w:t>
      </w:r>
    </w:p>
    <w:p w14:paraId="1236148A" w14:textId="77777777" w:rsidR="009C5D91" w:rsidRPr="00E52C9C" w:rsidRDefault="004D35E3" w:rsidP="007D4B46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4</w:t>
      </w:r>
      <w:r w:rsidRPr="00E52C9C">
        <w:rPr>
          <w:color w:val="000000" w:themeColor="text1"/>
          <w:lang w:val="lt-LT"/>
        </w:rPr>
        <w:t xml:space="preserve">. </w:t>
      </w:r>
      <w:r w:rsidR="00064A9C" w:rsidRPr="00064A9C">
        <w:rPr>
          <w:color w:val="000000" w:themeColor="text1"/>
          <w:lang w:val="lt-LT"/>
        </w:rPr>
        <w:t>Tiesioginį ryšį su tiekėjais įgaliotas palaikyti perkančiosios organizacijos atstovas: R</w:t>
      </w:r>
      <w:r w:rsidR="00E2429D">
        <w:rPr>
          <w:color w:val="000000" w:themeColor="text1"/>
          <w:lang w:val="lt-LT"/>
        </w:rPr>
        <w:t>emigijus Šivickis</w:t>
      </w:r>
      <w:r w:rsidR="00064A9C" w:rsidRPr="00064A9C">
        <w:rPr>
          <w:color w:val="000000" w:themeColor="text1"/>
          <w:lang w:val="lt-LT"/>
        </w:rPr>
        <w:t>, vyriausi</w:t>
      </w:r>
      <w:r w:rsidR="00E2429D">
        <w:rPr>
          <w:color w:val="000000" w:themeColor="text1"/>
          <w:lang w:val="lt-LT"/>
        </w:rPr>
        <w:t>asis</w:t>
      </w:r>
      <w:r w:rsidR="00064A9C" w:rsidRPr="00064A9C">
        <w:rPr>
          <w:color w:val="000000" w:themeColor="text1"/>
          <w:lang w:val="lt-LT"/>
        </w:rPr>
        <w:t xml:space="preserve"> viešųjų pirkimų specialist</w:t>
      </w:r>
      <w:r w:rsidR="00E2429D">
        <w:rPr>
          <w:color w:val="000000" w:themeColor="text1"/>
          <w:lang w:val="lt-LT"/>
        </w:rPr>
        <w:t>as</w:t>
      </w:r>
      <w:r w:rsidR="00064A9C" w:rsidRPr="00064A9C">
        <w:rPr>
          <w:color w:val="000000" w:themeColor="text1"/>
          <w:lang w:val="lt-LT"/>
        </w:rPr>
        <w:t>, tel. +370</w:t>
      </w:r>
      <w:r w:rsidR="0020587E">
        <w:rPr>
          <w:color w:val="000000" w:themeColor="text1"/>
          <w:lang w:val="lt-LT"/>
        </w:rPr>
        <w:t> 688 62764</w:t>
      </w:r>
      <w:r w:rsidR="00064A9C" w:rsidRPr="00064A9C">
        <w:rPr>
          <w:color w:val="000000" w:themeColor="text1"/>
          <w:lang w:val="lt-LT"/>
        </w:rPr>
        <w:t xml:space="preserve">, el. p. </w:t>
      </w:r>
      <w:proofErr w:type="spellStart"/>
      <w:r w:rsidR="00064A9C" w:rsidRPr="00064A9C">
        <w:rPr>
          <w:color w:val="000000" w:themeColor="text1"/>
          <w:lang w:val="lt-LT"/>
        </w:rPr>
        <w:t>r</w:t>
      </w:r>
      <w:r w:rsidR="00BC432F">
        <w:rPr>
          <w:color w:val="000000" w:themeColor="text1"/>
          <w:lang w:val="lt-LT"/>
        </w:rPr>
        <w:t>emigijus</w:t>
      </w:r>
      <w:r w:rsidR="00064A9C" w:rsidRPr="00064A9C">
        <w:rPr>
          <w:color w:val="000000" w:themeColor="text1"/>
          <w:lang w:val="lt-LT"/>
        </w:rPr>
        <w:t>.s</w:t>
      </w:r>
      <w:r w:rsidR="00BC432F">
        <w:rPr>
          <w:color w:val="000000" w:themeColor="text1"/>
          <w:lang w:val="lt-LT"/>
        </w:rPr>
        <w:t>ivickis</w:t>
      </w:r>
      <w:r w:rsidR="00064A9C" w:rsidRPr="00064A9C">
        <w:rPr>
          <w:color w:val="000000" w:themeColor="text1"/>
          <w:lang w:val="lt-LT"/>
        </w:rPr>
        <w:t>@santa.lt</w:t>
      </w:r>
      <w:proofErr w:type="spellEnd"/>
      <w:r w:rsidR="00064A9C" w:rsidRPr="00064A9C">
        <w:rPr>
          <w:color w:val="000000" w:themeColor="text1"/>
          <w:lang w:val="lt-LT"/>
        </w:rPr>
        <w:t xml:space="preserve">, Santariškių g. </w:t>
      </w:r>
      <w:r w:rsidR="00511436">
        <w:rPr>
          <w:color w:val="000000" w:themeColor="text1"/>
          <w:lang w:val="lt-LT"/>
        </w:rPr>
        <w:t>4</w:t>
      </w:r>
      <w:r w:rsidR="00064A9C" w:rsidRPr="00064A9C">
        <w:rPr>
          <w:color w:val="000000" w:themeColor="text1"/>
          <w:lang w:val="lt-LT"/>
        </w:rPr>
        <w:t>, LT-08406 Vilnius</w:t>
      </w:r>
      <w:r w:rsidR="00116B0B" w:rsidRPr="00E52C9C">
        <w:rPr>
          <w:color w:val="000000" w:themeColor="text1"/>
          <w:lang w:val="lt-LT"/>
        </w:rPr>
        <w:t xml:space="preserve">.  </w:t>
      </w:r>
    </w:p>
    <w:p w14:paraId="3FBEAB01" w14:textId="39ABFAFA" w:rsidR="00E87DAD" w:rsidRPr="00E52C9C" w:rsidRDefault="004D35E3" w:rsidP="009C6CC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5.</w:t>
      </w:r>
      <w:r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 xml:space="preserve">Pirkimo </w:t>
      </w:r>
      <w:r w:rsidR="00116B0B" w:rsidRPr="00640B6E">
        <w:rPr>
          <w:color w:val="000000" w:themeColor="text1"/>
          <w:lang w:val="lt-LT"/>
        </w:rPr>
        <w:t>ob</w:t>
      </w:r>
      <w:r w:rsidR="00667801" w:rsidRPr="00640B6E">
        <w:rPr>
          <w:color w:val="000000" w:themeColor="text1"/>
          <w:lang w:val="lt-LT"/>
        </w:rPr>
        <w:t>jektas yra</w:t>
      </w:r>
      <w:r w:rsidR="001B28D1" w:rsidRPr="00640B6E">
        <w:rPr>
          <w:color w:val="000000" w:themeColor="text1"/>
          <w:lang w:val="lt-LT"/>
        </w:rPr>
        <w:t xml:space="preserve"> </w:t>
      </w:r>
      <w:r w:rsidR="00B64001">
        <w:rPr>
          <w:color w:val="000000" w:themeColor="text1"/>
          <w:lang w:val="lt-LT"/>
        </w:rPr>
        <w:t>operacinių įrangos dal</w:t>
      </w:r>
      <w:r w:rsidR="00B64001">
        <w:rPr>
          <w:color w:val="000000" w:themeColor="text1"/>
          <w:lang w:val="lt-LT"/>
        </w:rPr>
        <w:t>y</w:t>
      </w:r>
      <w:r w:rsidR="00B64001">
        <w:rPr>
          <w:color w:val="000000" w:themeColor="text1"/>
          <w:lang w:val="lt-LT"/>
        </w:rPr>
        <w:t>s</w:t>
      </w:r>
      <w:r w:rsidR="009342D8">
        <w:rPr>
          <w:color w:val="000000" w:themeColor="text1"/>
          <w:lang w:val="lt-LT"/>
        </w:rPr>
        <w:t>.</w:t>
      </w:r>
      <w:r w:rsidR="00BC0222">
        <w:rPr>
          <w:color w:val="000000" w:themeColor="text1"/>
          <w:lang w:val="lt-LT"/>
        </w:rPr>
        <w:t xml:space="preserve"> </w:t>
      </w:r>
    </w:p>
    <w:p w14:paraId="10B31A09" w14:textId="6A680092" w:rsidR="00BE0A8E" w:rsidRPr="00E52C9C" w:rsidRDefault="00B00ADE" w:rsidP="003E5822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6</w:t>
      </w:r>
      <w:r w:rsidR="00E87DAD" w:rsidRPr="00E52C9C">
        <w:rPr>
          <w:color w:val="000000" w:themeColor="text1"/>
          <w:lang w:val="lt-LT"/>
        </w:rPr>
        <w:t xml:space="preserve">. </w:t>
      </w:r>
      <w:r w:rsidR="006F4F4A">
        <w:rPr>
          <w:color w:val="000000" w:themeColor="text1"/>
          <w:lang w:val="lt-LT"/>
        </w:rPr>
        <w:t>Pirkimas</w:t>
      </w:r>
      <w:r w:rsidR="00D7471E">
        <w:rPr>
          <w:color w:val="000000" w:themeColor="text1"/>
          <w:lang w:val="lt-LT"/>
        </w:rPr>
        <w:t xml:space="preserve"> </w:t>
      </w:r>
      <w:r w:rsidR="00794D90">
        <w:rPr>
          <w:color w:val="000000" w:themeColor="text1"/>
          <w:lang w:val="lt-LT"/>
        </w:rPr>
        <w:t>yra</w:t>
      </w:r>
      <w:r w:rsidR="006F4F4A">
        <w:rPr>
          <w:color w:val="000000" w:themeColor="text1"/>
          <w:lang w:val="lt-LT"/>
        </w:rPr>
        <w:t xml:space="preserve"> </w:t>
      </w:r>
      <w:r w:rsidR="00586FC7">
        <w:rPr>
          <w:color w:val="000000" w:themeColor="text1"/>
          <w:lang w:val="lt-LT"/>
        </w:rPr>
        <w:t>skaidomas</w:t>
      </w:r>
      <w:r w:rsidR="00446DB8">
        <w:rPr>
          <w:color w:val="000000" w:themeColor="text1"/>
          <w:lang w:val="lt-LT"/>
        </w:rPr>
        <w:t xml:space="preserve"> į </w:t>
      </w:r>
      <w:r w:rsidR="007422D5">
        <w:rPr>
          <w:color w:val="000000" w:themeColor="text1"/>
          <w:lang w:val="lt-LT"/>
        </w:rPr>
        <w:t>5</w:t>
      </w:r>
      <w:r w:rsidR="00794D90">
        <w:rPr>
          <w:color w:val="000000" w:themeColor="text1"/>
          <w:lang w:val="lt-LT"/>
        </w:rPr>
        <w:t xml:space="preserve"> </w:t>
      </w:r>
      <w:r w:rsidR="00446DB8">
        <w:rPr>
          <w:color w:val="000000" w:themeColor="text1"/>
          <w:lang w:val="lt-LT"/>
        </w:rPr>
        <w:t>dali</w:t>
      </w:r>
      <w:r w:rsidR="007422D5">
        <w:rPr>
          <w:color w:val="000000" w:themeColor="text1"/>
          <w:lang w:val="lt-LT"/>
        </w:rPr>
        <w:t>s</w:t>
      </w:r>
      <w:r w:rsidR="00446DB8">
        <w:rPr>
          <w:color w:val="000000" w:themeColor="text1"/>
          <w:lang w:val="lt-LT"/>
        </w:rPr>
        <w:t>.</w:t>
      </w:r>
      <w:r w:rsidR="00033196">
        <w:rPr>
          <w:color w:val="000000" w:themeColor="text1"/>
          <w:lang w:val="lt-LT"/>
        </w:rPr>
        <w:t xml:space="preserve"> </w:t>
      </w:r>
    </w:p>
    <w:p w14:paraId="41FA887C" w14:textId="2EF6CC79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7. </w:t>
      </w:r>
      <w:r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Pr="00E52C9C">
        <w:rPr>
          <w:color w:val="000000" w:themeColor="text1"/>
          <w:lang w:val="lt-LT"/>
        </w:rPr>
        <w:t xml:space="preserve"> priede „</w:t>
      </w:r>
      <w:r w:rsidR="005F4392" w:rsidRPr="005F4392">
        <w:rPr>
          <w:color w:val="000000" w:themeColor="text1"/>
          <w:lang w:val="lt-LT"/>
        </w:rPr>
        <w:t>Prekių pirkimo-pardavimo sutarties bendrosios ir specialiosios sąlygos“ (projekte)</w:t>
      </w:r>
      <w:r w:rsidR="00B00ADE"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</w:p>
    <w:p w14:paraId="4352E63F" w14:textId="77777777" w:rsidR="00116B0B" w:rsidRPr="00E52C9C" w:rsidRDefault="004D35E3" w:rsidP="00116B0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8. </w:t>
      </w:r>
      <w:r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 xml:space="preserve">: </w:t>
      </w:r>
      <w:r w:rsidR="00116B0B" w:rsidRPr="00DA7E8B">
        <w:rPr>
          <w:color w:val="auto"/>
          <w:lang w:val="lt-LT"/>
        </w:rPr>
        <w:t>VšĮ Vilniaus universiteto ligoninė Santaros klini</w:t>
      </w:r>
      <w:r w:rsidR="00862FB9" w:rsidRPr="00DA7E8B">
        <w:rPr>
          <w:color w:val="auto"/>
          <w:lang w:val="lt-LT"/>
        </w:rPr>
        <w:t>kos, Santariškių g. 2,</w:t>
      </w:r>
      <w:r w:rsidR="00B92B2A">
        <w:rPr>
          <w:color w:val="auto"/>
          <w:lang w:val="lt-LT"/>
        </w:rPr>
        <w:t xml:space="preserve"> </w:t>
      </w:r>
      <w:r w:rsidR="00862FB9" w:rsidRPr="00DA7E8B">
        <w:rPr>
          <w:color w:val="auto"/>
          <w:lang w:val="lt-LT"/>
        </w:rPr>
        <w:t>LT-084</w:t>
      </w:r>
      <w:r w:rsidR="00217DC7" w:rsidRPr="00DA7E8B">
        <w:rPr>
          <w:color w:val="auto"/>
          <w:lang w:val="lt-LT"/>
        </w:rPr>
        <w:t xml:space="preserve">06 </w:t>
      </w:r>
      <w:r w:rsidR="00116B0B" w:rsidRPr="00DA7E8B">
        <w:rPr>
          <w:color w:val="auto"/>
          <w:lang w:val="lt-LT"/>
        </w:rPr>
        <w:t>Vilnius</w:t>
      </w:r>
      <w:r w:rsidR="00776ADC" w:rsidRPr="00E52C9C">
        <w:rPr>
          <w:color w:val="000000" w:themeColor="text1"/>
          <w:lang w:val="lt-LT"/>
        </w:rPr>
        <w:t>.</w:t>
      </w:r>
      <w:r w:rsidRPr="00E52C9C">
        <w:rPr>
          <w:color w:val="000000" w:themeColor="text1"/>
          <w:lang w:val="lt-LT"/>
        </w:rPr>
        <w:tab/>
      </w:r>
    </w:p>
    <w:p w14:paraId="5E57D9A0" w14:textId="77777777" w:rsidR="009C5D91" w:rsidRPr="00E52C9C" w:rsidRDefault="00116B0B" w:rsidP="00812EC4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A85348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B00ADE"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14:paraId="6B44A7B0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10. </w:t>
      </w:r>
      <w:r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8878F4">
        <w:rPr>
          <w:color w:val="000000" w:themeColor="text1"/>
          <w:lang w:val="lt-LT"/>
        </w:rPr>
        <w:t>10</w:t>
      </w:r>
      <w:r w:rsidR="002C4556" w:rsidRPr="00E52C9C">
        <w:rPr>
          <w:color w:val="000000" w:themeColor="text1"/>
          <w:lang w:val="lt-LT"/>
        </w:rPr>
        <w:t>.</w:t>
      </w:r>
      <w:r w:rsidR="00AD6B15">
        <w:rPr>
          <w:color w:val="000000" w:themeColor="text1"/>
          <w:lang w:val="lt-LT"/>
        </w:rPr>
        <w:t xml:space="preserve"> </w:t>
      </w:r>
      <w:r w:rsidR="002C4556" w:rsidRPr="00E52C9C">
        <w:rPr>
          <w:color w:val="000000" w:themeColor="text1"/>
          <w:lang w:val="lt-LT"/>
        </w:rPr>
        <w:t>p.</w:t>
      </w:r>
    </w:p>
    <w:p w14:paraId="43E1FF9A" w14:textId="1E418BA5" w:rsidR="002C4556" w:rsidRPr="00E52C9C" w:rsidRDefault="004D35E3" w:rsidP="00013749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2C4556" w:rsidRPr="00E52C9C">
        <w:rPr>
          <w:color w:val="000000" w:themeColor="text1"/>
          <w:lang w:val="lt-LT"/>
        </w:rPr>
        <w:t xml:space="preserve">11. </w:t>
      </w:r>
      <w:r w:rsidRPr="00E52C9C">
        <w:rPr>
          <w:color w:val="000000" w:themeColor="text1"/>
          <w:lang w:val="lt-LT"/>
        </w:rPr>
        <w:t xml:space="preserve">Tiekėjas, dalyvaujantis pirkime, turi atitikti </w:t>
      </w:r>
      <w:r w:rsidRPr="003402E4">
        <w:rPr>
          <w:color w:val="auto"/>
          <w:lang w:val="lt-LT"/>
        </w:rPr>
        <w:t>kvalifikacinius reikalavimus</w:t>
      </w:r>
      <w:r w:rsidR="002C4556" w:rsidRPr="003402E4">
        <w:rPr>
          <w:color w:val="auto"/>
          <w:lang w:val="lt-LT"/>
        </w:rPr>
        <w:t xml:space="preserve"> </w:t>
      </w:r>
      <w:r w:rsidRPr="003402E4">
        <w:rPr>
          <w:color w:val="auto"/>
          <w:lang w:val="lt-LT"/>
        </w:rPr>
        <w:t>ir, jeigu taikytina, laikytis kokybės vadybos sistemos ir (arba) aplinkos apsaugos vadybos sistemos standartų</w:t>
      </w:r>
      <w:r w:rsidR="002C4556" w:rsidRPr="003402E4">
        <w:rPr>
          <w:color w:val="auto"/>
          <w:lang w:val="lt-LT"/>
        </w:rPr>
        <w:t>:</w:t>
      </w:r>
      <w:r w:rsidR="00013749" w:rsidRPr="003402E4">
        <w:rPr>
          <w:color w:val="auto"/>
          <w:lang w:val="lt-LT"/>
        </w:rPr>
        <w:t xml:space="preserve"> </w:t>
      </w:r>
      <w:r w:rsidR="0098090C">
        <w:rPr>
          <w:color w:val="000000" w:themeColor="text1"/>
          <w:lang w:val="lt-LT"/>
        </w:rPr>
        <w:t>nevertinama.</w:t>
      </w:r>
      <w:r w:rsidR="003402E4">
        <w:rPr>
          <w:color w:val="000000" w:themeColor="text1"/>
          <w:lang w:val="lt-LT"/>
        </w:rPr>
        <w:t xml:space="preserve"> </w:t>
      </w:r>
    </w:p>
    <w:p w14:paraId="501789BE" w14:textId="77777777" w:rsidR="00DD671A" w:rsidRPr="00E52C9C" w:rsidRDefault="002C4556" w:rsidP="00DD671A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  <w:r w:rsidR="00A85348">
        <w:rPr>
          <w:color w:val="000000" w:themeColor="text1"/>
          <w:lang w:val="lt-LT"/>
        </w:rPr>
        <w:t xml:space="preserve"> </w:t>
      </w:r>
    </w:p>
    <w:p w14:paraId="320C0CD9" w14:textId="67CECAA8"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</w:t>
      </w:r>
      <w:r w:rsidR="00AD66D6">
        <w:rPr>
          <w:color w:val="000000" w:themeColor="text1"/>
          <w:lang w:val="lt-LT"/>
        </w:rPr>
        <w:t>:</w:t>
      </w:r>
      <w:r w:rsidRPr="00E52C9C">
        <w:rPr>
          <w:color w:val="000000" w:themeColor="text1"/>
          <w:lang w:val="lt-LT"/>
        </w:rPr>
        <w:t xml:space="preserve"> nereikalaujamas.</w:t>
      </w:r>
      <w:r w:rsidR="00985B04">
        <w:rPr>
          <w:color w:val="000000" w:themeColor="text1"/>
          <w:lang w:val="lt-LT"/>
        </w:rPr>
        <w:t xml:space="preserve"> </w:t>
      </w:r>
    </w:p>
    <w:p w14:paraId="1355BDF9" w14:textId="77777777" w:rsidR="006F4F4A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6F4F4A">
        <w:rPr>
          <w:color w:val="000000" w:themeColor="text1"/>
          <w:lang w:val="lt-LT"/>
        </w:rPr>
        <w:t xml:space="preserve">14. </w:t>
      </w:r>
      <w:r w:rsidR="006F4F4A" w:rsidRPr="00D65203">
        <w:rPr>
          <w:color w:val="000000" w:themeColor="text1"/>
          <w:lang w:val="lt-LT"/>
        </w:rPr>
        <w:t>Pirkime pateikti pirkimo objekto pavyzdžių</w:t>
      </w:r>
      <w:r w:rsidR="000F36B2">
        <w:rPr>
          <w:color w:val="000000" w:themeColor="text1"/>
          <w:lang w:val="lt-LT"/>
        </w:rPr>
        <w:t>:</w:t>
      </w:r>
      <w:r w:rsidR="00884C6F">
        <w:rPr>
          <w:color w:val="000000" w:themeColor="text1"/>
          <w:lang w:val="lt-LT"/>
        </w:rPr>
        <w:t xml:space="preserve"> </w:t>
      </w:r>
      <w:r w:rsidR="001A20C3">
        <w:rPr>
          <w:color w:val="000000" w:themeColor="text1"/>
          <w:lang w:val="lt-LT"/>
        </w:rPr>
        <w:t>nereikalaujama</w:t>
      </w:r>
      <w:r w:rsidR="006F4F4A" w:rsidRPr="00D65203">
        <w:rPr>
          <w:color w:val="000000" w:themeColor="text1"/>
          <w:lang w:val="lt-LT"/>
        </w:rPr>
        <w:t>.</w:t>
      </w:r>
      <w:r w:rsidR="006F4F4A" w:rsidRPr="00D65203">
        <w:rPr>
          <w:color w:val="000000" w:themeColor="text1"/>
          <w:lang w:val="lt-LT"/>
        </w:rPr>
        <w:tab/>
      </w:r>
    </w:p>
    <w:p w14:paraId="5B65A477" w14:textId="77777777" w:rsidR="00DD671A" w:rsidRPr="00E52C9C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15.</w:t>
      </w:r>
      <w:r w:rsidR="00070F46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PO atsako į CVP</w:t>
      </w:r>
      <w:r w:rsidR="00C1495B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IS prašymą dėl pirkimo dokumentų, je</w:t>
      </w:r>
      <w:r w:rsidR="00217DC7">
        <w:rPr>
          <w:color w:val="000000" w:themeColor="text1"/>
          <w:lang w:val="lt-LT"/>
        </w:rPr>
        <w:t xml:space="preserve">i prašymas yra pateiktas </w:t>
      </w:r>
      <w:r w:rsidR="009217B6">
        <w:t xml:space="preserve">ne </w:t>
      </w:r>
      <w:proofErr w:type="spellStart"/>
      <w:r w:rsidR="009217B6">
        <w:t>vėliau</w:t>
      </w:r>
      <w:proofErr w:type="spellEnd"/>
      <w:r w:rsidR="009217B6">
        <w:t xml:space="preserve"> </w:t>
      </w:r>
      <w:proofErr w:type="spellStart"/>
      <w:r w:rsidR="009217B6">
        <w:t>kaip</w:t>
      </w:r>
      <w:proofErr w:type="spellEnd"/>
      <w:r w:rsidR="009217B6">
        <w:t xml:space="preserve"> </w:t>
      </w:r>
      <w:proofErr w:type="spellStart"/>
      <w:r w:rsidR="009217B6">
        <w:t>likus</w:t>
      </w:r>
      <w:proofErr w:type="spellEnd"/>
      <w:r w:rsidR="00217DC7">
        <w:rPr>
          <w:color w:val="000000" w:themeColor="text1"/>
          <w:lang w:val="lt-LT"/>
        </w:rPr>
        <w:t xml:space="preserve"> </w:t>
      </w:r>
      <w:r w:rsidR="00511436">
        <w:rPr>
          <w:color w:val="000000" w:themeColor="text1"/>
          <w:lang w:val="lt-LT"/>
        </w:rPr>
        <w:t>6</w:t>
      </w:r>
      <w:r w:rsidR="00DA0CFE">
        <w:rPr>
          <w:color w:val="000000" w:themeColor="text1"/>
          <w:lang w:val="lt-LT"/>
        </w:rPr>
        <w:t xml:space="preserve"> (šešioms)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pabaigos.</w:t>
      </w:r>
    </w:p>
    <w:p w14:paraId="65634D1C" w14:textId="77777777" w:rsidR="00A34BEA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16. Tiekėjo CVP</w:t>
      </w:r>
      <w:r w:rsidR="001C386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IS prašymu papildomi pirkimo dokumentai (paaiškinimai ar pataisymai) pateikiami ne vėliau kaip likus </w:t>
      </w:r>
      <w:r w:rsidR="00217DC7">
        <w:rPr>
          <w:color w:val="auto"/>
          <w:lang w:val="lt-LT"/>
        </w:rPr>
        <w:t>4</w:t>
      </w:r>
      <w:r w:rsidR="00DA0CFE">
        <w:rPr>
          <w:color w:val="auto"/>
          <w:lang w:val="lt-LT"/>
        </w:rPr>
        <w:t xml:space="preserve"> (keturioms)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</w:r>
    </w:p>
    <w:p w14:paraId="2D9209E2" w14:textId="77777777" w:rsidR="00DD671A" w:rsidRPr="00E52C9C" w:rsidRDefault="00DD671A" w:rsidP="00A34BEA">
      <w:pPr>
        <w:pStyle w:val="Body2"/>
        <w:ind w:firstLine="709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17. PO rengti susitikimų su tiekėjais neketina.</w:t>
      </w:r>
      <w:r w:rsidR="00A34BEA">
        <w:rPr>
          <w:color w:val="000000" w:themeColor="text1"/>
          <w:lang w:val="lt-LT"/>
        </w:rPr>
        <w:t xml:space="preserve"> </w:t>
      </w:r>
    </w:p>
    <w:p w14:paraId="5691ED5B" w14:textId="77777777" w:rsidR="007D2695" w:rsidRDefault="00862FB9" w:rsidP="00A34BEA">
      <w:pPr>
        <w:pStyle w:val="Body2"/>
        <w:spacing w:after="8"/>
        <w:ind w:firstLine="709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18.</w:t>
      </w:r>
      <w:r w:rsidR="00720FAA">
        <w:rPr>
          <w:color w:val="000000" w:themeColor="text1"/>
          <w:lang w:val="lt-LT"/>
        </w:rPr>
        <w:t xml:space="preserve"> </w:t>
      </w:r>
      <w:r w:rsidR="00720FAA" w:rsidRPr="00B17BC0">
        <w:rPr>
          <w:color w:val="000000" w:themeColor="text1"/>
          <w:lang w:val="lt-LT"/>
        </w:rPr>
        <w:t>Perkančioji organizacija ekonomiškai naudingiausią pasiūlymą išrenka pagal mažiausią kainą. Maksimali pasiūlymo (vertinamoji) kaina, kurią viršijus pasiūlymas bus atmestas, yra</w:t>
      </w:r>
      <w:r w:rsidR="00720FAA">
        <w:rPr>
          <w:color w:val="000000" w:themeColor="text1"/>
          <w:lang w:val="lt-LT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402"/>
        <w:gridCol w:w="3827"/>
      </w:tblGrid>
      <w:tr w:rsidR="003C72F6" w14:paraId="31F16BA8" w14:textId="77777777" w:rsidTr="004D054B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620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lang w:val="lt-LT"/>
              </w:rPr>
              <w:t>Pirkimo dalies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9D6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2D454A22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bdr w:val="none" w:sz="0" w:space="0" w:color="auto"/>
                <w:lang w:val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be PVM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C9B3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01FBBF95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su PVM</w:t>
            </w:r>
          </w:p>
        </w:tc>
      </w:tr>
      <w:tr w:rsidR="003C72F6" w14:paraId="4C6D77D7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C2D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bdr w:val="none" w:sz="0" w:space="0" w:color="auto"/>
                <w:lang w:val="lt-LT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910B" w14:textId="6FE404CE" w:rsidR="003C72F6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795,62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43C3" w14:textId="14A7E81C" w:rsidR="003C72F6" w:rsidRDefault="00F151AD" w:rsidP="00120B0D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962,70</w:t>
            </w:r>
          </w:p>
        </w:tc>
      </w:tr>
      <w:tr w:rsidR="001D4AA4" w14:paraId="41D69E56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5725" w14:textId="61850ED9" w:rsidR="001D4AA4" w:rsidRDefault="001D4AA4" w:rsidP="004D054B">
            <w:pPr>
              <w:pStyle w:val="Body2"/>
              <w:spacing w:after="8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2EF32" w14:textId="74738324" w:rsidR="001D4AA4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2295,00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3950" w14:textId="3DC9E0EE" w:rsidR="001D4AA4" w:rsidRDefault="00F151AD" w:rsidP="00120B0D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2776,95</w:t>
            </w:r>
          </w:p>
        </w:tc>
      </w:tr>
      <w:tr w:rsidR="001D4AA4" w14:paraId="2BACE881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045" w14:textId="48979138" w:rsidR="001D4AA4" w:rsidRDefault="001D4AA4" w:rsidP="004D054B">
            <w:pPr>
              <w:pStyle w:val="Body2"/>
              <w:spacing w:after="8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A15DB" w14:textId="5F3F18F6" w:rsidR="001D4AA4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1056,00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54A4" w14:textId="722EF081" w:rsidR="001D4AA4" w:rsidRDefault="00F151AD" w:rsidP="00153330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1277,76</w:t>
            </w:r>
          </w:p>
        </w:tc>
      </w:tr>
      <w:tr w:rsidR="001D4AA4" w14:paraId="331BC944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FF5" w14:textId="79AAEAE1" w:rsidR="001D4AA4" w:rsidRDefault="001D4AA4" w:rsidP="004D054B">
            <w:pPr>
              <w:pStyle w:val="Body2"/>
              <w:spacing w:after="8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9B891" w14:textId="30DF63C1" w:rsidR="001D4AA4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1480,41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A8637" w14:textId="5EE698DB" w:rsidR="001D4AA4" w:rsidRDefault="00F151AD" w:rsidP="00353DE5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1791,30</w:t>
            </w:r>
          </w:p>
        </w:tc>
      </w:tr>
      <w:tr w:rsidR="001D4AA4" w14:paraId="5FC2C516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C60" w14:textId="2D01BC44" w:rsidR="001D4AA4" w:rsidRDefault="001D4AA4" w:rsidP="004D054B">
            <w:pPr>
              <w:pStyle w:val="Body2"/>
              <w:spacing w:after="8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897AB" w14:textId="25630FD1" w:rsidR="001D4AA4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3426,16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F37F6" w14:textId="54D280F7" w:rsidR="001D4AA4" w:rsidRDefault="00F151AD" w:rsidP="00153330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4145,65</w:t>
            </w:r>
            <w:bookmarkStart w:id="0" w:name="_GoBack"/>
            <w:bookmarkEnd w:id="0"/>
          </w:p>
        </w:tc>
      </w:tr>
    </w:tbl>
    <w:p w14:paraId="6E05F868" w14:textId="4038205F" w:rsidR="00720FAA" w:rsidRDefault="00B5392B" w:rsidP="00B5392B">
      <w:pPr>
        <w:pStyle w:val="Body2"/>
        <w:spacing w:after="8"/>
        <w:ind w:firstLine="709"/>
        <w:rPr>
          <w:color w:val="000000" w:themeColor="text1"/>
          <w:lang w:val="lt-LT"/>
        </w:rPr>
      </w:pPr>
      <w:r w:rsidRPr="00DF02AF">
        <w:rPr>
          <w:b/>
          <w:i/>
          <w:color w:val="auto"/>
          <w:lang w:val="lt-LT"/>
        </w:rPr>
        <w:t>Pastaba.</w:t>
      </w:r>
      <w:r w:rsidRPr="00DF02AF">
        <w:rPr>
          <w:i/>
          <w:color w:val="auto"/>
          <w:lang w:val="lt-LT"/>
        </w:rPr>
        <w:t xml:space="preserve"> </w:t>
      </w:r>
      <w:r w:rsidR="004854C9" w:rsidRPr="00922968">
        <w:rPr>
          <w:i/>
          <w:color w:val="auto"/>
          <w:u w:val="single"/>
          <w:lang w:val="lt-LT"/>
        </w:rPr>
        <w:t xml:space="preserve">PO kaina suplanuota taikant </w:t>
      </w:r>
      <w:r w:rsidR="00385A92">
        <w:rPr>
          <w:i/>
          <w:color w:val="auto"/>
          <w:u w:val="single"/>
          <w:lang w:val="lt-LT"/>
        </w:rPr>
        <w:t>21</w:t>
      </w:r>
      <w:r w:rsidR="004854C9" w:rsidRPr="00922968">
        <w:rPr>
          <w:i/>
          <w:color w:val="auto"/>
          <w:u w:val="single"/>
          <w:lang w:val="lt-LT"/>
        </w:rPr>
        <w:t xml:space="preserve">% PVM tarifą, </w:t>
      </w:r>
      <w:r w:rsidR="004854C9" w:rsidRPr="00922968">
        <w:rPr>
          <w:i/>
          <w:color w:val="auto"/>
          <w:lang w:val="lt-LT"/>
        </w:rPr>
        <w:t xml:space="preserve">Tais atvejais, kai tiekėjas teikia pasiūlymą ir taiko kitokį nei PO suplanuotas </w:t>
      </w:r>
      <w:r w:rsidR="004854C9" w:rsidRPr="00922968">
        <w:rPr>
          <w:i/>
          <w:color w:val="000000" w:themeColor="text1"/>
          <w:lang w:val="lt-LT"/>
        </w:rPr>
        <w:t>PVM tarifas, tiekėjas kartu su pasiūlymu pateikia laisvos formos dokumentą, kuriame nurodo priežastis, dėl kurių taikomas jo pasirinktas PVM tarifas.</w:t>
      </w:r>
      <w:r w:rsidR="004854C9" w:rsidRPr="00DC36FE">
        <w:rPr>
          <w:i/>
          <w:color w:val="auto"/>
          <w:bdr w:val="none" w:sz="0" w:space="0" w:color="auto" w:frame="1"/>
          <w:shd w:val="clear" w:color="auto" w:fill="FFFFFF"/>
          <w:lang w:val="lt-LT"/>
        </w:rPr>
        <w:t xml:space="preserve"> Tais atvejais, kai pasiūlymą teikia užsienio tiekėjas, kuriam pagal Pridėtinės vertės mokesčio  įstatymo 19 str. 5 d. taikomas 0 proc. </w:t>
      </w:r>
      <w:r w:rsidR="004854C9" w:rsidRPr="00DC36FE">
        <w:rPr>
          <w:i/>
          <w:color w:val="auto"/>
          <w:bdr w:val="none" w:sz="0" w:space="0" w:color="auto" w:frame="1"/>
          <w:lang w:val="lt-LT"/>
        </w:rPr>
        <w:t>PVM tarifas, arba pasiūlymą teikia PVM mokėtoju neįsiregistravęs Lietuvos Respublikos apmokestinamasis asmuo (ne PVM mokėtojas)</w:t>
      </w:r>
      <w:r w:rsidR="004854C9" w:rsidRPr="00DC36FE">
        <w:rPr>
          <w:i/>
          <w:color w:val="auto"/>
          <w:bdr w:val="none" w:sz="0" w:space="0" w:color="auto" w:frame="1"/>
          <w:shd w:val="clear" w:color="auto" w:fill="FFFFFF"/>
          <w:lang w:val="lt-LT"/>
        </w:rPr>
        <w:t>, tiekėjas kartu su pasiūlymu </w:t>
      </w:r>
      <w:r w:rsidR="004854C9" w:rsidRPr="00DC36FE">
        <w:rPr>
          <w:i/>
          <w:color w:val="auto"/>
          <w:u w:val="single"/>
          <w:bdr w:val="none" w:sz="0" w:space="0" w:color="auto" w:frame="1"/>
          <w:shd w:val="clear" w:color="auto" w:fill="FFFFFF"/>
          <w:lang w:val="lt-LT"/>
        </w:rPr>
        <w:t>pateikia laisvos formos dokumentą, kuriame nurodo priežastis, dėl kurių pasiūlyme taikomas 0 proc. PVM tarifas arba PVM netaikomas.</w:t>
      </w:r>
      <w:r w:rsidR="004854C9">
        <w:rPr>
          <w:i/>
          <w:color w:val="000000" w:themeColor="text1"/>
          <w:lang w:val="lt-LT"/>
        </w:rPr>
        <w:t xml:space="preserve"> </w:t>
      </w:r>
      <w:r w:rsidR="004854C9" w:rsidRPr="00FA59BB">
        <w:rPr>
          <w:i/>
          <w:iCs/>
          <w:lang w:val="lt-LT"/>
        </w:rPr>
        <w:t>Atmesdama pasiūlymus dėl per didelės pasiūlymo kainos, PO vertins galutines pasiūlymų kainas su visais mokesčiai</w:t>
      </w:r>
      <w:r w:rsidR="004854C9">
        <w:rPr>
          <w:i/>
          <w:iCs/>
          <w:lang w:val="lt-LT"/>
        </w:rPr>
        <w:t>s</w:t>
      </w:r>
      <w:r w:rsidR="004854C9" w:rsidRPr="00FA59BB">
        <w:rPr>
          <w:i/>
          <w:iCs/>
          <w:lang w:val="lt-LT"/>
        </w:rPr>
        <w:t>, t. y., įskaitant tiekėjo nurodytą PVM bei dėl sutarties sudarymo su viešojo pirkimo laimėtoju perkančiosios organizacijos įgyjamas mokestines prievoles (ar teises)</w:t>
      </w:r>
      <w:r w:rsidRPr="00FA59BB">
        <w:rPr>
          <w:i/>
          <w:iCs/>
          <w:lang w:val="lt-LT"/>
        </w:rPr>
        <w:t>.</w:t>
      </w:r>
    </w:p>
    <w:p w14:paraId="7617A2E4" w14:textId="77777777" w:rsidR="00DD671A" w:rsidRPr="00E52C9C" w:rsidRDefault="00DD671A" w:rsidP="00851EA1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14:paraId="03D10170" w14:textId="77777777" w:rsidR="00D004D5" w:rsidRDefault="00DD671A" w:rsidP="00DD671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>20. Tiekėjo pasiūlymo forma pateikta SPS 4 priede “Pasiūlymo forma”.</w:t>
      </w:r>
    </w:p>
    <w:p w14:paraId="0430DBDD" w14:textId="77777777" w:rsidR="00C429A4" w:rsidRDefault="00C429A4" w:rsidP="006124A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  <w:t xml:space="preserve">21. </w:t>
      </w:r>
      <w:r w:rsidRPr="00C429A4">
        <w:rPr>
          <w:color w:val="000000"/>
          <w:sz w:val="22"/>
          <w:szCs w:val="22"/>
        </w:rPr>
        <w:t>Įsigyti prekių naudojantis Centrinės perkančiosios organizacijos  (toliau – CPO LT) elektroniniu katalogu galimybės nėra, nes</w:t>
      </w:r>
      <w:r w:rsidR="00C0490D">
        <w:rPr>
          <w:color w:val="000000"/>
          <w:sz w:val="22"/>
          <w:szCs w:val="22"/>
        </w:rPr>
        <w:t xml:space="preserve"> tokių</w:t>
      </w:r>
      <w:r w:rsidRPr="00C429A4">
        <w:rPr>
          <w:color w:val="000000"/>
          <w:sz w:val="22"/>
          <w:szCs w:val="22"/>
        </w:rPr>
        <w:t xml:space="preserve"> prekių CPO LT elektroniniame kataloge nesiūloma.</w:t>
      </w:r>
    </w:p>
    <w:p w14:paraId="616F6D46" w14:textId="77777777" w:rsidR="00862FB9" w:rsidRPr="00C555D4" w:rsidRDefault="00862FB9" w:rsidP="00B5392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22. </w:t>
      </w:r>
      <w:r w:rsidRPr="0017145F">
        <w:rPr>
          <w:color w:val="000000"/>
          <w:sz w:val="22"/>
          <w:szCs w:val="22"/>
        </w:rPr>
        <w:t>Šiame pirkime taikomi aplinkos apsaugos kriterijai (žaliųjų pirkimų reikalavimai</w:t>
      </w:r>
      <w:r w:rsidR="00580162" w:rsidRPr="00580162">
        <w:rPr>
          <w:sz w:val="22"/>
          <w:szCs w:val="22"/>
        </w:rPr>
        <w:t xml:space="preserve"> </w:t>
      </w:r>
      <w:r w:rsidR="00580162" w:rsidRPr="00E51B75">
        <w:rPr>
          <w:sz w:val="22"/>
          <w:szCs w:val="22"/>
        </w:rPr>
        <w:t>Aplinkos apsaugos kriterijai nustatyti pagal Lietuvos Respublikos aplinkos ministro  Lietuvos Respublikos aplinkos ministro 2011 m. birželio 28 d. įsakymu Nr. D1-508 (</w:t>
      </w:r>
      <w:r w:rsidR="00580162" w:rsidRPr="00FA59BB">
        <w:rPr>
          <w:sz w:val="22"/>
          <w:szCs w:val="22"/>
        </w:rPr>
        <w:t>Lietuvos Respublikos aplinkos ministro 2022 m. gruodžio 13 d. įsakymo Nr. D1-401 redakcija</w:t>
      </w:r>
      <w:r w:rsidR="00580162" w:rsidRPr="00E51B75">
        <w:rPr>
          <w:sz w:val="22"/>
          <w:szCs w:val="22"/>
        </w:rPr>
        <w:t>) „Dėl aplinkos apsaugos kriterijų taikymo, vykdant žaliuosius pirkimus, tvarkos aprašo patvirtinimo“ 4.4.4. papunktį.</w:t>
      </w:r>
      <w:r w:rsidR="00580162">
        <w:rPr>
          <w:sz w:val="22"/>
          <w:szCs w:val="22"/>
        </w:rPr>
        <w:t xml:space="preserve"> </w:t>
      </w:r>
      <w:r w:rsidRPr="00B31A85">
        <w:rPr>
          <w:color w:val="000000"/>
          <w:sz w:val="22"/>
          <w:szCs w:val="22"/>
        </w:rPr>
        <w:t>Aplinkos apsaugos kriterijai nustatyti pirkimo sąlygų</w:t>
      </w:r>
      <w:r w:rsidR="00C555D4">
        <w:rPr>
          <w:color w:val="000000"/>
          <w:sz w:val="22"/>
          <w:szCs w:val="22"/>
        </w:rPr>
        <w:t xml:space="preserve"> sutarties projekte</w:t>
      </w:r>
      <w:r w:rsidRPr="00B31A85">
        <w:rPr>
          <w:color w:val="000000"/>
          <w:sz w:val="22"/>
          <w:szCs w:val="22"/>
        </w:rPr>
        <w:t xml:space="preserve"> </w:t>
      </w:r>
      <w:r w:rsidR="00C555D4" w:rsidRPr="00E52C9C">
        <w:rPr>
          <w:color w:val="000000" w:themeColor="text1"/>
        </w:rPr>
        <w:t>„</w:t>
      </w:r>
      <w:r w:rsidR="00C555D4" w:rsidRPr="00C555D4">
        <w:rPr>
          <w:color w:val="000000" w:themeColor="text1"/>
          <w:sz w:val="22"/>
          <w:szCs w:val="22"/>
        </w:rPr>
        <w:t>Prekių pirkimo-pardavimo sutarties bendrosios ir specialiosios sąlygos“</w:t>
      </w:r>
      <w:r w:rsidRPr="00C555D4">
        <w:rPr>
          <w:color w:val="000000"/>
          <w:sz w:val="22"/>
          <w:szCs w:val="22"/>
        </w:rPr>
        <w:t xml:space="preserve"> </w:t>
      </w:r>
      <w:r w:rsidR="003126E0" w:rsidRPr="00C555D4">
        <w:rPr>
          <w:color w:val="000000"/>
          <w:sz w:val="22"/>
          <w:szCs w:val="22"/>
        </w:rPr>
        <w:t xml:space="preserve">ir jos priede Nr. 1 </w:t>
      </w:r>
      <w:r w:rsidRPr="00C555D4">
        <w:rPr>
          <w:color w:val="000000"/>
          <w:sz w:val="22"/>
          <w:szCs w:val="22"/>
        </w:rPr>
        <w:t>kaip tiekėjo įsipareigojimas.</w:t>
      </w:r>
    </w:p>
    <w:p w14:paraId="0ABFF4EB" w14:textId="77777777" w:rsidR="009342D8" w:rsidRPr="002B5D1D" w:rsidRDefault="009342D8" w:rsidP="009342D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14:paraId="012390B9" w14:textId="77777777" w:rsidR="001F5A47" w:rsidRPr="006124AA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14:paraId="4C73C945" w14:textId="77777777" w:rsidR="00862FB9" w:rsidRPr="00ED6168" w:rsidRDefault="00862FB9" w:rsidP="00862FB9">
      <w:pPr>
        <w:pStyle w:val="NormalWeb"/>
        <w:spacing w:before="0" w:beforeAutospacing="0" w:after="40" w:afterAutospacing="0"/>
        <w:ind w:left="284" w:firstLine="436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ED6168">
        <w:rPr>
          <w:color w:val="000000"/>
          <w:sz w:val="22"/>
          <w:szCs w:val="22"/>
        </w:rPr>
        <w:t>„Techninė specifikac</w:t>
      </w:r>
      <w:r>
        <w:rPr>
          <w:color w:val="000000"/>
          <w:sz w:val="22"/>
          <w:szCs w:val="22"/>
        </w:rPr>
        <w:t>ija“</w:t>
      </w:r>
      <w:r w:rsidRPr="00ED6168">
        <w:rPr>
          <w:color w:val="000000"/>
          <w:sz w:val="22"/>
          <w:szCs w:val="22"/>
        </w:rPr>
        <w:t>.</w:t>
      </w:r>
    </w:p>
    <w:p w14:paraId="10FD4186" w14:textId="77777777"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2. „</w:t>
      </w:r>
      <w:r w:rsidR="00A2283F" w:rsidRPr="005F4392">
        <w:rPr>
          <w:color w:val="000000" w:themeColor="text1"/>
        </w:rPr>
        <w:t>Prekių pirkimo-pardavimo sutarties bendrosios ir specialiosios sąlygos“ (projekt</w:t>
      </w:r>
      <w:r w:rsidR="00A2283F">
        <w:rPr>
          <w:color w:val="000000" w:themeColor="text1"/>
        </w:rPr>
        <w:t>as</w:t>
      </w:r>
      <w:r w:rsidR="00A2283F" w:rsidRPr="005F4392">
        <w:rPr>
          <w:color w:val="000000" w:themeColor="text1"/>
        </w:rPr>
        <w:t>)</w:t>
      </w:r>
      <w:r w:rsidRPr="00ED6168">
        <w:rPr>
          <w:color w:val="000000"/>
          <w:sz w:val="22"/>
          <w:szCs w:val="22"/>
        </w:rPr>
        <w:t>.</w:t>
      </w:r>
    </w:p>
    <w:p w14:paraId="5EC76E5F" w14:textId="77777777"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„</w:t>
      </w:r>
      <w:r w:rsidRPr="00ED6168">
        <w:rPr>
          <w:color w:val="000000"/>
          <w:sz w:val="22"/>
          <w:szCs w:val="22"/>
        </w:rPr>
        <w:t>EBVPD failas/šablonas“.</w:t>
      </w:r>
    </w:p>
    <w:p w14:paraId="23E2114C" w14:textId="77777777" w:rsidR="00862FB9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„Pasiūlymo forma”</w:t>
      </w:r>
      <w:r w:rsidR="003126E0">
        <w:rPr>
          <w:color w:val="000000"/>
          <w:sz w:val="22"/>
          <w:szCs w:val="22"/>
        </w:rPr>
        <w:t>.</w:t>
      </w:r>
    </w:p>
    <w:p w14:paraId="32BE61D5" w14:textId="77777777" w:rsidR="003E6581" w:rsidRDefault="003E6581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sectPr w:rsidR="003E6581" w:rsidSect="00E1470C">
      <w:footerReference w:type="default" r:id="rId8"/>
      <w:pgSz w:w="11900" w:h="16840"/>
      <w:pgMar w:top="1134" w:right="701" w:bottom="1134" w:left="1560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34FF" w14:textId="77777777" w:rsidR="00AB37BF" w:rsidRDefault="00AB37BF">
      <w:r>
        <w:separator/>
      </w:r>
    </w:p>
  </w:endnote>
  <w:endnote w:type="continuationSeparator" w:id="0">
    <w:p w14:paraId="4209D189" w14:textId="77777777" w:rsidR="00AB37BF" w:rsidRDefault="00AB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131EF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573C5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2248" w14:textId="77777777" w:rsidR="00AB37BF" w:rsidRDefault="00AB37BF">
      <w:r>
        <w:separator/>
      </w:r>
    </w:p>
  </w:footnote>
  <w:footnote w:type="continuationSeparator" w:id="0">
    <w:p w14:paraId="23832B6B" w14:textId="77777777" w:rsidR="00AB37BF" w:rsidRDefault="00AB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630"/>
    <w:rsid w:val="0000681C"/>
    <w:rsid w:val="00012D86"/>
    <w:rsid w:val="00013749"/>
    <w:rsid w:val="00025453"/>
    <w:rsid w:val="000310AA"/>
    <w:rsid w:val="00033196"/>
    <w:rsid w:val="0004192E"/>
    <w:rsid w:val="000443DE"/>
    <w:rsid w:val="00050734"/>
    <w:rsid w:val="000549B8"/>
    <w:rsid w:val="00064A9C"/>
    <w:rsid w:val="00064B2F"/>
    <w:rsid w:val="00066FD9"/>
    <w:rsid w:val="00067576"/>
    <w:rsid w:val="00070F46"/>
    <w:rsid w:val="00077312"/>
    <w:rsid w:val="0008148D"/>
    <w:rsid w:val="00090AA7"/>
    <w:rsid w:val="000928A4"/>
    <w:rsid w:val="000958EE"/>
    <w:rsid w:val="000A6685"/>
    <w:rsid w:val="000C085F"/>
    <w:rsid w:val="000D0227"/>
    <w:rsid w:val="000E0D87"/>
    <w:rsid w:val="000E3E74"/>
    <w:rsid w:val="000E4515"/>
    <w:rsid w:val="000F36B2"/>
    <w:rsid w:val="000F4B69"/>
    <w:rsid w:val="000F6DC7"/>
    <w:rsid w:val="000F7EA2"/>
    <w:rsid w:val="00107BF5"/>
    <w:rsid w:val="00110201"/>
    <w:rsid w:val="00116B0B"/>
    <w:rsid w:val="00120B0D"/>
    <w:rsid w:val="00124D1D"/>
    <w:rsid w:val="00127DF1"/>
    <w:rsid w:val="00130CDE"/>
    <w:rsid w:val="00131C18"/>
    <w:rsid w:val="00133E2B"/>
    <w:rsid w:val="00135D15"/>
    <w:rsid w:val="001406FD"/>
    <w:rsid w:val="00141BB9"/>
    <w:rsid w:val="001471DA"/>
    <w:rsid w:val="00153330"/>
    <w:rsid w:val="001577FC"/>
    <w:rsid w:val="001618F6"/>
    <w:rsid w:val="00182CB2"/>
    <w:rsid w:val="001912A2"/>
    <w:rsid w:val="001A209E"/>
    <w:rsid w:val="001A20C3"/>
    <w:rsid w:val="001A3D9C"/>
    <w:rsid w:val="001B28D1"/>
    <w:rsid w:val="001C386C"/>
    <w:rsid w:val="001C74BA"/>
    <w:rsid w:val="001C795D"/>
    <w:rsid w:val="001D4AA4"/>
    <w:rsid w:val="001D54F8"/>
    <w:rsid w:val="001E0538"/>
    <w:rsid w:val="001E323B"/>
    <w:rsid w:val="001E44BB"/>
    <w:rsid w:val="001F5A47"/>
    <w:rsid w:val="0020073A"/>
    <w:rsid w:val="0020587E"/>
    <w:rsid w:val="00214BEF"/>
    <w:rsid w:val="00217DC7"/>
    <w:rsid w:val="0022150C"/>
    <w:rsid w:val="00221A80"/>
    <w:rsid w:val="00251BCC"/>
    <w:rsid w:val="00256216"/>
    <w:rsid w:val="002604F0"/>
    <w:rsid w:val="002713AB"/>
    <w:rsid w:val="0027244C"/>
    <w:rsid w:val="00272888"/>
    <w:rsid w:val="002747F2"/>
    <w:rsid w:val="00282D8B"/>
    <w:rsid w:val="002860CB"/>
    <w:rsid w:val="00287403"/>
    <w:rsid w:val="002A03B5"/>
    <w:rsid w:val="002A39B9"/>
    <w:rsid w:val="002A68CE"/>
    <w:rsid w:val="002A7CF2"/>
    <w:rsid w:val="002B07D0"/>
    <w:rsid w:val="002B5D1D"/>
    <w:rsid w:val="002B7BE9"/>
    <w:rsid w:val="002C4556"/>
    <w:rsid w:val="002D0B86"/>
    <w:rsid w:val="002D0FA2"/>
    <w:rsid w:val="002E4ACB"/>
    <w:rsid w:val="002F75F9"/>
    <w:rsid w:val="00302BE7"/>
    <w:rsid w:val="003126E0"/>
    <w:rsid w:val="00314035"/>
    <w:rsid w:val="00326144"/>
    <w:rsid w:val="00331E8A"/>
    <w:rsid w:val="00335B15"/>
    <w:rsid w:val="003402E4"/>
    <w:rsid w:val="0034394B"/>
    <w:rsid w:val="003461A2"/>
    <w:rsid w:val="0035237D"/>
    <w:rsid w:val="00353DE5"/>
    <w:rsid w:val="00353EBE"/>
    <w:rsid w:val="00357350"/>
    <w:rsid w:val="00366B2E"/>
    <w:rsid w:val="0037386C"/>
    <w:rsid w:val="003761E5"/>
    <w:rsid w:val="00377BDB"/>
    <w:rsid w:val="00382B06"/>
    <w:rsid w:val="00384B55"/>
    <w:rsid w:val="00385A92"/>
    <w:rsid w:val="00390579"/>
    <w:rsid w:val="003922E4"/>
    <w:rsid w:val="003C21DB"/>
    <w:rsid w:val="003C72F6"/>
    <w:rsid w:val="003C7703"/>
    <w:rsid w:val="003E1175"/>
    <w:rsid w:val="003E4E2D"/>
    <w:rsid w:val="003E5822"/>
    <w:rsid w:val="003E6581"/>
    <w:rsid w:val="003F1878"/>
    <w:rsid w:val="003F19CB"/>
    <w:rsid w:val="003F7122"/>
    <w:rsid w:val="003F7207"/>
    <w:rsid w:val="0040582F"/>
    <w:rsid w:val="0040759E"/>
    <w:rsid w:val="004111F4"/>
    <w:rsid w:val="0041747B"/>
    <w:rsid w:val="00417E46"/>
    <w:rsid w:val="004208D8"/>
    <w:rsid w:val="004245A8"/>
    <w:rsid w:val="00432A20"/>
    <w:rsid w:val="00446DB8"/>
    <w:rsid w:val="00446FA4"/>
    <w:rsid w:val="0045220C"/>
    <w:rsid w:val="00453E2E"/>
    <w:rsid w:val="00461563"/>
    <w:rsid w:val="00466648"/>
    <w:rsid w:val="004854C9"/>
    <w:rsid w:val="0048601E"/>
    <w:rsid w:val="0048623D"/>
    <w:rsid w:val="00495271"/>
    <w:rsid w:val="00497106"/>
    <w:rsid w:val="004A2722"/>
    <w:rsid w:val="004A618D"/>
    <w:rsid w:val="004B2726"/>
    <w:rsid w:val="004B43F3"/>
    <w:rsid w:val="004B7C0A"/>
    <w:rsid w:val="004D17CB"/>
    <w:rsid w:val="004D2AE6"/>
    <w:rsid w:val="004D35E3"/>
    <w:rsid w:val="004E1BE9"/>
    <w:rsid w:val="004E4A85"/>
    <w:rsid w:val="004E7B9B"/>
    <w:rsid w:val="004F4283"/>
    <w:rsid w:val="004F5AF3"/>
    <w:rsid w:val="0050068E"/>
    <w:rsid w:val="00511436"/>
    <w:rsid w:val="0052361B"/>
    <w:rsid w:val="00537719"/>
    <w:rsid w:val="00537F20"/>
    <w:rsid w:val="00545253"/>
    <w:rsid w:val="00545904"/>
    <w:rsid w:val="0054740D"/>
    <w:rsid w:val="00553B2C"/>
    <w:rsid w:val="00580162"/>
    <w:rsid w:val="00580C72"/>
    <w:rsid w:val="00580F1C"/>
    <w:rsid w:val="00586074"/>
    <w:rsid w:val="0058621E"/>
    <w:rsid w:val="00586FC7"/>
    <w:rsid w:val="00595819"/>
    <w:rsid w:val="005B1B4D"/>
    <w:rsid w:val="005B7C32"/>
    <w:rsid w:val="005C583C"/>
    <w:rsid w:val="005D13F9"/>
    <w:rsid w:val="005F4392"/>
    <w:rsid w:val="006007BC"/>
    <w:rsid w:val="00601A17"/>
    <w:rsid w:val="006108E2"/>
    <w:rsid w:val="006124AA"/>
    <w:rsid w:val="00621098"/>
    <w:rsid w:val="00627213"/>
    <w:rsid w:val="006317DC"/>
    <w:rsid w:val="00632F9A"/>
    <w:rsid w:val="00636932"/>
    <w:rsid w:val="00640B6E"/>
    <w:rsid w:val="00640E81"/>
    <w:rsid w:val="006538A5"/>
    <w:rsid w:val="00655E59"/>
    <w:rsid w:val="00661473"/>
    <w:rsid w:val="00662943"/>
    <w:rsid w:val="006654F1"/>
    <w:rsid w:val="00667801"/>
    <w:rsid w:val="00671E77"/>
    <w:rsid w:val="006C06A7"/>
    <w:rsid w:val="006D1959"/>
    <w:rsid w:val="006D4DF7"/>
    <w:rsid w:val="006D50A3"/>
    <w:rsid w:val="006D6A2E"/>
    <w:rsid w:val="006E4D01"/>
    <w:rsid w:val="006F122D"/>
    <w:rsid w:val="006F4F4A"/>
    <w:rsid w:val="006F7A72"/>
    <w:rsid w:val="006F7E9C"/>
    <w:rsid w:val="007074B0"/>
    <w:rsid w:val="0071388F"/>
    <w:rsid w:val="0071393F"/>
    <w:rsid w:val="007204D5"/>
    <w:rsid w:val="00720FAA"/>
    <w:rsid w:val="007236BF"/>
    <w:rsid w:val="007422D5"/>
    <w:rsid w:val="00754BBE"/>
    <w:rsid w:val="00757373"/>
    <w:rsid w:val="007605AB"/>
    <w:rsid w:val="007756DF"/>
    <w:rsid w:val="00776ADC"/>
    <w:rsid w:val="00786CE7"/>
    <w:rsid w:val="00790A32"/>
    <w:rsid w:val="007926DD"/>
    <w:rsid w:val="00794D90"/>
    <w:rsid w:val="007C3B70"/>
    <w:rsid w:val="007D2695"/>
    <w:rsid w:val="007D4B46"/>
    <w:rsid w:val="007D4E95"/>
    <w:rsid w:val="007D4F40"/>
    <w:rsid w:val="007E6A1D"/>
    <w:rsid w:val="007F4B8B"/>
    <w:rsid w:val="00812EC4"/>
    <w:rsid w:val="008167AE"/>
    <w:rsid w:val="0082227C"/>
    <w:rsid w:val="00831809"/>
    <w:rsid w:val="008358AA"/>
    <w:rsid w:val="00851EA1"/>
    <w:rsid w:val="0085744B"/>
    <w:rsid w:val="00861445"/>
    <w:rsid w:val="00862FB9"/>
    <w:rsid w:val="00871D93"/>
    <w:rsid w:val="008763E8"/>
    <w:rsid w:val="0088254A"/>
    <w:rsid w:val="00884C6F"/>
    <w:rsid w:val="00886469"/>
    <w:rsid w:val="008878F4"/>
    <w:rsid w:val="008937AC"/>
    <w:rsid w:val="008A0202"/>
    <w:rsid w:val="008B3D56"/>
    <w:rsid w:val="008B51F0"/>
    <w:rsid w:val="008D7AF7"/>
    <w:rsid w:val="008E21AD"/>
    <w:rsid w:val="008E4CA7"/>
    <w:rsid w:val="00902888"/>
    <w:rsid w:val="009054BD"/>
    <w:rsid w:val="00907799"/>
    <w:rsid w:val="00907C5F"/>
    <w:rsid w:val="00912792"/>
    <w:rsid w:val="009217B6"/>
    <w:rsid w:val="009262FF"/>
    <w:rsid w:val="009342D8"/>
    <w:rsid w:val="00934CE3"/>
    <w:rsid w:val="009356D1"/>
    <w:rsid w:val="00937A8A"/>
    <w:rsid w:val="00943FD3"/>
    <w:rsid w:val="00966EF0"/>
    <w:rsid w:val="00970B38"/>
    <w:rsid w:val="009761EC"/>
    <w:rsid w:val="0098090C"/>
    <w:rsid w:val="00985A2E"/>
    <w:rsid w:val="00985B04"/>
    <w:rsid w:val="009874B5"/>
    <w:rsid w:val="00993D65"/>
    <w:rsid w:val="009A3E11"/>
    <w:rsid w:val="009A67C6"/>
    <w:rsid w:val="009B20DB"/>
    <w:rsid w:val="009B7B84"/>
    <w:rsid w:val="009C0013"/>
    <w:rsid w:val="009C1BB8"/>
    <w:rsid w:val="009C3350"/>
    <w:rsid w:val="009C36FE"/>
    <w:rsid w:val="009C5D91"/>
    <w:rsid w:val="009C6CCB"/>
    <w:rsid w:val="009D2630"/>
    <w:rsid w:val="009D602E"/>
    <w:rsid w:val="009E3181"/>
    <w:rsid w:val="009E69F0"/>
    <w:rsid w:val="009F32BD"/>
    <w:rsid w:val="00A156D6"/>
    <w:rsid w:val="00A21CEB"/>
    <w:rsid w:val="00A22225"/>
    <w:rsid w:val="00A2283F"/>
    <w:rsid w:val="00A27CD8"/>
    <w:rsid w:val="00A34BEA"/>
    <w:rsid w:val="00A45FC1"/>
    <w:rsid w:val="00A57580"/>
    <w:rsid w:val="00A63BA6"/>
    <w:rsid w:val="00A66DA9"/>
    <w:rsid w:val="00A7139E"/>
    <w:rsid w:val="00A71EB8"/>
    <w:rsid w:val="00A85348"/>
    <w:rsid w:val="00A86B80"/>
    <w:rsid w:val="00AB37BF"/>
    <w:rsid w:val="00AC4912"/>
    <w:rsid w:val="00AC615D"/>
    <w:rsid w:val="00AD1478"/>
    <w:rsid w:val="00AD66D6"/>
    <w:rsid w:val="00AD6B15"/>
    <w:rsid w:val="00AE4CFF"/>
    <w:rsid w:val="00AF09A3"/>
    <w:rsid w:val="00AF5BBF"/>
    <w:rsid w:val="00B00ADE"/>
    <w:rsid w:val="00B02D32"/>
    <w:rsid w:val="00B22432"/>
    <w:rsid w:val="00B2244B"/>
    <w:rsid w:val="00B31A85"/>
    <w:rsid w:val="00B343C9"/>
    <w:rsid w:val="00B5392B"/>
    <w:rsid w:val="00B64001"/>
    <w:rsid w:val="00B65B18"/>
    <w:rsid w:val="00B708EE"/>
    <w:rsid w:val="00B72716"/>
    <w:rsid w:val="00B80C09"/>
    <w:rsid w:val="00B80CC7"/>
    <w:rsid w:val="00B80E0E"/>
    <w:rsid w:val="00B86A24"/>
    <w:rsid w:val="00B92B2A"/>
    <w:rsid w:val="00B9352A"/>
    <w:rsid w:val="00B95D05"/>
    <w:rsid w:val="00B97B40"/>
    <w:rsid w:val="00BA182D"/>
    <w:rsid w:val="00BA7FC5"/>
    <w:rsid w:val="00BB4EB3"/>
    <w:rsid w:val="00BC0222"/>
    <w:rsid w:val="00BC3AFF"/>
    <w:rsid w:val="00BC432F"/>
    <w:rsid w:val="00BD0585"/>
    <w:rsid w:val="00BD0B3D"/>
    <w:rsid w:val="00BD5719"/>
    <w:rsid w:val="00BE0A8E"/>
    <w:rsid w:val="00BE5828"/>
    <w:rsid w:val="00C0490D"/>
    <w:rsid w:val="00C1495B"/>
    <w:rsid w:val="00C206ED"/>
    <w:rsid w:val="00C22481"/>
    <w:rsid w:val="00C429A4"/>
    <w:rsid w:val="00C555D4"/>
    <w:rsid w:val="00C9529E"/>
    <w:rsid w:val="00CA406C"/>
    <w:rsid w:val="00CB2544"/>
    <w:rsid w:val="00CD173A"/>
    <w:rsid w:val="00CD7763"/>
    <w:rsid w:val="00CE1224"/>
    <w:rsid w:val="00CE4E42"/>
    <w:rsid w:val="00CE6BDA"/>
    <w:rsid w:val="00CF205C"/>
    <w:rsid w:val="00D004D5"/>
    <w:rsid w:val="00D02676"/>
    <w:rsid w:val="00D22B53"/>
    <w:rsid w:val="00D4418F"/>
    <w:rsid w:val="00D506A6"/>
    <w:rsid w:val="00D6152D"/>
    <w:rsid w:val="00D7471E"/>
    <w:rsid w:val="00D825C9"/>
    <w:rsid w:val="00D8458F"/>
    <w:rsid w:val="00DA0CFE"/>
    <w:rsid w:val="00DA14FB"/>
    <w:rsid w:val="00DA779F"/>
    <w:rsid w:val="00DA7E8B"/>
    <w:rsid w:val="00DB4EB3"/>
    <w:rsid w:val="00DB67DF"/>
    <w:rsid w:val="00DC25B6"/>
    <w:rsid w:val="00DC7CA3"/>
    <w:rsid w:val="00DD2355"/>
    <w:rsid w:val="00DD2784"/>
    <w:rsid w:val="00DD50CD"/>
    <w:rsid w:val="00DD671A"/>
    <w:rsid w:val="00DE0AB3"/>
    <w:rsid w:val="00DF3666"/>
    <w:rsid w:val="00DF7FD0"/>
    <w:rsid w:val="00E05CA8"/>
    <w:rsid w:val="00E066E0"/>
    <w:rsid w:val="00E1470C"/>
    <w:rsid w:val="00E17092"/>
    <w:rsid w:val="00E17A2D"/>
    <w:rsid w:val="00E20D4F"/>
    <w:rsid w:val="00E2429D"/>
    <w:rsid w:val="00E24FCE"/>
    <w:rsid w:val="00E31F46"/>
    <w:rsid w:val="00E3356B"/>
    <w:rsid w:val="00E401A4"/>
    <w:rsid w:val="00E462AD"/>
    <w:rsid w:val="00E47006"/>
    <w:rsid w:val="00E52918"/>
    <w:rsid w:val="00E52C9C"/>
    <w:rsid w:val="00E56FB3"/>
    <w:rsid w:val="00E62263"/>
    <w:rsid w:val="00E641B2"/>
    <w:rsid w:val="00E64C6A"/>
    <w:rsid w:val="00E85857"/>
    <w:rsid w:val="00E87DAD"/>
    <w:rsid w:val="00E9550A"/>
    <w:rsid w:val="00EB1182"/>
    <w:rsid w:val="00EB21FD"/>
    <w:rsid w:val="00EC28FA"/>
    <w:rsid w:val="00ED2D6B"/>
    <w:rsid w:val="00ED60C2"/>
    <w:rsid w:val="00EE6874"/>
    <w:rsid w:val="00EF43BC"/>
    <w:rsid w:val="00F1401E"/>
    <w:rsid w:val="00F151AD"/>
    <w:rsid w:val="00F30977"/>
    <w:rsid w:val="00F43507"/>
    <w:rsid w:val="00F43CF9"/>
    <w:rsid w:val="00F5082E"/>
    <w:rsid w:val="00F62E47"/>
    <w:rsid w:val="00F63E59"/>
    <w:rsid w:val="00F63F6A"/>
    <w:rsid w:val="00F70123"/>
    <w:rsid w:val="00F82958"/>
    <w:rsid w:val="00F9204A"/>
    <w:rsid w:val="00FB1996"/>
    <w:rsid w:val="00FC49B9"/>
    <w:rsid w:val="00FD2BF1"/>
    <w:rsid w:val="00FD2D3E"/>
    <w:rsid w:val="00FD4126"/>
    <w:rsid w:val="00FE5E54"/>
    <w:rsid w:val="00FF1ADC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3AA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1172-DAE2-4FBD-88E9-D7672F8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Remigijus Šivickis</cp:lastModifiedBy>
  <cp:revision>116</cp:revision>
  <dcterms:created xsi:type="dcterms:W3CDTF">2025-01-14T07:15:00Z</dcterms:created>
  <dcterms:modified xsi:type="dcterms:W3CDTF">2025-11-13T10:21:00Z</dcterms:modified>
</cp:coreProperties>
</file>