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36E955D6" w:rsidR="00EE3697" w:rsidRPr="00406D5C" w:rsidRDefault="008C1C6F" w:rsidP="00406D5C">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OPERACINIŲ ĮRANGOS DALYS (11423)</w:t>
            </w:r>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572DD6" w:rsidRDefault="00EE3697" w:rsidP="00EE3697">
            <w:pPr>
              <w:jc w:val="center"/>
              <w:rPr>
                <w:kern w:val="2"/>
                <w:szCs w:val="24"/>
              </w:rPr>
            </w:pPr>
            <w:r w:rsidRPr="00572DD6">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572DD6" w:rsidRDefault="00EE3697" w:rsidP="00EE3697">
            <w:pPr>
              <w:jc w:val="center"/>
              <w:rPr>
                <w:kern w:val="2"/>
                <w:szCs w:val="24"/>
              </w:rPr>
            </w:pPr>
            <w:r w:rsidRPr="00572DD6">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572DD6" w:rsidRDefault="00B11C4C" w:rsidP="00EE3697">
            <w:pPr>
              <w:jc w:val="center"/>
              <w:rPr>
                <w:kern w:val="2"/>
                <w:szCs w:val="24"/>
              </w:rPr>
            </w:pPr>
            <w:r w:rsidRPr="00572DD6">
              <w:rPr>
                <w:szCs w:val="24"/>
              </w:rPr>
              <w:t>Santariškių g. 2, LT-08406</w:t>
            </w:r>
            <w:r w:rsidR="00EE3697" w:rsidRPr="00572DD6">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572DD6" w:rsidRDefault="00EE3697" w:rsidP="00EE3697">
            <w:pPr>
              <w:jc w:val="center"/>
              <w:rPr>
                <w:kern w:val="2"/>
                <w:szCs w:val="24"/>
              </w:rPr>
            </w:pPr>
            <w:r w:rsidRPr="00572DD6">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572DD6" w:rsidRDefault="00EE3697" w:rsidP="00EE3697">
            <w:pPr>
              <w:jc w:val="center"/>
              <w:rPr>
                <w:kern w:val="2"/>
                <w:szCs w:val="24"/>
              </w:rPr>
            </w:pPr>
            <w:r w:rsidRPr="00572DD6">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572DD6" w:rsidRDefault="00EE3697" w:rsidP="00EE3697">
            <w:pPr>
              <w:jc w:val="center"/>
              <w:rPr>
                <w:kern w:val="2"/>
                <w:szCs w:val="24"/>
              </w:rPr>
            </w:pPr>
            <w:r w:rsidRPr="00572DD6">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572DD6" w:rsidRDefault="00EE3697" w:rsidP="00EE3697">
            <w:pPr>
              <w:jc w:val="center"/>
              <w:rPr>
                <w:kern w:val="2"/>
                <w:szCs w:val="24"/>
              </w:rPr>
            </w:pPr>
            <w:r w:rsidRPr="00572DD6">
              <w:rPr>
                <w:szCs w:val="24"/>
              </w:rPr>
              <w:t>(</w:t>
            </w:r>
            <w:r w:rsidR="00507C23" w:rsidRPr="00572DD6">
              <w:rPr>
                <w:szCs w:val="24"/>
              </w:rPr>
              <w:t xml:space="preserve">+370 </w:t>
            </w:r>
            <w:r w:rsidRPr="00572DD6">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572DD6" w:rsidRDefault="00EE3697" w:rsidP="00EE3697">
            <w:pPr>
              <w:jc w:val="center"/>
              <w:rPr>
                <w:kern w:val="2"/>
                <w:szCs w:val="24"/>
              </w:rPr>
            </w:pPr>
            <w:r w:rsidRPr="00572DD6">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572DD6" w:rsidRDefault="00EE3697" w:rsidP="00EE3697">
            <w:pPr>
              <w:jc w:val="center"/>
              <w:rPr>
                <w:szCs w:val="24"/>
              </w:rPr>
            </w:pPr>
            <w:r w:rsidRPr="00572DD6">
              <w:rPr>
                <w:szCs w:val="24"/>
              </w:rPr>
              <w:t xml:space="preserve">Generalinis direktorius </w:t>
            </w:r>
          </w:p>
          <w:p w14:paraId="7EF2A939" w14:textId="6758CA57" w:rsidR="00EE3697" w:rsidRPr="00572DD6" w:rsidRDefault="00D86EAD" w:rsidP="00EE3697">
            <w:pPr>
              <w:jc w:val="center"/>
              <w:rPr>
                <w:kern w:val="2"/>
                <w:szCs w:val="24"/>
              </w:rPr>
            </w:pPr>
            <w:r w:rsidRPr="00572DD6">
              <w:rPr>
                <w:color w:val="0070C0"/>
                <w:szCs w:val="24"/>
              </w:rPr>
              <w:t>[įrašyti]</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tcPr>
          <w:p w14:paraId="3170D4AA" w14:textId="1524B816" w:rsidR="00EE3697" w:rsidRPr="00572DD6" w:rsidRDefault="00EE3697" w:rsidP="00EE3697">
            <w:pPr>
              <w:jc w:val="center"/>
              <w:rPr>
                <w:kern w:val="2"/>
                <w:szCs w:val="24"/>
              </w:rPr>
            </w:pPr>
            <w:r w:rsidRPr="00572DD6">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69B03307" w14:textId="77777777" w:rsidR="00867835" w:rsidRPr="0097689A" w:rsidRDefault="00867835" w:rsidP="00867835">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27A27AF2" w14:textId="77777777" w:rsidR="00867835" w:rsidRPr="00F60AE3" w:rsidRDefault="00867835" w:rsidP="00867835">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p w14:paraId="152453B9"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1EA42BE4" w:rsidR="00401327" w:rsidRPr="00572DD6" w:rsidRDefault="00401327" w:rsidP="00401327">
            <w:pPr>
              <w:jc w:val="center"/>
              <w:rPr>
                <w:color w:val="0070C0"/>
                <w:kern w:val="2"/>
                <w:szCs w:val="24"/>
              </w:rPr>
            </w:pPr>
            <w:r w:rsidRPr="00572DD6">
              <w:rPr>
                <w:color w:val="0070C0"/>
                <w:szCs w:val="24"/>
              </w:rPr>
              <w:t>[įrašyti]</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1B3485EC" w:rsidR="00401327" w:rsidRPr="00572DD6" w:rsidRDefault="00401327" w:rsidP="00401327">
            <w:pPr>
              <w:jc w:val="center"/>
              <w:rPr>
                <w:color w:val="0070C0"/>
                <w:kern w:val="2"/>
                <w:szCs w:val="24"/>
              </w:rPr>
            </w:pPr>
            <w:r w:rsidRPr="00572DD6">
              <w:rPr>
                <w:color w:val="0070C0"/>
                <w:szCs w:val="24"/>
              </w:rPr>
              <w:t>[įrašyti]</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49027C23" w:rsidR="00401327" w:rsidRPr="00572DD6" w:rsidRDefault="00401327" w:rsidP="00401327">
            <w:pPr>
              <w:jc w:val="center"/>
              <w:rPr>
                <w:color w:val="0070C0"/>
                <w:kern w:val="2"/>
                <w:szCs w:val="24"/>
              </w:rPr>
            </w:pPr>
            <w:r w:rsidRPr="00572DD6">
              <w:rPr>
                <w:color w:val="0070C0"/>
                <w:szCs w:val="24"/>
              </w:rPr>
              <w:t>[įrašyti]</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F61168A" w:rsidR="00401327" w:rsidRPr="00572DD6" w:rsidRDefault="00401327" w:rsidP="00401327">
            <w:pPr>
              <w:jc w:val="center"/>
              <w:rPr>
                <w:color w:val="0070C0"/>
                <w:kern w:val="2"/>
                <w:szCs w:val="24"/>
              </w:rPr>
            </w:pPr>
            <w:r w:rsidRPr="00572DD6">
              <w:rPr>
                <w:color w:val="0070C0"/>
                <w:szCs w:val="24"/>
              </w:rPr>
              <w:t>[įrašyti]</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4AAAA571" w:rsidR="00401327" w:rsidRPr="00572DD6" w:rsidRDefault="00401327" w:rsidP="00401327">
            <w:pPr>
              <w:jc w:val="center"/>
              <w:rPr>
                <w:color w:val="0070C0"/>
                <w:kern w:val="2"/>
                <w:szCs w:val="24"/>
              </w:rPr>
            </w:pPr>
            <w:r w:rsidRPr="00572DD6">
              <w:rPr>
                <w:color w:val="0070C0"/>
                <w:szCs w:val="24"/>
              </w:rPr>
              <w:t>[įrašyti]</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0F99BCE4" w:rsidR="00401327" w:rsidRPr="00572DD6" w:rsidRDefault="00401327" w:rsidP="00401327">
            <w:pPr>
              <w:jc w:val="center"/>
              <w:rPr>
                <w:color w:val="0070C0"/>
                <w:kern w:val="2"/>
                <w:szCs w:val="24"/>
              </w:rPr>
            </w:pPr>
            <w:r w:rsidRPr="00572DD6">
              <w:rPr>
                <w:color w:val="0070C0"/>
                <w:szCs w:val="24"/>
              </w:rPr>
              <w:t>[įrašyti]</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17F02C54" w:rsidR="00401327" w:rsidRPr="00572DD6" w:rsidRDefault="00401327" w:rsidP="00401327">
            <w:pPr>
              <w:jc w:val="center"/>
              <w:rPr>
                <w:color w:val="0070C0"/>
                <w:kern w:val="2"/>
                <w:szCs w:val="24"/>
              </w:rPr>
            </w:pPr>
            <w:r w:rsidRPr="00572DD6">
              <w:rPr>
                <w:color w:val="0070C0"/>
                <w:szCs w:val="24"/>
              </w:rPr>
              <w:t>[įrašyti]</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73E16083" w:rsidR="00401327" w:rsidRPr="00572DD6" w:rsidRDefault="00401327" w:rsidP="00401327">
            <w:pPr>
              <w:jc w:val="center"/>
              <w:rPr>
                <w:color w:val="0070C0"/>
                <w:kern w:val="2"/>
                <w:szCs w:val="24"/>
              </w:rPr>
            </w:pPr>
            <w:r w:rsidRPr="00572DD6">
              <w:rPr>
                <w:color w:val="0070C0"/>
                <w:szCs w:val="24"/>
              </w:rPr>
              <w:t>[įrašyti]</w:t>
            </w:r>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2840852A" w:rsidR="00401327" w:rsidRPr="00572DD6" w:rsidRDefault="00401327" w:rsidP="00401327">
            <w:pPr>
              <w:jc w:val="center"/>
              <w:rPr>
                <w:color w:val="0070C0"/>
                <w:kern w:val="2"/>
                <w:szCs w:val="24"/>
              </w:rPr>
            </w:pPr>
            <w:r w:rsidRPr="00572DD6">
              <w:rPr>
                <w:color w:val="0070C0"/>
                <w:szCs w:val="24"/>
              </w:rPr>
              <w:t>[įrašyti]</w:t>
            </w:r>
          </w:p>
        </w:tc>
      </w:tr>
      <w:tr w:rsidR="00401327" w14:paraId="5BA1E166" w14:textId="77777777" w:rsidTr="00B34D1F">
        <w:tc>
          <w:tcPr>
            <w:tcW w:w="2547" w:type="dxa"/>
            <w:vMerge/>
            <w:tcBorders>
              <w:right w:val="single" w:sz="4" w:space="0" w:color="auto"/>
            </w:tcBorders>
          </w:tcPr>
          <w:p w14:paraId="20EC0136"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E417499" w:rsidR="00401327" w:rsidRPr="00572DD6" w:rsidRDefault="00401327" w:rsidP="00401327">
            <w:pPr>
              <w:jc w:val="center"/>
              <w:rPr>
                <w:color w:val="0070C0"/>
                <w:kern w:val="2"/>
                <w:szCs w:val="24"/>
              </w:rPr>
            </w:pPr>
            <w:r w:rsidRPr="00572DD6">
              <w:rPr>
                <w:color w:val="0070C0"/>
                <w:szCs w:val="24"/>
              </w:rPr>
              <w:t>[įrašyti]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0C0ADBC5" w14:textId="21D5CA32" w:rsidR="00EF67CB" w:rsidRDefault="00E371F2" w:rsidP="008A4EC4">
            <w:pPr>
              <w:rPr>
                <w:color w:val="000000" w:themeColor="text1"/>
                <w:kern w:val="2"/>
                <w:szCs w:val="24"/>
              </w:rPr>
            </w:pPr>
            <w:r>
              <w:rPr>
                <w:color w:val="000000" w:themeColor="text1"/>
                <w:kern w:val="2"/>
                <w:szCs w:val="24"/>
              </w:rPr>
              <w:t>2.1.1</w:t>
            </w:r>
            <w:r w:rsidR="008A4EC4">
              <w:rPr>
                <w:color w:val="000000" w:themeColor="text1"/>
                <w:kern w:val="2"/>
                <w:szCs w:val="24"/>
              </w:rPr>
              <w:t xml:space="preserve">. </w:t>
            </w:r>
            <w:r w:rsidR="008A4EC4" w:rsidRPr="009773E9">
              <w:rPr>
                <w:color w:val="000000" w:themeColor="text1"/>
                <w:kern w:val="2"/>
              </w:rPr>
              <w:t xml:space="preserve">Už sutarties vykdymą ir </w:t>
            </w:r>
            <w:r w:rsidR="002F2BBB">
              <w:rPr>
                <w:color w:val="000000" w:themeColor="text1"/>
                <w:kern w:val="2"/>
              </w:rPr>
              <w:t>prekių</w:t>
            </w:r>
            <w:r w:rsidR="002F2BBB" w:rsidRPr="009773E9">
              <w:rPr>
                <w:color w:val="000000" w:themeColor="text1"/>
                <w:kern w:val="2"/>
              </w:rPr>
              <w:t xml:space="preserve"> </w:t>
            </w:r>
            <w:r w:rsidR="008A4EC4" w:rsidRPr="009773E9">
              <w:rPr>
                <w:color w:val="000000" w:themeColor="text1"/>
                <w:kern w:val="2"/>
              </w:rPr>
              <w:t xml:space="preserve">priėmimą atsakingas asmuo </w:t>
            </w:r>
            <w:r>
              <w:rPr>
                <w:color w:val="000000" w:themeColor="text1"/>
                <w:kern w:val="2"/>
                <w:szCs w:val="24"/>
              </w:rPr>
              <w:t>.</w:t>
            </w:r>
            <w:r w:rsidR="00DF7F7B">
              <w:rPr>
                <w:color w:val="000000" w:themeColor="text1"/>
                <w:kern w:val="2"/>
                <w:szCs w:val="24"/>
              </w:rPr>
              <w:t>..............................</w:t>
            </w:r>
            <w:r w:rsidR="00D27EB4">
              <w:rPr>
                <w:color w:val="000000" w:themeColor="text1"/>
                <w:kern w:val="2"/>
                <w:szCs w:val="24"/>
              </w:rPr>
              <w:t xml:space="preserve"> skyriaus </w:t>
            </w:r>
            <w:r w:rsidR="00431085">
              <w:rPr>
                <w:color w:val="000000" w:themeColor="text1"/>
                <w:kern w:val="2"/>
                <w:szCs w:val="24"/>
              </w:rPr>
              <w:t xml:space="preserve"> ...................</w:t>
            </w:r>
            <w:r w:rsidR="00BA0145" w:rsidRPr="00BA0145">
              <w:rPr>
                <w:color w:val="000000" w:themeColor="text1"/>
                <w:kern w:val="2"/>
                <w:szCs w:val="24"/>
              </w:rPr>
              <w:t>, tel. +</w:t>
            </w:r>
            <w:r w:rsidR="00327C7C" w:rsidRPr="00764EFC">
              <w:rPr>
                <w:color w:val="000000" w:themeColor="text1"/>
                <w:kern w:val="2"/>
                <w:szCs w:val="24"/>
              </w:rPr>
              <w:t>370</w:t>
            </w:r>
            <w:r w:rsidR="00431085">
              <w:rPr>
                <w:color w:val="000000" w:themeColor="text1"/>
                <w:kern w:val="2"/>
                <w:szCs w:val="24"/>
              </w:rPr>
              <w:t>..</w:t>
            </w:r>
            <w:r>
              <w:rPr>
                <w:color w:val="000000" w:themeColor="text1"/>
                <w:kern w:val="2"/>
                <w:szCs w:val="24"/>
              </w:rPr>
              <w:t>..................</w:t>
            </w:r>
            <w:r w:rsidR="00431085">
              <w:rPr>
                <w:color w:val="000000" w:themeColor="text1"/>
                <w:kern w:val="2"/>
                <w:szCs w:val="24"/>
              </w:rPr>
              <w:t>...</w:t>
            </w:r>
            <w:r w:rsidR="005339DE">
              <w:rPr>
                <w:color w:val="000000" w:themeColor="text1"/>
                <w:kern w:val="2"/>
                <w:szCs w:val="24"/>
              </w:rPr>
              <w:t>,</w:t>
            </w:r>
            <w:r w:rsidR="00BA0145" w:rsidRPr="00BA0145">
              <w:rPr>
                <w:color w:val="000000" w:themeColor="text1"/>
                <w:kern w:val="2"/>
                <w:szCs w:val="24"/>
              </w:rPr>
              <w:t xml:space="preserve"> </w:t>
            </w:r>
          </w:p>
          <w:p w14:paraId="2E191EE4" w14:textId="324F9F5E" w:rsidR="00EE3697" w:rsidRPr="00C06E1A" w:rsidRDefault="00BA0145" w:rsidP="00EE3697">
            <w:pPr>
              <w:rPr>
                <w:color w:val="000000" w:themeColor="text1"/>
                <w:kern w:val="2"/>
                <w:szCs w:val="24"/>
              </w:rPr>
            </w:pPr>
            <w:r w:rsidRPr="00BA0145">
              <w:rPr>
                <w:color w:val="000000" w:themeColor="text1"/>
                <w:kern w:val="2"/>
                <w:szCs w:val="24"/>
              </w:rPr>
              <w:t xml:space="preserve">el. p.: </w:t>
            </w:r>
            <w:hyperlink r:id="rId11" w:history="1">
              <w:r w:rsidR="00E05045" w:rsidRPr="00D945CA">
                <w:rPr>
                  <w:rStyle w:val="Hyperlink"/>
                </w:rPr>
                <w:t>.......................</w:t>
              </w:r>
              <w:r w:rsidR="00E05045" w:rsidRPr="00D945CA">
                <w:rPr>
                  <w:rStyle w:val="Hyperlink"/>
                  <w:kern w:val="2"/>
                  <w:szCs w:val="24"/>
                </w:rPr>
                <w:t>@santa.lt</w:t>
              </w:r>
            </w:hyperlink>
            <w:r w:rsidR="00EF67CB">
              <w:t xml:space="preserve"> </w:t>
            </w:r>
            <w:r w:rsidR="005339DE">
              <w:rPr>
                <w:kern w:val="2"/>
                <w:szCs w:val="24"/>
              </w:rPr>
              <w:t xml:space="preserve"> </w:t>
            </w:r>
          </w:p>
          <w:p w14:paraId="5A574F4E" w14:textId="77777777" w:rsidR="00327C7C" w:rsidRPr="00C06E1A" w:rsidRDefault="00327C7C" w:rsidP="00EE3697">
            <w:pPr>
              <w:rPr>
                <w:color w:val="000000" w:themeColor="text1"/>
                <w:kern w:val="2"/>
                <w:szCs w:val="24"/>
              </w:rPr>
            </w:pPr>
          </w:p>
          <w:p w14:paraId="5D01861C" w14:textId="2DD86E82" w:rsidR="00BA0145" w:rsidRPr="00BA0145" w:rsidRDefault="00E371F2" w:rsidP="008A4EC4">
            <w:pPr>
              <w:rPr>
                <w:color w:val="4472C4"/>
                <w:kern w:val="2"/>
                <w:szCs w:val="24"/>
              </w:rPr>
            </w:pPr>
            <w:r>
              <w:rPr>
                <w:color w:val="000000" w:themeColor="text1"/>
                <w:kern w:val="2"/>
                <w:szCs w:val="24"/>
              </w:rPr>
              <w:t>2.1.2.</w:t>
            </w:r>
            <w:r w:rsidR="00BA0145" w:rsidRPr="0000783B">
              <w:rPr>
                <w:color w:val="000000" w:themeColor="text1"/>
                <w:kern w:val="2"/>
                <w:szCs w:val="24"/>
              </w:rPr>
              <w:t>Sąskaitų priėmimas: Finansinės apskaitos skyrius</w:t>
            </w:r>
            <w:r w:rsidR="00BA0145" w:rsidRPr="00C06E1A">
              <w:rPr>
                <w:color w:val="000000" w:themeColor="text1"/>
                <w:kern w:val="2"/>
                <w:szCs w:val="24"/>
              </w:rPr>
              <w:t>, tel.</w:t>
            </w:r>
            <w:r w:rsidR="003545E4" w:rsidRPr="00C06E1A">
              <w:rPr>
                <w:color w:val="000000" w:themeColor="text1"/>
                <w:kern w:val="2"/>
                <w:szCs w:val="24"/>
              </w:rPr>
              <w:t xml:space="preserve"> </w:t>
            </w:r>
            <w:r w:rsidR="00BA0145" w:rsidRPr="00BA0145">
              <w:rPr>
                <w:color w:val="000000" w:themeColor="text1"/>
                <w:kern w:val="2"/>
                <w:szCs w:val="24"/>
                <w:lang w:val="en-US"/>
              </w:rPr>
              <w:t>+</w:t>
            </w:r>
            <w:r w:rsidRPr="00BA0145">
              <w:rPr>
                <w:color w:val="000000" w:themeColor="text1"/>
                <w:kern w:val="2"/>
                <w:szCs w:val="24"/>
                <w:lang w:val="en-US"/>
              </w:rPr>
              <w:t>37</w:t>
            </w:r>
            <w:r w:rsidR="00304C23">
              <w:rPr>
                <w:color w:val="000000" w:themeColor="text1"/>
                <w:kern w:val="2"/>
                <w:szCs w:val="24"/>
                <w:lang w:val="en-US"/>
              </w:rPr>
              <w:t>0</w:t>
            </w:r>
            <w:r>
              <w:rPr>
                <w:color w:val="000000" w:themeColor="text1"/>
                <w:kern w:val="2"/>
                <w:szCs w:val="24"/>
                <w:lang w:val="en-US"/>
              </w:rPr>
              <w:t>……………</w:t>
            </w:r>
            <w:r w:rsidR="00BA0145" w:rsidRPr="00BA0145">
              <w:rPr>
                <w:color w:val="000000" w:themeColor="text1"/>
                <w:kern w:val="2"/>
                <w:szCs w:val="24"/>
                <w:lang w:val="en-US"/>
              </w:rPr>
              <w:t>.</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18922563" w:rsidR="00EE3697" w:rsidRDefault="005868C8" w:rsidP="00EE3697">
            <w:pPr>
              <w:rPr>
                <w:color w:val="4472C4"/>
                <w:kern w:val="2"/>
                <w:szCs w:val="24"/>
              </w:rPr>
            </w:pPr>
            <w:r w:rsidRPr="00624BE1">
              <w:rPr>
                <w:color w:val="4472C4"/>
                <w:kern w:val="2"/>
                <w:sz w:val="22"/>
                <w:szCs w:val="22"/>
              </w:rPr>
              <w:t>(nurodyti padalinį / skyrių, pareigas, vardą, pavardę, tel., el. paštą)</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7077" w:type="dxa"/>
            <w:gridSpan w:val="2"/>
          </w:tcPr>
          <w:p w14:paraId="605F45D7" w14:textId="6D9DCF97" w:rsidR="005D5582" w:rsidRDefault="00EE3697" w:rsidP="005D5582">
            <w:pPr>
              <w:jc w:val="both"/>
            </w:pPr>
            <w:r w:rsidRPr="000F190A">
              <w:rPr>
                <w:kern w:val="2"/>
                <w:szCs w:val="24"/>
              </w:rPr>
              <w:t>Tiekėjas įsipareigoja Sutartyje numatytomis sąlygomis perduoti</w:t>
            </w:r>
            <w:r w:rsidR="00902FDE">
              <w:rPr>
                <w:kern w:val="2"/>
                <w:szCs w:val="24"/>
              </w:rPr>
              <w:t xml:space="preserve"> </w:t>
            </w:r>
            <w:r w:rsidR="005868C8">
              <w:rPr>
                <w:kern w:val="2"/>
                <w:szCs w:val="24"/>
              </w:rPr>
              <w:t>Pirkėjui</w:t>
            </w:r>
          </w:p>
          <w:p w14:paraId="5AC9C53A" w14:textId="7655C60F" w:rsidR="00EE3697" w:rsidRPr="000F190A" w:rsidRDefault="00DA03C2" w:rsidP="0060245D">
            <w:pPr>
              <w:jc w:val="both"/>
              <w:rPr>
                <w:color w:val="000000"/>
                <w:kern w:val="2"/>
                <w:szCs w:val="24"/>
              </w:rPr>
            </w:pPr>
            <w:r>
              <w:t>operacinių įrangos dalis</w:t>
            </w:r>
            <w:r w:rsidR="007966DC" w:rsidRPr="00E52C9C">
              <w:rPr>
                <w:color w:val="000000" w:themeColor="text1"/>
              </w:rPr>
              <w:t xml:space="preserve"> </w:t>
            </w:r>
            <w:r w:rsidR="00401327" w:rsidRPr="000F190A">
              <w:rPr>
                <w:kern w:val="2"/>
                <w:szCs w:val="24"/>
              </w:rPr>
              <w:t xml:space="preserve">(toliau – Prekės). </w:t>
            </w:r>
            <w:r w:rsidR="00F0024B">
              <w:rPr>
                <w:kern w:val="2"/>
                <w:szCs w:val="24"/>
              </w:rPr>
              <w:t xml:space="preserve">Išsamus </w:t>
            </w:r>
            <w:r w:rsidR="00551FA8" w:rsidRPr="000F190A">
              <w:rPr>
                <w:kern w:val="2"/>
                <w:szCs w:val="24"/>
              </w:rPr>
              <w:t xml:space="preserve">Prekių aprašymas ir kiti reikalavimai tiekiamoms Prekėms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t>Sutarties priede Nr. 1 „</w:t>
            </w:r>
            <w:r w:rsidR="00E05045" w:rsidRPr="000F190A">
              <w:rPr>
                <w:kern w:val="2"/>
                <w:szCs w:val="24"/>
              </w:rPr>
              <w:t>Techninė specifikacija</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w:t>
            </w:r>
            <w:r w:rsidR="007966DC">
              <w:rPr>
                <w:kern w:val="2"/>
                <w:szCs w:val="24"/>
              </w:rPr>
              <w:t xml:space="preserve">. </w:t>
            </w:r>
            <w:r w:rsidR="00551FA8" w:rsidRPr="000F190A">
              <w:rPr>
                <w:kern w:val="2"/>
                <w:szCs w:val="24"/>
              </w:rPr>
              <w:t xml:space="preserve"> </w:t>
            </w:r>
            <w:r w:rsidR="006B28AE" w:rsidRPr="000F190A">
              <w:rPr>
                <w:kern w:val="2"/>
                <w:szCs w:val="24"/>
              </w:rPr>
              <w:t xml:space="preserve"> </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322070A6" w:rsidR="00EE3697" w:rsidRPr="00401327" w:rsidRDefault="00F63638" w:rsidP="00EE3697">
            <w:pPr>
              <w:rPr>
                <w:kern w:val="2"/>
                <w:szCs w:val="24"/>
              </w:rPr>
            </w:pPr>
            <w:r w:rsidRPr="00F63638">
              <w:rPr>
                <w:szCs w:val="24"/>
              </w:rPr>
              <w:t>Operacinių įrangos dalys</w:t>
            </w:r>
            <w:r w:rsidR="006176EF" w:rsidRPr="00D32342">
              <w:rPr>
                <w:bCs/>
                <w:caps/>
                <w:szCs w:val="24"/>
              </w:rPr>
              <w:t xml:space="preserve"> </w:t>
            </w:r>
            <w:r w:rsidR="00D32342" w:rsidRPr="00D32342">
              <w:rPr>
                <w:bCs/>
                <w:caps/>
                <w:szCs w:val="24"/>
              </w:rPr>
              <w:t>(1</w:t>
            </w:r>
            <w:r w:rsidR="006176EF">
              <w:rPr>
                <w:bCs/>
                <w:caps/>
                <w:szCs w:val="24"/>
              </w:rPr>
              <w:t>1</w:t>
            </w:r>
            <w:r>
              <w:rPr>
                <w:bCs/>
                <w:caps/>
                <w:szCs w:val="24"/>
              </w:rPr>
              <w:t>42</w:t>
            </w:r>
            <w:r w:rsidR="006176EF">
              <w:rPr>
                <w:bCs/>
                <w:caps/>
                <w:szCs w:val="24"/>
              </w:rPr>
              <w:t>3</w:t>
            </w:r>
            <w:r w:rsidR="00D32342" w:rsidRPr="00D32342">
              <w:rPr>
                <w:bCs/>
                <w:caps/>
                <w:szCs w:val="24"/>
              </w:rPr>
              <w:t>)</w:t>
            </w:r>
            <w:r w:rsidR="00D32342">
              <w:rPr>
                <w:bCs/>
                <w:caps/>
                <w:szCs w:val="24"/>
              </w:rPr>
              <w:t>,</w:t>
            </w:r>
            <w:r w:rsidR="00592823" w:rsidRPr="00401327">
              <w:rPr>
                <w:color w:val="000000"/>
                <w:szCs w:val="24"/>
              </w:rPr>
              <w:t xml:space="preserve"> </w:t>
            </w:r>
            <w:r w:rsidR="00401327" w:rsidRPr="00401327">
              <w:rPr>
                <w:color w:val="000000"/>
                <w:szCs w:val="24"/>
              </w:rPr>
              <w:t xml:space="preserve">CVP IS </w:t>
            </w:r>
            <w:r w:rsidR="00401327" w:rsidRPr="00F63638">
              <w:rPr>
                <w:color w:val="000000"/>
                <w:szCs w:val="24"/>
              </w:rPr>
              <w:t xml:space="preserve">Nr. </w:t>
            </w:r>
            <w:r w:rsidR="00401327" w:rsidRPr="00F63638">
              <w:rPr>
                <w:color w:val="0070C0"/>
                <w:szCs w:val="24"/>
              </w:rPr>
              <w:t>[įrašyti]</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238ADE36" w:rsidR="00EE3697" w:rsidRDefault="00EE3697" w:rsidP="00EE3697">
            <w:pPr>
              <w:rPr>
                <w:b/>
                <w:bCs/>
                <w:kern w:val="2"/>
                <w:szCs w:val="24"/>
              </w:rPr>
            </w:pPr>
            <w:r>
              <w:rPr>
                <w:b/>
                <w:bCs/>
                <w:kern w:val="2"/>
                <w:szCs w:val="24"/>
              </w:rPr>
              <w:t xml:space="preserve">4.1. Prekių pristatymo terminai, kai Prekės </w:t>
            </w:r>
            <w:r w:rsidR="006B6FE5">
              <w:rPr>
                <w:b/>
                <w:bCs/>
                <w:kern w:val="2"/>
                <w:sz w:val="22"/>
                <w:szCs w:val="22"/>
              </w:rPr>
              <w:t>vienu kartu</w:t>
            </w:r>
          </w:p>
        </w:tc>
        <w:tc>
          <w:tcPr>
            <w:tcW w:w="7077" w:type="dxa"/>
            <w:gridSpan w:val="2"/>
          </w:tcPr>
          <w:p w14:paraId="65C8E167" w14:textId="7A5326C5" w:rsidR="003917D9" w:rsidRPr="002F3610" w:rsidRDefault="00BA2AF8" w:rsidP="0028063E">
            <w:pPr>
              <w:jc w:val="both"/>
              <w:rPr>
                <w:color w:val="FF0000"/>
                <w:kern w:val="2"/>
                <w:szCs w:val="24"/>
              </w:rPr>
            </w:pPr>
            <w:r>
              <w:rPr>
                <w:kern w:val="2"/>
                <w:szCs w:val="24"/>
              </w:rPr>
              <w:t>Tiekėjas</w:t>
            </w:r>
            <w:r w:rsidR="00D405F4">
              <w:rPr>
                <w:kern w:val="2"/>
                <w:szCs w:val="24"/>
              </w:rPr>
              <w:t xml:space="preserve"> pagal atskirą užsakymą</w:t>
            </w:r>
            <w:r>
              <w:rPr>
                <w:kern w:val="2"/>
                <w:szCs w:val="24"/>
              </w:rPr>
              <w:t xml:space="preserve"> </w:t>
            </w:r>
            <w:r w:rsidRPr="009D6CD5">
              <w:rPr>
                <w:kern w:val="2"/>
                <w:szCs w:val="24"/>
              </w:rPr>
              <w:t>Prekes</w:t>
            </w:r>
            <w:r w:rsidR="006B6FE5">
              <w:rPr>
                <w:kern w:val="2"/>
                <w:sz w:val="22"/>
                <w:szCs w:val="22"/>
              </w:rPr>
              <w:t xml:space="preserve"> (visą Prekių kiekį) </w:t>
            </w:r>
            <w:r w:rsidRPr="009D6CD5">
              <w:rPr>
                <w:kern w:val="2"/>
                <w:szCs w:val="24"/>
              </w:rPr>
              <w:t xml:space="preserve"> įsipareigoja </w:t>
            </w:r>
            <w:r>
              <w:rPr>
                <w:kern w:val="2"/>
                <w:szCs w:val="24"/>
              </w:rPr>
              <w:t xml:space="preserve">pristatyti </w:t>
            </w:r>
            <w:r w:rsidRPr="00B404B3">
              <w:rPr>
                <w:b/>
                <w:bCs/>
                <w:kern w:val="2"/>
                <w:szCs w:val="24"/>
              </w:rPr>
              <w:t xml:space="preserve">ne vėliau kaip per </w:t>
            </w:r>
            <w:r w:rsidR="0045195B">
              <w:rPr>
                <w:b/>
                <w:bCs/>
                <w:kern w:val="2"/>
                <w:szCs w:val="24"/>
              </w:rPr>
              <w:t>3</w:t>
            </w:r>
            <w:r w:rsidRPr="00B404B3">
              <w:rPr>
                <w:b/>
                <w:bCs/>
                <w:kern w:val="2"/>
                <w:szCs w:val="24"/>
              </w:rPr>
              <w:t xml:space="preserve"> (</w:t>
            </w:r>
            <w:r w:rsidR="0045195B">
              <w:rPr>
                <w:b/>
                <w:bCs/>
                <w:kern w:val="2"/>
                <w:szCs w:val="24"/>
              </w:rPr>
              <w:t>tris</w:t>
            </w:r>
            <w:r w:rsidRPr="00B404B3">
              <w:rPr>
                <w:b/>
                <w:bCs/>
                <w:kern w:val="2"/>
                <w:szCs w:val="24"/>
              </w:rPr>
              <w:t xml:space="preserve">) </w:t>
            </w:r>
            <w:r w:rsidR="0045195B" w:rsidRPr="0045195B">
              <w:rPr>
                <w:bCs/>
                <w:kern w:val="2"/>
                <w:szCs w:val="24"/>
              </w:rPr>
              <w:t>mėnesius</w:t>
            </w:r>
            <w:r w:rsidRPr="0045195B">
              <w:rPr>
                <w:kern w:val="2"/>
                <w:szCs w:val="24"/>
              </w:rPr>
              <w:t xml:space="preserve"> </w:t>
            </w:r>
            <w:r>
              <w:rPr>
                <w:kern w:val="2"/>
                <w:szCs w:val="24"/>
              </w:rPr>
              <w:t>nuo užsakymo pateikimo dienos adres</w:t>
            </w:r>
            <w:r w:rsidR="003F4102">
              <w:rPr>
                <w:kern w:val="2"/>
                <w:szCs w:val="24"/>
              </w:rPr>
              <w:t>u</w:t>
            </w:r>
            <w:r>
              <w:rPr>
                <w:kern w:val="2"/>
                <w:szCs w:val="24"/>
              </w:rPr>
              <w:t xml:space="preserve"> </w:t>
            </w:r>
            <w:r w:rsidRPr="00DA7E8B">
              <w:t>Santariškių g. 2,</w:t>
            </w:r>
            <w:r>
              <w:t xml:space="preserve"> </w:t>
            </w:r>
            <w:r w:rsidRPr="00DA7E8B">
              <w:t>LT-08406 Vilnius</w:t>
            </w:r>
            <w:r>
              <w:rPr>
                <w:kern w:val="2"/>
                <w:szCs w:val="24"/>
              </w:rPr>
              <w:t>.</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7B85E95A" w:rsidR="00EE3697" w:rsidRDefault="00CE5717" w:rsidP="0028063E">
            <w:pPr>
              <w:jc w:val="both"/>
              <w:rPr>
                <w:kern w:val="2"/>
                <w:szCs w:val="24"/>
              </w:rPr>
            </w:pPr>
            <w:r>
              <w:rPr>
                <w:kern w:val="2"/>
                <w:szCs w:val="24"/>
              </w:rPr>
              <w:t>Netaikoma</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5E267A7D" w:rsidR="00887B56" w:rsidRPr="000F190A" w:rsidRDefault="00887B56" w:rsidP="0028063E">
            <w:pPr>
              <w:jc w:val="both"/>
              <w:rPr>
                <w:color w:val="0070C0"/>
                <w:kern w:val="2"/>
                <w:szCs w:val="24"/>
              </w:rPr>
            </w:pPr>
            <w:r w:rsidRPr="000F190A">
              <w:rPr>
                <w:kern w:val="2"/>
                <w:szCs w:val="24"/>
              </w:rPr>
              <w:t>Užsakymai teikiami Tiekėjo žemiau nurodytu elektroniniu paštu</w:t>
            </w:r>
            <w:r w:rsidR="00CA3F80" w:rsidRPr="000F190A">
              <w:rPr>
                <w:kern w:val="2"/>
                <w:szCs w:val="24"/>
              </w:rPr>
              <w:t xml:space="preserve"> </w:t>
            </w:r>
            <w:r w:rsidRPr="000F190A">
              <w:rPr>
                <w:kern w:val="2"/>
                <w:szCs w:val="24"/>
              </w:rPr>
              <w:t>ir laikomi gautais po 24 (dvidešimt keturių valandų) nuo užsakymo pateikimo.</w:t>
            </w:r>
          </w:p>
          <w:p w14:paraId="1A2154AC" w14:textId="77777777" w:rsidR="00EE3697" w:rsidRPr="0000783B" w:rsidRDefault="00887B56" w:rsidP="00887B56">
            <w:pPr>
              <w:rPr>
                <w:color w:val="0070C0"/>
                <w:szCs w:val="24"/>
              </w:rPr>
            </w:pPr>
            <w:r w:rsidRPr="000F190A">
              <w:rPr>
                <w:kern w:val="2"/>
                <w:szCs w:val="24"/>
              </w:rPr>
              <w:t xml:space="preserve">Elektroninis paštas užsakymams: </w:t>
            </w:r>
            <w:r w:rsidRPr="0000783B">
              <w:rPr>
                <w:color w:val="0070C0"/>
                <w:szCs w:val="24"/>
              </w:rPr>
              <w:t>[įrašyti]</w:t>
            </w:r>
          </w:p>
          <w:p w14:paraId="524E13DF" w14:textId="03790B72" w:rsidR="00CA3F80" w:rsidRPr="00CA3F80" w:rsidRDefault="00CA3F80" w:rsidP="00887B56">
            <w:pPr>
              <w:rPr>
                <w:color w:val="C00000"/>
                <w:sz w:val="22"/>
                <w:szCs w:val="22"/>
                <w:highlight w:val="yellow"/>
              </w:rPr>
            </w:pP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46D9D8DA" w:rsidR="00B81F36" w:rsidRPr="000F190A" w:rsidRDefault="00B81F36" w:rsidP="00B81F36">
            <w:pPr>
              <w:widowControl w:val="0"/>
              <w:tabs>
                <w:tab w:val="left" w:pos="284"/>
                <w:tab w:val="left" w:pos="567"/>
              </w:tabs>
              <w:ind w:right="30"/>
              <w:jc w:val="both"/>
              <w:rPr>
                <w:kern w:val="2"/>
                <w:szCs w:val="24"/>
              </w:rPr>
            </w:pPr>
            <w:r w:rsidRPr="000F190A">
              <w:rPr>
                <w:kern w:val="2"/>
                <w:szCs w:val="24"/>
              </w:rPr>
              <w:t xml:space="preserve">4.5.1. </w:t>
            </w:r>
            <w:r w:rsidR="006469BB" w:rsidRPr="000F190A">
              <w:rPr>
                <w:kern w:val="2"/>
                <w:szCs w:val="24"/>
              </w:rPr>
              <w:t>Prekių perdavimo-priėmimo aktas ar kitas Prekių pristatymą patvirtinantis dokumentas (krovinio važtaraštis, sąskaita faktūra, pakavimo lapas)</w:t>
            </w:r>
            <w:r w:rsidRPr="000F190A">
              <w:rPr>
                <w:kern w:val="2"/>
                <w:szCs w:val="24"/>
              </w:rPr>
              <w:t>.</w:t>
            </w:r>
          </w:p>
          <w:p w14:paraId="68F0232E" w14:textId="62C1AF55" w:rsidR="00B81F36" w:rsidRDefault="00B81F36" w:rsidP="00B81F36">
            <w:pPr>
              <w:widowControl w:val="0"/>
              <w:tabs>
                <w:tab w:val="left" w:pos="284"/>
                <w:tab w:val="left" w:pos="567"/>
              </w:tabs>
              <w:ind w:right="30"/>
              <w:jc w:val="both"/>
              <w:rPr>
                <w:kern w:val="2"/>
                <w:szCs w:val="24"/>
              </w:rPr>
            </w:pPr>
            <w:r w:rsidRPr="000F190A">
              <w:rPr>
                <w:kern w:val="2"/>
                <w:szCs w:val="24"/>
              </w:rPr>
              <w:t xml:space="preserve">4.5.2. Prekių </w:t>
            </w:r>
            <w:r w:rsidR="006B41F7">
              <w:rPr>
                <w:kern w:val="2"/>
                <w:szCs w:val="24"/>
              </w:rPr>
              <w:t xml:space="preserve">naudojimo </w:t>
            </w:r>
            <w:r w:rsidRPr="000F190A">
              <w:rPr>
                <w:kern w:val="2"/>
                <w:szCs w:val="24"/>
              </w:rPr>
              <w:t>instrukcijos lietuvių kalba. Prekių žymėjimas ant pakuotės turi būti lietuvių kalba (jei prekės gamintojo nėra žymimos valstybine kalba – pasitelkiant lipdukus ar kt. priemones).</w:t>
            </w:r>
          </w:p>
          <w:p w14:paraId="38CF880E" w14:textId="2FEA4D3A" w:rsidR="00A5763D" w:rsidRDefault="00A5763D" w:rsidP="00B81F36">
            <w:pPr>
              <w:widowControl w:val="0"/>
              <w:tabs>
                <w:tab w:val="left" w:pos="284"/>
                <w:tab w:val="left" w:pos="567"/>
              </w:tabs>
              <w:ind w:right="30"/>
              <w:jc w:val="both"/>
              <w:rPr>
                <w:kern w:val="2"/>
                <w:szCs w:val="24"/>
              </w:rPr>
            </w:pPr>
            <w:r w:rsidRPr="0000783B">
              <w:rPr>
                <w:szCs w:val="24"/>
              </w:rPr>
              <w:t>4.5.3.</w:t>
            </w:r>
            <w:r w:rsidRPr="00A5763D">
              <w:rPr>
                <w:kern w:val="2"/>
                <w:szCs w:val="24"/>
              </w:rPr>
              <w:t xml:space="preserve"> </w:t>
            </w:r>
            <w:r w:rsidR="00DF3F55" w:rsidRPr="00EA25B9">
              <w:rPr>
                <w:szCs w:val="24"/>
              </w:rPr>
              <w:t>Sutarties 13.1.1. punkte nurodytus dokumentus</w:t>
            </w:r>
            <w:r w:rsidR="00DF3F55">
              <w:rPr>
                <w:szCs w:val="24"/>
              </w:rPr>
              <w:t xml:space="preserve"> </w:t>
            </w:r>
            <w:r w:rsidR="00DF3F55" w:rsidRPr="0000783B">
              <w:rPr>
                <w:szCs w:val="24"/>
              </w:rPr>
              <w:t>(jeigu taikoma)</w:t>
            </w:r>
            <w:r w:rsidR="00DF3F55">
              <w:rPr>
                <w:szCs w:val="24"/>
              </w:rPr>
              <w:t xml:space="preserve">. </w:t>
            </w:r>
          </w:p>
          <w:p w14:paraId="0CA7C002" w14:textId="2E9F8219" w:rsidR="00A5763D" w:rsidRDefault="00A5763D" w:rsidP="00A5763D">
            <w:pPr>
              <w:jc w:val="both"/>
              <w:rPr>
                <w:sz w:val="22"/>
                <w:szCs w:val="22"/>
              </w:rPr>
            </w:pPr>
            <w:r w:rsidRPr="0000783B">
              <w:rPr>
                <w:szCs w:val="24"/>
              </w:rPr>
              <w:t>4.5.4.</w:t>
            </w:r>
            <w:r>
              <w:rPr>
                <w:szCs w:val="24"/>
              </w:rPr>
              <w:t xml:space="preserve"> </w:t>
            </w:r>
            <w:r w:rsidR="00DF3F55" w:rsidRPr="0000783B">
              <w:rPr>
                <w:szCs w:val="24"/>
              </w:rPr>
              <w:t>Techninėje</w:t>
            </w:r>
            <w:r w:rsidR="00DF3F55">
              <w:rPr>
                <w:szCs w:val="24"/>
              </w:rPr>
              <w:t xml:space="preserve"> </w:t>
            </w:r>
            <w:r w:rsidR="00DF3F55" w:rsidRPr="0000783B">
              <w:rPr>
                <w:szCs w:val="24"/>
              </w:rPr>
              <w:t>specifikacijoje reikalaujami dokumentai</w:t>
            </w:r>
            <w:r w:rsidR="00DF3F55">
              <w:rPr>
                <w:szCs w:val="24"/>
              </w:rPr>
              <w:t xml:space="preserve"> (jeigu taikoma)</w:t>
            </w:r>
            <w:r w:rsidR="00DF3F55" w:rsidRPr="0000783B">
              <w:rPr>
                <w:szCs w:val="24"/>
              </w:rPr>
              <w:t>.</w:t>
            </w:r>
            <w:r w:rsidR="00DF3F55">
              <w:rPr>
                <w:szCs w:val="24"/>
              </w:rPr>
              <w:t xml:space="preserve"> </w:t>
            </w:r>
          </w:p>
          <w:p w14:paraId="6F908DED" w14:textId="46EE1FBD" w:rsidR="00EE3697" w:rsidRPr="000F190A" w:rsidRDefault="00A5763D" w:rsidP="00DF3F55">
            <w:pPr>
              <w:widowControl w:val="0"/>
              <w:tabs>
                <w:tab w:val="left" w:pos="284"/>
                <w:tab w:val="left" w:pos="567"/>
              </w:tabs>
              <w:ind w:right="30"/>
              <w:jc w:val="both"/>
              <w:rPr>
                <w:kern w:val="2"/>
                <w:szCs w:val="24"/>
              </w:rPr>
            </w:pPr>
            <w:r w:rsidRPr="000F190A">
              <w:rPr>
                <w:kern w:val="2"/>
                <w:szCs w:val="24"/>
              </w:rPr>
              <w:t>4.5.5</w:t>
            </w:r>
            <w:r w:rsidRPr="00D25194">
              <w:rPr>
                <w:sz w:val="22"/>
                <w:szCs w:val="22"/>
              </w:rPr>
              <w:t>.</w:t>
            </w:r>
            <w:r w:rsidR="00DF3F55">
              <w:rPr>
                <w:sz w:val="22"/>
                <w:szCs w:val="22"/>
              </w:rPr>
              <w:t xml:space="preserve"> </w:t>
            </w:r>
            <w:r w:rsidR="00DF3F55" w:rsidRPr="000F190A">
              <w:rPr>
                <w:kern w:val="2"/>
                <w:szCs w:val="24"/>
              </w:rPr>
              <w:t>Tiekėjui nepateikus nurodytų dokumentų, laikoma, kad Prekės neatitinka Sutartyje nustatytų reikalavimų.</w:t>
            </w:r>
            <w:r w:rsidR="00DF3F55">
              <w:rPr>
                <w:kern w:val="2"/>
                <w:szCs w:val="24"/>
              </w:rPr>
              <w:t xml:space="preserve">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68DD4746" w:rsidR="00EE3697" w:rsidRPr="00BE700F" w:rsidRDefault="00B51B31" w:rsidP="00653F29">
            <w:pPr>
              <w:rPr>
                <w:kern w:val="2"/>
                <w:szCs w:val="24"/>
              </w:rPr>
            </w:pPr>
            <w:r>
              <w:t>Fiksuoto</w:t>
            </w:r>
            <w:r w:rsidR="006471CD">
              <w:t>s</w:t>
            </w:r>
            <w:r>
              <w:t xml:space="preserve"> kaino</w:t>
            </w:r>
            <w:r w:rsidR="006471CD">
              <w:t>s</w:t>
            </w:r>
            <w:r>
              <w:t xml:space="preserve"> </w:t>
            </w:r>
            <w:r>
              <w:rPr>
                <w:kern w:val="2"/>
                <w:szCs w:val="24"/>
              </w:rPr>
              <w:t xml:space="preserve">kainodara </w:t>
            </w:r>
          </w:p>
        </w:tc>
      </w:tr>
      <w:tr w:rsidR="00EE3697" w14:paraId="70C4ABB1" w14:textId="77777777" w:rsidTr="001974B4">
        <w:trPr>
          <w:trHeight w:val="695"/>
        </w:trPr>
        <w:tc>
          <w:tcPr>
            <w:tcW w:w="2557" w:type="dxa"/>
          </w:tcPr>
          <w:p w14:paraId="2D3ED39A" w14:textId="52158623" w:rsidR="00EE3697" w:rsidRDefault="00EE3697" w:rsidP="00EE3697">
            <w:pPr>
              <w:rPr>
                <w:b/>
                <w:bCs/>
                <w:kern w:val="2"/>
                <w:szCs w:val="24"/>
              </w:rPr>
            </w:pPr>
            <w:r>
              <w:rPr>
                <w:b/>
                <w:bCs/>
                <w:kern w:val="2"/>
                <w:szCs w:val="24"/>
              </w:rPr>
              <w:t xml:space="preserve">5.2. Pradinės Sutarties vertė ir Sutarties kaina, kai taikoma </w:t>
            </w:r>
            <w:r w:rsidR="00B51B31">
              <w:rPr>
                <w:b/>
                <w:bCs/>
                <w:kern w:val="2"/>
                <w:szCs w:val="24"/>
                <w:u w:val="single"/>
              </w:rPr>
              <w:lastRenderedPageBreak/>
              <w:t>fiksuoto</w:t>
            </w:r>
            <w:r w:rsidR="006471CD">
              <w:rPr>
                <w:b/>
                <w:bCs/>
                <w:kern w:val="2"/>
                <w:szCs w:val="24"/>
                <w:u w:val="single"/>
              </w:rPr>
              <w:t>s</w:t>
            </w:r>
            <w:r w:rsidR="00B51B31">
              <w:rPr>
                <w:b/>
                <w:bCs/>
                <w:kern w:val="2"/>
                <w:szCs w:val="24"/>
                <w:u w:val="single"/>
              </w:rPr>
              <w:t xml:space="preserve"> kaino</w:t>
            </w:r>
            <w:r w:rsidR="006471CD">
              <w:rPr>
                <w:b/>
                <w:bCs/>
                <w:kern w:val="2"/>
                <w:szCs w:val="24"/>
                <w:u w:val="single"/>
              </w:rPr>
              <w:t>s</w:t>
            </w:r>
            <w:r w:rsidR="00B51B31">
              <w:rPr>
                <w:b/>
                <w:bCs/>
                <w:kern w:val="2"/>
                <w:szCs w:val="24"/>
              </w:rPr>
              <w:t xml:space="preserve"> </w:t>
            </w:r>
            <w:r>
              <w:rPr>
                <w:b/>
                <w:bCs/>
                <w:kern w:val="2"/>
                <w:szCs w:val="24"/>
              </w:rPr>
              <w:t>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22D43560" w14:textId="77777777" w:rsidR="007C6503" w:rsidRPr="00E61DEA" w:rsidRDefault="006F4BCB" w:rsidP="007C6503">
            <w:pPr>
              <w:jc w:val="both"/>
              <w:rPr>
                <w:kern w:val="2"/>
                <w:szCs w:val="24"/>
              </w:rPr>
            </w:pPr>
            <w:r w:rsidRPr="006A312D">
              <w:rPr>
                <w:kern w:val="2"/>
                <w:szCs w:val="24"/>
              </w:rPr>
              <w:lastRenderedPageBreak/>
              <w:t xml:space="preserve">5.2.1. </w:t>
            </w:r>
            <w:r w:rsidR="007C6503" w:rsidRPr="00E61DEA">
              <w:rPr>
                <w:kern w:val="2"/>
                <w:szCs w:val="24"/>
              </w:rPr>
              <w:t xml:space="preserve">Pradinės Sutarties vertė yra </w:t>
            </w:r>
            <w:r w:rsidR="007C6503" w:rsidRPr="00D43727">
              <w:rPr>
                <w:color w:val="0070C0"/>
                <w:szCs w:val="24"/>
              </w:rPr>
              <w:t>[</w:t>
            </w:r>
            <w:r w:rsidR="007C6503" w:rsidRPr="00E61DEA">
              <w:rPr>
                <w:color w:val="0070C0"/>
                <w:kern w:val="2"/>
                <w:szCs w:val="24"/>
              </w:rPr>
              <w:t xml:space="preserve">nurodyti sumą skaičiais] </w:t>
            </w:r>
            <w:r w:rsidR="007C6503" w:rsidRPr="00E61DEA">
              <w:rPr>
                <w:kern w:val="2"/>
                <w:szCs w:val="24"/>
              </w:rPr>
              <w:t>Eur,</w:t>
            </w:r>
            <w:r w:rsidR="007C6503" w:rsidRPr="00E61DEA">
              <w:rPr>
                <w:color w:val="FF0000"/>
                <w:kern w:val="2"/>
                <w:szCs w:val="24"/>
              </w:rPr>
              <w:t xml:space="preserve"> </w:t>
            </w:r>
            <w:r w:rsidR="007C6503" w:rsidRPr="00D43727">
              <w:rPr>
                <w:color w:val="0070C0"/>
                <w:szCs w:val="24"/>
              </w:rPr>
              <w:t>[</w:t>
            </w:r>
            <w:r w:rsidR="007C6503" w:rsidRPr="00E61DEA">
              <w:rPr>
                <w:color w:val="0070C0"/>
                <w:kern w:val="2"/>
                <w:szCs w:val="24"/>
              </w:rPr>
              <w:t xml:space="preserve">nurodyti sumą žodžiais] </w:t>
            </w:r>
            <w:r w:rsidR="007C6503" w:rsidRPr="00E61DEA">
              <w:rPr>
                <w:kern w:val="2"/>
                <w:szCs w:val="24"/>
              </w:rPr>
              <w:t xml:space="preserve">be pridėtinės vertės mokesčio (toliau – PVM). </w:t>
            </w:r>
          </w:p>
          <w:p w14:paraId="42105A20" w14:textId="77777777" w:rsidR="007C6503" w:rsidRPr="00E61DEA" w:rsidRDefault="007C6503" w:rsidP="007C6503">
            <w:pPr>
              <w:jc w:val="both"/>
              <w:rPr>
                <w:color w:val="FF0000"/>
                <w:kern w:val="2"/>
                <w:szCs w:val="24"/>
              </w:rPr>
            </w:pPr>
            <w:r w:rsidRPr="00E61DEA">
              <w:rPr>
                <w:kern w:val="2"/>
                <w:szCs w:val="24"/>
              </w:rPr>
              <w:t xml:space="preserve">PVM sudaro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D43727">
              <w:rPr>
                <w:color w:val="0070C0"/>
                <w:szCs w:val="24"/>
              </w:rPr>
              <w:t>[</w:t>
            </w:r>
            <w:r w:rsidRPr="00E61DEA">
              <w:rPr>
                <w:color w:val="0070C0"/>
                <w:kern w:val="2"/>
                <w:szCs w:val="24"/>
              </w:rPr>
              <w:t>nurodyti sumą žodžiais</w:t>
            </w:r>
            <w:r w:rsidRPr="00D43727">
              <w:rPr>
                <w:color w:val="0070C0"/>
                <w:szCs w:val="24"/>
              </w:rPr>
              <w:t>]</w:t>
            </w:r>
          </w:p>
          <w:p w14:paraId="6610445A" w14:textId="2379E27F" w:rsidR="00EE3697" w:rsidRPr="006D6AA3" w:rsidRDefault="007C6503" w:rsidP="007C6503">
            <w:pPr>
              <w:jc w:val="both"/>
              <w:rPr>
                <w:color w:val="FF0000"/>
                <w:kern w:val="2"/>
                <w:szCs w:val="24"/>
              </w:rPr>
            </w:pPr>
            <w:r w:rsidRPr="00E61DEA">
              <w:rPr>
                <w:kern w:val="2"/>
                <w:szCs w:val="24"/>
              </w:rPr>
              <w:lastRenderedPageBreak/>
              <w:t xml:space="preserve">Sutarties kaina yra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E61DEA">
              <w:rPr>
                <w:color w:val="0070C0"/>
                <w:kern w:val="2"/>
                <w:szCs w:val="24"/>
              </w:rPr>
              <w:t>[nurodyti sumą žodžiais</w:t>
            </w:r>
            <w:r w:rsidRPr="00D43727">
              <w:rPr>
                <w:color w:val="0070C0"/>
                <w:szCs w:val="24"/>
              </w:rPr>
              <w:t>]</w:t>
            </w:r>
            <w:r w:rsidRPr="00E61DEA">
              <w:rPr>
                <w:color w:val="FF0000"/>
                <w:kern w:val="2"/>
                <w:szCs w:val="24"/>
              </w:rPr>
              <w:t xml:space="preserve"> </w:t>
            </w:r>
            <w:r w:rsidRPr="00E61DEA">
              <w:rPr>
                <w:kern w:val="2"/>
                <w:szCs w:val="24"/>
              </w:rPr>
              <w:t>Eur su PVM.</w:t>
            </w:r>
            <w:r>
              <w:rPr>
                <w:kern w:val="2"/>
                <w:szCs w:val="24"/>
              </w:rPr>
              <w:t xml:space="preserve"> </w:t>
            </w:r>
            <w:r w:rsidR="006D6AA3">
              <w:rPr>
                <w:kern w:val="2"/>
                <w:szCs w:val="24"/>
              </w:rPr>
              <w:t xml:space="preserve"> </w:t>
            </w:r>
          </w:p>
          <w:p w14:paraId="13280FF8" w14:textId="70CE597C" w:rsidR="00EE3697" w:rsidRPr="00C06E1A" w:rsidRDefault="006F4BCB" w:rsidP="0028063E">
            <w:pPr>
              <w:jc w:val="both"/>
              <w:rPr>
                <w:kern w:val="2"/>
                <w:szCs w:val="24"/>
              </w:rPr>
            </w:pPr>
            <w:r w:rsidRPr="00D90220">
              <w:rPr>
                <w:color w:val="000000"/>
                <w:kern w:val="2"/>
                <w:szCs w:val="24"/>
              </w:rPr>
              <w:t xml:space="preserve">5.2.2. </w:t>
            </w:r>
            <w:r w:rsidR="00BE700F">
              <w:rPr>
                <w:color w:val="000000"/>
                <w:kern w:val="2"/>
                <w:szCs w:val="24"/>
              </w:rPr>
              <w:t xml:space="preserve">Šioje Sutartyje Pradinės Sutarties vertė yra </w:t>
            </w:r>
            <w:r w:rsidR="00583A1D">
              <w:rPr>
                <w:color w:val="000000"/>
                <w:kern w:val="2"/>
                <w:szCs w:val="24"/>
              </w:rPr>
              <w:t>Tiekėjo pasiūlymo kainai be PVM, nurodytai už visą pirkimo dokumentuose ir Sutartyje nurodytą Prekių kiekį ir (ar) apimtį</w:t>
            </w:r>
            <w:r w:rsidR="003740F9" w:rsidRPr="00D90220">
              <w:rPr>
                <w:color w:val="000000"/>
                <w:kern w:val="2"/>
                <w:szCs w:val="24"/>
              </w:rPr>
              <w:t>.</w:t>
            </w:r>
            <w:r w:rsidR="003740F9">
              <w:rPr>
                <w:color w:val="000000"/>
                <w:kern w:val="2"/>
                <w:szCs w:val="24"/>
              </w:rPr>
              <w:t xml:space="preserve"> </w:t>
            </w:r>
            <w:r w:rsidR="00BE700F">
              <w:rPr>
                <w:color w:val="000000"/>
                <w:kern w:val="2"/>
                <w:szCs w:val="24"/>
              </w:rPr>
              <w:t xml:space="preserve"> </w:t>
            </w:r>
            <w:r w:rsidR="00EE3697" w:rsidRPr="00C06E1A">
              <w:rPr>
                <w:kern w:val="2"/>
                <w:szCs w:val="24"/>
              </w:rPr>
              <w:t xml:space="preserve"> </w:t>
            </w:r>
            <w:r w:rsidR="009D294F" w:rsidRPr="00C06E1A">
              <w:rPr>
                <w:kern w:val="2"/>
                <w:szCs w:val="24"/>
              </w:rPr>
              <w:t xml:space="preserve"> </w:t>
            </w:r>
          </w:p>
          <w:p w14:paraId="4BBEC627" w14:textId="51659D24" w:rsidR="006F4BCB" w:rsidRPr="005C216E" w:rsidRDefault="006F4BCB" w:rsidP="00D81341">
            <w:pPr>
              <w:jc w:val="both"/>
              <w:rPr>
                <w:kern w:val="2"/>
                <w:szCs w:val="24"/>
              </w:rPr>
            </w:pPr>
            <w:r w:rsidRPr="00D90220">
              <w:rPr>
                <w:color w:val="000000"/>
                <w:kern w:val="2"/>
                <w:szCs w:val="24"/>
              </w:rPr>
              <w:t xml:space="preserve">5.2.3. </w:t>
            </w:r>
            <w:r w:rsidRPr="00D90220">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1F1FA26C" w:rsidR="001D6448" w:rsidRDefault="000419C9" w:rsidP="00217CDC">
            <w:pPr>
              <w:rPr>
                <w:kern w:val="2"/>
                <w:szCs w:val="24"/>
              </w:rPr>
            </w:pPr>
            <w:r w:rsidRPr="00881764">
              <w:rPr>
                <w:kern w:val="2"/>
                <w:szCs w:val="24"/>
              </w:rPr>
              <w:t>5.3.1. dėl PVM tarifo pasikeitimo</w:t>
            </w:r>
            <w:r w:rsidR="002D443E">
              <w:rPr>
                <w:kern w:val="2"/>
                <w:szCs w:val="24"/>
              </w:rPr>
              <w:t>;</w:t>
            </w:r>
          </w:p>
          <w:p w14:paraId="4EB0BEE0" w14:textId="306D3F8E" w:rsidR="00EE3697" w:rsidRPr="00B53507" w:rsidRDefault="00EE3697" w:rsidP="00217CDC">
            <w:pPr>
              <w:rPr>
                <w:kern w:val="2"/>
                <w:szCs w:val="24"/>
              </w:rPr>
            </w:pP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7E037E7A"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w:t>
            </w:r>
            <w:r w:rsidR="003F59EC">
              <w:rPr>
                <w:color w:val="000000"/>
                <w:szCs w:val="24"/>
              </w:rPr>
              <w:t>kainai</w:t>
            </w:r>
            <w:r w:rsidR="003F59EC" w:rsidRPr="000419C9">
              <w:rPr>
                <w:color w:val="000000"/>
                <w:szCs w:val="24"/>
              </w:rPr>
              <w:t xml:space="preserve"> </w:t>
            </w:r>
            <w:r w:rsidR="009F62E5">
              <w:rPr>
                <w:color w:val="000000"/>
                <w:szCs w:val="24"/>
              </w:rPr>
              <w:t>/</w:t>
            </w:r>
            <w:r w:rsidR="000B792A">
              <w:rPr>
                <w:color w:val="000000"/>
                <w:szCs w:val="24"/>
              </w:rPr>
              <w:t xml:space="preserve"> </w:t>
            </w:r>
            <w:r w:rsidR="003F59EC" w:rsidRPr="000419C9">
              <w:rPr>
                <w:color w:val="000000"/>
                <w:szCs w:val="24"/>
              </w:rPr>
              <w:t>įkainiams</w:t>
            </w:r>
            <w:r w:rsidRPr="000419C9">
              <w:rPr>
                <w:color w:val="000000"/>
                <w:szCs w:val="24"/>
              </w:rPr>
              <w:t xml:space="preserve">, Sutarties </w:t>
            </w:r>
            <w:r w:rsidR="003F59EC">
              <w:rPr>
                <w:color w:val="000000"/>
                <w:szCs w:val="24"/>
              </w:rPr>
              <w:t>kaina</w:t>
            </w:r>
            <w:r w:rsidR="003F59EC" w:rsidRPr="000419C9">
              <w:rPr>
                <w:color w:val="000000"/>
                <w:szCs w:val="24"/>
              </w:rPr>
              <w:t xml:space="preserve"> </w:t>
            </w:r>
            <w:r w:rsidR="009F62E5">
              <w:rPr>
                <w:color w:val="000000"/>
                <w:szCs w:val="24"/>
              </w:rPr>
              <w:t xml:space="preserve">/ </w:t>
            </w:r>
            <w:r w:rsidR="003F59EC" w:rsidRPr="000419C9">
              <w:rPr>
                <w:color w:val="000000"/>
                <w:szCs w:val="24"/>
              </w:rPr>
              <w:t>įkainiai</w:t>
            </w:r>
            <w:r w:rsidR="003F59EC" w:rsidDel="003F59EC">
              <w:rPr>
                <w:color w:val="000000"/>
                <w:szCs w:val="24"/>
              </w:rPr>
              <w:t xml:space="preserve"> </w:t>
            </w:r>
            <w:r w:rsidRPr="000419C9">
              <w:rPr>
                <w:color w:val="000000"/>
                <w:szCs w:val="24"/>
              </w:rPr>
              <w:t xml:space="preserve">perskaičiuojami nekeičiant Prekių </w:t>
            </w:r>
            <w:r w:rsidR="003F59EC">
              <w:rPr>
                <w:color w:val="000000"/>
                <w:szCs w:val="24"/>
              </w:rPr>
              <w:t xml:space="preserve">kainos / </w:t>
            </w:r>
            <w:r w:rsidRPr="000419C9">
              <w:rPr>
                <w:color w:val="000000"/>
                <w:szCs w:val="24"/>
              </w:rPr>
              <w:t>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w:t>
            </w:r>
            <w:r w:rsidR="000B792A">
              <w:rPr>
                <w:color w:val="000000"/>
                <w:szCs w:val="24"/>
              </w:rPr>
              <w:t xml:space="preserve"> (-</w:t>
            </w:r>
            <w:proofErr w:type="spellStart"/>
            <w:r w:rsidR="000B792A">
              <w:rPr>
                <w:color w:val="000000"/>
                <w:szCs w:val="24"/>
              </w:rPr>
              <w:t>a</w:t>
            </w:r>
            <w:r w:rsidRPr="000419C9">
              <w:rPr>
                <w:color w:val="000000"/>
                <w:szCs w:val="24"/>
              </w:rPr>
              <w:t>s</w:t>
            </w:r>
            <w:proofErr w:type="spellEnd"/>
            <w:r w:rsidR="000B792A">
              <w:rPr>
                <w:color w:val="000000"/>
                <w:szCs w:val="24"/>
              </w:rPr>
              <w:t>)</w:t>
            </w:r>
            <w:r w:rsidRPr="000419C9">
              <w:rPr>
                <w:color w:val="000000"/>
                <w:szCs w:val="24"/>
              </w:rPr>
              <w:t xml:space="preserve"> Sutarties</w:t>
            </w:r>
            <w:r w:rsidR="000B792A">
              <w:rPr>
                <w:color w:val="000000"/>
                <w:szCs w:val="24"/>
              </w:rPr>
              <w:t xml:space="preserve"> kaina /</w:t>
            </w:r>
            <w:r w:rsidRPr="000419C9">
              <w:rPr>
                <w:color w:val="000000"/>
                <w:szCs w:val="24"/>
              </w:rPr>
              <w:t xml:space="preserve"> įkainis taikoma</w:t>
            </w:r>
            <w:r w:rsidR="000B792A">
              <w:rPr>
                <w:color w:val="000000"/>
                <w:szCs w:val="24"/>
              </w:rPr>
              <w:t xml:space="preserve"> (-</w:t>
            </w:r>
            <w:proofErr w:type="spellStart"/>
            <w:r w:rsidR="000B792A">
              <w:rPr>
                <w:color w:val="000000"/>
                <w:szCs w:val="24"/>
              </w:rPr>
              <w:t>a</w:t>
            </w:r>
            <w:r w:rsidRPr="000419C9">
              <w:rPr>
                <w:color w:val="000000"/>
                <w:szCs w:val="24"/>
              </w:rPr>
              <w:t>s</w:t>
            </w:r>
            <w:proofErr w:type="spellEnd"/>
            <w:r w:rsidR="000B792A">
              <w:rPr>
                <w:color w:val="000000"/>
                <w:szCs w:val="24"/>
              </w:rPr>
              <w:t>)</w:t>
            </w:r>
            <w:r w:rsidRPr="000419C9">
              <w:rPr>
                <w:color w:val="000000"/>
                <w:szCs w:val="24"/>
              </w:rPr>
              <w:t xml:space="preserve">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44ABC3EA" w:rsidR="00EE3697" w:rsidRDefault="00EE3697" w:rsidP="00EE3697">
            <w:pPr>
              <w:rPr>
                <w:kern w:val="2"/>
                <w:szCs w:val="24"/>
              </w:rPr>
            </w:pPr>
            <w:r>
              <w:rPr>
                <w:kern w:val="2"/>
                <w:szCs w:val="24"/>
              </w:rPr>
              <w:t>Netaikoma</w:t>
            </w:r>
            <w:r w:rsidR="00640495">
              <w:rPr>
                <w:kern w:val="2"/>
                <w:szCs w:val="24"/>
              </w:rPr>
              <w:t xml:space="preserve"> </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1A03D8" w14:paraId="0F20F532" w14:textId="77777777" w:rsidTr="001974B4">
        <w:trPr>
          <w:trHeight w:val="300"/>
        </w:trPr>
        <w:tc>
          <w:tcPr>
            <w:tcW w:w="2557" w:type="dxa"/>
          </w:tcPr>
          <w:p w14:paraId="64504161" w14:textId="77777777" w:rsidR="001A03D8" w:rsidRDefault="001A03D8" w:rsidP="001A03D8">
            <w:pPr>
              <w:rPr>
                <w:b/>
                <w:bCs/>
                <w:kern w:val="2"/>
                <w:szCs w:val="24"/>
              </w:rPr>
            </w:pPr>
            <w:r>
              <w:rPr>
                <w:b/>
                <w:bCs/>
                <w:kern w:val="2"/>
                <w:szCs w:val="24"/>
              </w:rPr>
              <w:t>5.3.3. Sutarties kainos / įkainių peržiūra dėl kainų lygio pokyčio</w:t>
            </w:r>
          </w:p>
          <w:p w14:paraId="75E9077E" w14:textId="77777777" w:rsidR="001A03D8" w:rsidRDefault="001A03D8" w:rsidP="001A03D8">
            <w:pPr>
              <w:rPr>
                <w:color w:val="4472C4"/>
                <w:kern w:val="2"/>
                <w:szCs w:val="24"/>
              </w:rPr>
            </w:pPr>
          </w:p>
          <w:p w14:paraId="07D16423" w14:textId="31380D82" w:rsidR="001A03D8" w:rsidRPr="00F337C9" w:rsidRDefault="001A03D8" w:rsidP="001A03D8">
            <w:pPr>
              <w:rPr>
                <w:b/>
                <w:bCs/>
                <w:kern w:val="2"/>
                <w:szCs w:val="24"/>
              </w:rPr>
            </w:pPr>
          </w:p>
        </w:tc>
        <w:tc>
          <w:tcPr>
            <w:tcW w:w="7077" w:type="dxa"/>
            <w:gridSpan w:val="2"/>
          </w:tcPr>
          <w:p w14:paraId="5E918179" w14:textId="16C074D0" w:rsidR="0016059E" w:rsidRPr="00AA5D70" w:rsidRDefault="00C16F10" w:rsidP="0016059E">
            <w:pPr>
              <w:jc w:val="both"/>
              <w:rPr>
                <w:kern w:val="2"/>
                <w:szCs w:val="24"/>
              </w:rPr>
            </w:pPr>
            <w:r>
              <w:rPr>
                <w:color w:val="000000"/>
                <w:kern w:val="2"/>
                <w:szCs w:val="24"/>
                <w:bdr w:val="none" w:sz="0" w:space="0" w:color="auto" w:frame="1"/>
              </w:rPr>
              <w:t>Netaikoma</w:t>
            </w:r>
            <w:r w:rsidR="0016059E">
              <w:rPr>
                <w:color w:val="000000"/>
                <w:kern w:val="2"/>
                <w:szCs w:val="24"/>
                <w:bdr w:val="none" w:sz="0" w:space="0" w:color="auto" w:frame="1"/>
              </w:rPr>
              <w:t xml:space="preserve"> </w:t>
            </w:r>
          </w:p>
        </w:tc>
      </w:tr>
      <w:tr w:rsidR="001A03D8" w14:paraId="5E50A617" w14:textId="77777777" w:rsidTr="001974B4">
        <w:trPr>
          <w:trHeight w:val="300"/>
        </w:trPr>
        <w:tc>
          <w:tcPr>
            <w:tcW w:w="2557" w:type="dxa"/>
          </w:tcPr>
          <w:p w14:paraId="7E6B4AC3" w14:textId="77777777" w:rsidR="001A03D8" w:rsidRDefault="001A03D8" w:rsidP="001A03D8">
            <w:pPr>
              <w:rPr>
                <w:b/>
                <w:bCs/>
                <w:kern w:val="2"/>
                <w:szCs w:val="24"/>
              </w:rPr>
            </w:pPr>
            <w:r>
              <w:rPr>
                <w:b/>
                <w:bCs/>
                <w:kern w:val="2"/>
                <w:szCs w:val="24"/>
              </w:rPr>
              <w:t>5.3.4. Sutarties kainos / įkainių peržiūra dėl kainų lygio pokyčio pagal Prekių grupių kainų pokyčius</w:t>
            </w:r>
          </w:p>
        </w:tc>
        <w:tc>
          <w:tcPr>
            <w:tcW w:w="7077" w:type="dxa"/>
            <w:gridSpan w:val="2"/>
          </w:tcPr>
          <w:p w14:paraId="7520259B" w14:textId="77777777" w:rsidR="001A03D8" w:rsidRDefault="001A03D8" w:rsidP="001A03D8">
            <w:pPr>
              <w:rPr>
                <w:kern w:val="2"/>
                <w:szCs w:val="24"/>
              </w:rPr>
            </w:pPr>
            <w:r>
              <w:rPr>
                <w:kern w:val="2"/>
                <w:szCs w:val="24"/>
              </w:rPr>
              <w:t>Netaikoma</w:t>
            </w:r>
          </w:p>
          <w:p w14:paraId="6D4F946E" w14:textId="77777777" w:rsidR="001A03D8" w:rsidRDefault="001A03D8" w:rsidP="001A03D8">
            <w:pPr>
              <w:rPr>
                <w:kern w:val="2"/>
                <w:szCs w:val="24"/>
              </w:rPr>
            </w:pPr>
          </w:p>
          <w:p w14:paraId="540A675A" w14:textId="77777777" w:rsidR="001A03D8" w:rsidRDefault="001A03D8" w:rsidP="001A03D8">
            <w:pPr>
              <w:rPr>
                <w:color w:val="FF0000"/>
                <w:kern w:val="2"/>
                <w:szCs w:val="24"/>
              </w:rPr>
            </w:pPr>
          </w:p>
          <w:p w14:paraId="2E2BB878" w14:textId="46E9F01F" w:rsidR="001A03D8" w:rsidRDefault="001A03D8" w:rsidP="001A03D8">
            <w:pPr>
              <w:rPr>
                <w:kern w:val="2"/>
                <w:szCs w:val="24"/>
              </w:rPr>
            </w:pPr>
          </w:p>
        </w:tc>
      </w:tr>
      <w:tr w:rsidR="001A03D8" w14:paraId="265DA549" w14:textId="77777777" w:rsidTr="001974B4">
        <w:trPr>
          <w:trHeight w:val="300"/>
        </w:trPr>
        <w:tc>
          <w:tcPr>
            <w:tcW w:w="2557" w:type="dxa"/>
          </w:tcPr>
          <w:p w14:paraId="570099AB" w14:textId="77777777" w:rsidR="001A03D8" w:rsidRDefault="001A03D8" w:rsidP="001A03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3A24870C" w14:textId="590CF56B" w:rsidR="001A03D8" w:rsidRPr="00FD639F" w:rsidRDefault="003E63FA" w:rsidP="009D2769">
            <w:pPr>
              <w:jc w:val="both"/>
              <w:rPr>
                <w:color w:val="000000" w:themeColor="text1"/>
                <w:kern w:val="2"/>
                <w:szCs w:val="24"/>
              </w:rPr>
            </w:pPr>
            <w:r>
              <w:rPr>
                <w:kern w:val="2"/>
                <w:szCs w:val="22"/>
              </w:rPr>
              <w:t>Netaikoma</w:t>
            </w:r>
          </w:p>
        </w:tc>
      </w:tr>
      <w:tr w:rsidR="001A03D8" w14:paraId="1C53BB8E" w14:textId="77777777" w:rsidTr="001974B4">
        <w:trPr>
          <w:trHeight w:val="300"/>
        </w:trPr>
        <w:tc>
          <w:tcPr>
            <w:tcW w:w="2557" w:type="dxa"/>
          </w:tcPr>
          <w:p w14:paraId="719AB7C2" w14:textId="77777777" w:rsidR="001A03D8" w:rsidRDefault="001A03D8" w:rsidP="001A03D8">
            <w:pPr>
              <w:rPr>
                <w:b/>
                <w:bCs/>
                <w:kern w:val="2"/>
                <w:szCs w:val="24"/>
              </w:rPr>
            </w:pPr>
            <w:r>
              <w:rPr>
                <w:b/>
                <w:bCs/>
                <w:kern w:val="2"/>
                <w:szCs w:val="24"/>
              </w:rPr>
              <w:t>5.5. Atsiskaitymo su Tiekėju terminas ir tvarka</w:t>
            </w:r>
          </w:p>
        </w:tc>
        <w:tc>
          <w:tcPr>
            <w:tcW w:w="7077" w:type="dxa"/>
            <w:gridSpan w:val="2"/>
          </w:tcPr>
          <w:p w14:paraId="4A86DC4F" w14:textId="2169B4F7" w:rsidR="001A03D8" w:rsidRPr="002D443E" w:rsidRDefault="001A03D8" w:rsidP="001A03D8">
            <w:pPr>
              <w:jc w:val="both"/>
              <w:rPr>
                <w:iCs/>
                <w:szCs w:val="24"/>
              </w:rPr>
            </w:pPr>
            <w:r w:rsidRPr="002D443E">
              <w:rPr>
                <w:iCs/>
                <w:szCs w:val="24"/>
              </w:rPr>
              <w:t>5.5.1.</w:t>
            </w:r>
            <w:r w:rsidR="00AE0BC4" w:rsidRPr="002D443E">
              <w:rPr>
                <w:iCs/>
                <w:szCs w:val="24"/>
              </w:rPr>
              <w:t xml:space="preserve"> </w:t>
            </w:r>
            <w:r w:rsidRPr="002D443E">
              <w:rPr>
                <w:iCs/>
                <w:szCs w:val="24"/>
              </w:rPr>
              <w:t xml:space="preserve">Už pristatytą ir priimtą kokybišką, Sutarties reikalavimus atitinkančią Prekę, Pirkėjas atsiskaitys per 60 (šešiasdešimt) kalendorinių dienų nuo PVM sąskaitos faktūros gavimo dienos </w:t>
            </w:r>
            <w:r w:rsidRPr="002D443E">
              <w:rPr>
                <w:iCs/>
                <w:szCs w:val="24"/>
              </w:rPr>
              <w:lastRenderedPageBreak/>
              <w:t>(vadovaujantis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97CB170" w14:textId="5B67E040" w:rsidR="002D443E" w:rsidRPr="002D443E" w:rsidRDefault="002D443E" w:rsidP="001A03D8">
            <w:pPr>
              <w:jc w:val="both"/>
              <w:rPr>
                <w:szCs w:val="24"/>
              </w:rPr>
            </w:pPr>
            <w:r w:rsidRPr="00A54591">
              <w:rPr>
                <w:szCs w:val="24"/>
              </w:rPr>
              <w:t>5.5.2. PVM sąskaitoje faktūroje turi būti nurodytas Sutarties numeris ir data.</w:t>
            </w:r>
          </w:p>
          <w:p w14:paraId="53270E12" w14:textId="217B78D0" w:rsidR="001A03D8" w:rsidRPr="00BD7644" w:rsidRDefault="001A03D8" w:rsidP="001A03D8">
            <w:pPr>
              <w:jc w:val="both"/>
              <w:rPr>
                <w:color w:val="000000" w:themeColor="text1"/>
                <w:kern w:val="2"/>
                <w:szCs w:val="24"/>
                <w:shd w:val="clear" w:color="auto" w:fill="FFFFFF"/>
              </w:rPr>
            </w:pPr>
            <w:r w:rsidRPr="002D443E">
              <w:rPr>
                <w:kern w:val="2"/>
                <w:szCs w:val="24"/>
                <w:shd w:val="clear" w:color="auto" w:fill="FFFFFF"/>
              </w:rPr>
              <w:t>5.5.</w:t>
            </w:r>
            <w:r w:rsidR="002D443E" w:rsidRPr="002D443E">
              <w:rPr>
                <w:kern w:val="2"/>
                <w:szCs w:val="24"/>
                <w:shd w:val="clear" w:color="auto" w:fill="FFFFFF"/>
              </w:rPr>
              <w:t>3</w:t>
            </w:r>
            <w:r w:rsidRPr="002D443E">
              <w:rPr>
                <w:kern w:val="2"/>
                <w:szCs w:val="24"/>
                <w:shd w:val="clear" w:color="auto" w:fill="FFFFFF"/>
              </w:rPr>
              <w:t xml:space="preserve">. </w:t>
            </w:r>
            <w:r w:rsidR="009D2769" w:rsidRPr="00116857">
              <w:rPr>
                <w:kern w:val="2"/>
                <w:szCs w:val="22"/>
                <w:shd w:val="clear" w:color="auto" w:fill="FFFFFF"/>
              </w:rPr>
              <w:t xml:space="preserve">Apmokėjimo sąlygos: </w:t>
            </w:r>
            <w:r w:rsidR="006B6FE5">
              <w:rPr>
                <w:kern w:val="2"/>
                <w:sz w:val="22"/>
                <w:szCs w:val="22"/>
                <w:shd w:val="clear" w:color="auto" w:fill="FFFFFF"/>
              </w:rPr>
              <w:t>į</w:t>
            </w:r>
            <w:r w:rsidR="006B6FE5" w:rsidRPr="0032063F">
              <w:rPr>
                <w:sz w:val="22"/>
                <w:szCs w:val="22"/>
              </w:rPr>
              <w:t>vykdžius visus sutartinius įsipareigojimus, sumokama visa Sutarties kaina</w:t>
            </w:r>
            <w:r w:rsidR="006B6FE5">
              <w:rPr>
                <w:kern w:val="2"/>
                <w:szCs w:val="22"/>
                <w:shd w:val="clear" w:color="auto" w:fill="FFFFFF"/>
              </w:rPr>
              <w:t>.</w:t>
            </w:r>
          </w:p>
        </w:tc>
      </w:tr>
      <w:tr w:rsidR="001A03D8" w14:paraId="2841CE6B" w14:textId="77777777" w:rsidTr="001974B4">
        <w:trPr>
          <w:trHeight w:val="300"/>
        </w:trPr>
        <w:tc>
          <w:tcPr>
            <w:tcW w:w="2557" w:type="dxa"/>
          </w:tcPr>
          <w:p w14:paraId="534F0975" w14:textId="77777777" w:rsidR="001A03D8" w:rsidRDefault="001A03D8" w:rsidP="001A03D8">
            <w:pPr>
              <w:rPr>
                <w:b/>
                <w:bCs/>
                <w:kern w:val="2"/>
                <w:szCs w:val="24"/>
              </w:rPr>
            </w:pPr>
            <w:r>
              <w:rPr>
                <w:b/>
                <w:bCs/>
                <w:kern w:val="2"/>
                <w:szCs w:val="24"/>
              </w:rPr>
              <w:lastRenderedPageBreak/>
              <w:t>5.6. Avansas</w:t>
            </w:r>
          </w:p>
        </w:tc>
        <w:tc>
          <w:tcPr>
            <w:tcW w:w="7077" w:type="dxa"/>
            <w:gridSpan w:val="2"/>
          </w:tcPr>
          <w:p w14:paraId="1790C77D" w14:textId="7771606C" w:rsidR="001A03D8" w:rsidRPr="00FD639F" w:rsidRDefault="001A03D8" w:rsidP="001A03D8">
            <w:pPr>
              <w:rPr>
                <w:kern w:val="2"/>
                <w:szCs w:val="24"/>
              </w:rPr>
            </w:pPr>
            <w:r>
              <w:rPr>
                <w:kern w:val="2"/>
                <w:szCs w:val="24"/>
              </w:rPr>
              <w:t>Netaikoma</w:t>
            </w:r>
          </w:p>
        </w:tc>
      </w:tr>
      <w:tr w:rsidR="001A03D8" w14:paraId="1B3DD597" w14:textId="77777777" w:rsidTr="001974B4">
        <w:trPr>
          <w:trHeight w:val="300"/>
        </w:trPr>
        <w:tc>
          <w:tcPr>
            <w:tcW w:w="2557" w:type="dxa"/>
          </w:tcPr>
          <w:p w14:paraId="7F98A7B3" w14:textId="77777777" w:rsidR="001A03D8" w:rsidRDefault="001A03D8" w:rsidP="001A03D8">
            <w:pPr>
              <w:rPr>
                <w:b/>
                <w:bCs/>
                <w:kern w:val="2"/>
                <w:szCs w:val="24"/>
              </w:rPr>
            </w:pPr>
            <w:r>
              <w:rPr>
                <w:b/>
                <w:bCs/>
                <w:kern w:val="2"/>
                <w:szCs w:val="24"/>
              </w:rPr>
              <w:t>5.7. Avanso užtikrinimas</w:t>
            </w:r>
          </w:p>
        </w:tc>
        <w:tc>
          <w:tcPr>
            <w:tcW w:w="7077" w:type="dxa"/>
            <w:gridSpan w:val="2"/>
          </w:tcPr>
          <w:p w14:paraId="199C4633" w14:textId="5AE7520B" w:rsidR="001A03D8" w:rsidRDefault="001A03D8" w:rsidP="001A03D8">
            <w:pPr>
              <w:rPr>
                <w:kern w:val="2"/>
                <w:szCs w:val="24"/>
              </w:rPr>
            </w:pPr>
            <w:r>
              <w:rPr>
                <w:kern w:val="2"/>
                <w:szCs w:val="24"/>
              </w:rPr>
              <w:t>Netaikoma</w:t>
            </w:r>
            <w:r>
              <w:rPr>
                <w:color w:val="000000"/>
                <w:kern w:val="2"/>
                <w:szCs w:val="24"/>
                <w:shd w:val="clear" w:color="auto" w:fill="FFFFFF"/>
              </w:rPr>
              <w:t xml:space="preserve"> </w:t>
            </w:r>
          </w:p>
        </w:tc>
      </w:tr>
      <w:tr w:rsidR="001A03D8" w14:paraId="2D78C9EB" w14:textId="77777777" w:rsidTr="003545E4">
        <w:trPr>
          <w:trHeight w:val="300"/>
        </w:trPr>
        <w:tc>
          <w:tcPr>
            <w:tcW w:w="9634" w:type="dxa"/>
            <w:gridSpan w:val="3"/>
          </w:tcPr>
          <w:p w14:paraId="2E37CB23" w14:textId="77777777" w:rsidR="001A03D8" w:rsidRDefault="001A03D8" w:rsidP="001A03D8">
            <w:pPr>
              <w:jc w:val="center"/>
              <w:rPr>
                <w:b/>
                <w:bCs/>
                <w:kern w:val="2"/>
                <w:szCs w:val="24"/>
              </w:rPr>
            </w:pPr>
            <w:r>
              <w:rPr>
                <w:b/>
                <w:bCs/>
                <w:kern w:val="2"/>
                <w:szCs w:val="24"/>
              </w:rPr>
              <w:t>6. PREKIŲ KOKYBĖ IR GARANTINIAI ĮSIPAREIGOJIMAI</w:t>
            </w:r>
          </w:p>
        </w:tc>
      </w:tr>
      <w:tr w:rsidR="001A03D8" w14:paraId="0DD25E75" w14:textId="77777777" w:rsidTr="001974B4">
        <w:trPr>
          <w:trHeight w:val="300"/>
        </w:trPr>
        <w:tc>
          <w:tcPr>
            <w:tcW w:w="2557" w:type="dxa"/>
          </w:tcPr>
          <w:p w14:paraId="0DE70BCC" w14:textId="77777777" w:rsidR="001A03D8" w:rsidRDefault="001A03D8" w:rsidP="001A03D8">
            <w:pPr>
              <w:rPr>
                <w:b/>
                <w:bCs/>
                <w:kern w:val="2"/>
                <w:szCs w:val="24"/>
              </w:rPr>
            </w:pPr>
            <w:r>
              <w:rPr>
                <w:b/>
                <w:bCs/>
                <w:kern w:val="2"/>
                <w:szCs w:val="24"/>
              </w:rPr>
              <w:t>6.1. Garantinis terminas</w:t>
            </w:r>
          </w:p>
        </w:tc>
        <w:tc>
          <w:tcPr>
            <w:tcW w:w="7077" w:type="dxa"/>
            <w:gridSpan w:val="2"/>
          </w:tcPr>
          <w:p w14:paraId="4C55ACC8" w14:textId="60585DF1" w:rsidR="001A03D8" w:rsidRPr="00CD2BE7" w:rsidRDefault="00D672AF" w:rsidP="001A03D8">
            <w:pPr>
              <w:jc w:val="both"/>
              <w:rPr>
                <w:szCs w:val="24"/>
              </w:rPr>
            </w:pPr>
            <w:r>
              <w:rPr>
                <w:szCs w:val="24"/>
              </w:rPr>
              <w:t xml:space="preserve">Prekėms nustatomas Tiekėjo pasiūlytas arba Prekių gamintojo taikomas garantinis terminas, kuris yra </w:t>
            </w:r>
            <w:r>
              <w:rPr>
                <w:b/>
                <w:szCs w:val="24"/>
              </w:rPr>
              <w:t>6 (šeši)</w:t>
            </w:r>
            <w:r>
              <w:rPr>
                <w:szCs w:val="24"/>
              </w:rPr>
              <w:t xml:space="preserve"> mėnesiai. </w:t>
            </w:r>
            <w:r>
              <w:rPr>
                <w:kern w:val="2"/>
                <w:szCs w:val="24"/>
              </w:rPr>
              <w:t xml:space="preserve">Garantinis terminas, skaičiuojamas nuo Prekių perdavimo–priėmimo akto ar Sąskaitos (kai Prekių perdavimo–priėmimo aktas nėra pasirašomas) pasirašymo dienos. </w:t>
            </w:r>
          </w:p>
        </w:tc>
      </w:tr>
      <w:tr w:rsidR="001A03D8" w14:paraId="123CF406" w14:textId="77777777" w:rsidTr="00C735F7">
        <w:trPr>
          <w:trHeight w:val="1449"/>
        </w:trPr>
        <w:tc>
          <w:tcPr>
            <w:tcW w:w="2557" w:type="dxa"/>
          </w:tcPr>
          <w:p w14:paraId="5A7E7443" w14:textId="77777777" w:rsidR="001A03D8" w:rsidRDefault="001A03D8" w:rsidP="001A03D8">
            <w:pPr>
              <w:rPr>
                <w:b/>
                <w:bCs/>
                <w:kern w:val="2"/>
                <w:szCs w:val="24"/>
              </w:rPr>
            </w:pPr>
            <w:r>
              <w:rPr>
                <w:b/>
                <w:bCs/>
                <w:kern w:val="2"/>
                <w:szCs w:val="24"/>
              </w:rPr>
              <w:t>6.2. Garantinė priežiūra</w:t>
            </w:r>
          </w:p>
        </w:tc>
        <w:tc>
          <w:tcPr>
            <w:tcW w:w="7077" w:type="dxa"/>
            <w:gridSpan w:val="2"/>
          </w:tcPr>
          <w:p w14:paraId="4FA1EE3A" w14:textId="0B1DB8E1" w:rsidR="001A03D8" w:rsidRPr="00402397" w:rsidRDefault="001A03D8" w:rsidP="001A03D8">
            <w:pPr>
              <w:jc w:val="both"/>
              <w:rPr>
                <w:color w:val="000000" w:themeColor="text1"/>
                <w:kern w:val="2"/>
                <w:szCs w:val="24"/>
              </w:rPr>
            </w:pPr>
            <w:r w:rsidRPr="00CD2BE7">
              <w:rPr>
                <w:kern w:val="2"/>
                <w:szCs w:val="24"/>
              </w:rPr>
              <w:t>Prekių trūkumų nustatymo bei šalinimo tvarka nustatyta Bendrųjų sąlygų 7 skyriuje.</w:t>
            </w:r>
            <w:r w:rsidR="006C33C4">
              <w:rPr>
                <w:kern w:val="2"/>
                <w:szCs w:val="24"/>
              </w:rPr>
              <w:t xml:space="preserve"> </w:t>
            </w:r>
          </w:p>
        </w:tc>
      </w:tr>
      <w:tr w:rsidR="001A03D8" w14:paraId="07EC0CA7" w14:textId="77777777" w:rsidTr="001974B4">
        <w:trPr>
          <w:trHeight w:val="300"/>
        </w:trPr>
        <w:tc>
          <w:tcPr>
            <w:tcW w:w="2557" w:type="dxa"/>
          </w:tcPr>
          <w:p w14:paraId="62563950" w14:textId="338E15D3" w:rsidR="001A03D8" w:rsidRDefault="001A03D8" w:rsidP="001A03D8">
            <w:pPr>
              <w:rPr>
                <w:b/>
                <w:bCs/>
                <w:kern w:val="2"/>
                <w:szCs w:val="24"/>
              </w:rPr>
            </w:pPr>
            <w:r>
              <w:rPr>
                <w:b/>
                <w:bCs/>
                <w:kern w:val="2"/>
                <w:szCs w:val="24"/>
              </w:rPr>
              <w:t>6.3. Kokybinių kriterijų įgyvendinimo ir tikrinimo tvarka</w:t>
            </w:r>
          </w:p>
        </w:tc>
        <w:tc>
          <w:tcPr>
            <w:tcW w:w="7077" w:type="dxa"/>
            <w:gridSpan w:val="2"/>
          </w:tcPr>
          <w:p w14:paraId="20E18D07" w14:textId="73AF1FAB" w:rsidR="001A03D8" w:rsidRDefault="001A03D8" w:rsidP="001A03D8">
            <w:pPr>
              <w:jc w:val="both"/>
              <w:rPr>
                <w:szCs w:val="18"/>
                <w:shd w:val="clear" w:color="auto" w:fill="FFFFFF"/>
              </w:rPr>
            </w:pPr>
            <w:r>
              <w:rPr>
                <w:szCs w:val="18"/>
                <w:shd w:val="clear" w:color="auto" w:fill="FFFFFF"/>
              </w:rPr>
              <w:t xml:space="preserve">Netaikoma </w:t>
            </w:r>
          </w:p>
        </w:tc>
      </w:tr>
      <w:tr w:rsidR="001A03D8" w14:paraId="54EE239F" w14:textId="77777777" w:rsidTr="003545E4">
        <w:trPr>
          <w:trHeight w:val="300"/>
        </w:trPr>
        <w:tc>
          <w:tcPr>
            <w:tcW w:w="9634" w:type="dxa"/>
            <w:gridSpan w:val="3"/>
          </w:tcPr>
          <w:p w14:paraId="476A528F" w14:textId="77777777" w:rsidR="001A03D8" w:rsidRDefault="001A03D8" w:rsidP="001A03D8">
            <w:pPr>
              <w:jc w:val="center"/>
              <w:rPr>
                <w:b/>
                <w:bCs/>
                <w:kern w:val="2"/>
                <w:szCs w:val="24"/>
              </w:rPr>
            </w:pPr>
            <w:r>
              <w:rPr>
                <w:b/>
                <w:bCs/>
                <w:kern w:val="2"/>
                <w:szCs w:val="24"/>
              </w:rPr>
              <w:t>7. SUTARTIES VYKDYMUI PASITELKIAMI SUBTIEKĖJAI</w:t>
            </w:r>
          </w:p>
        </w:tc>
      </w:tr>
      <w:tr w:rsidR="001A03D8" w14:paraId="5087BCAD" w14:textId="77777777" w:rsidTr="001974B4">
        <w:trPr>
          <w:trHeight w:val="300"/>
        </w:trPr>
        <w:tc>
          <w:tcPr>
            <w:tcW w:w="2557" w:type="dxa"/>
          </w:tcPr>
          <w:p w14:paraId="4ED96546" w14:textId="77777777" w:rsidR="001A03D8" w:rsidRDefault="001A03D8" w:rsidP="001A03D8">
            <w:pPr>
              <w:rPr>
                <w:b/>
                <w:bCs/>
                <w:kern w:val="2"/>
                <w:szCs w:val="24"/>
              </w:rPr>
            </w:pPr>
            <w:r>
              <w:rPr>
                <w:b/>
                <w:bCs/>
                <w:kern w:val="2"/>
                <w:szCs w:val="24"/>
              </w:rPr>
              <w:t>Sutarties vykdymui pasitelkiami subtiekėjai ir (ar) specialistai</w:t>
            </w:r>
          </w:p>
        </w:tc>
        <w:tc>
          <w:tcPr>
            <w:tcW w:w="7077" w:type="dxa"/>
            <w:gridSpan w:val="2"/>
          </w:tcPr>
          <w:p w14:paraId="6BEEED0F" w14:textId="77777777" w:rsidR="001A03D8" w:rsidRPr="00F839D8" w:rsidRDefault="001A03D8" w:rsidP="001A03D8">
            <w:pPr>
              <w:jc w:val="both"/>
              <w:rPr>
                <w:kern w:val="2"/>
                <w:szCs w:val="24"/>
              </w:rPr>
            </w:pPr>
            <w:r w:rsidRPr="00F839D8">
              <w:rPr>
                <w:kern w:val="2"/>
                <w:szCs w:val="24"/>
              </w:rPr>
              <w:t>Sutarties vykdymui subtiekėjai ir (ar) specialistai nepasitelkiami.</w:t>
            </w:r>
          </w:p>
          <w:p w14:paraId="48095BE0" w14:textId="77777777" w:rsidR="001A03D8" w:rsidRPr="00F839D8" w:rsidRDefault="001A03D8" w:rsidP="001A03D8">
            <w:pPr>
              <w:jc w:val="both"/>
              <w:rPr>
                <w:color w:val="FF0000"/>
                <w:kern w:val="2"/>
                <w:szCs w:val="24"/>
              </w:rPr>
            </w:pPr>
            <w:r w:rsidRPr="00F839D8">
              <w:rPr>
                <w:color w:val="FF0000"/>
                <w:kern w:val="2"/>
                <w:szCs w:val="24"/>
              </w:rPr>
              <w:t>arba</w:t>
            </w:r>
          </w:p>
          <w:p w14:paraId="08C389BD" w14:textId="332D8954" w:rsidR="001A03D8" w:rsidRPr="00CC0E76" w:rsidRDefault="001A03D8" w:rsidP="001A03D8">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Pr>
                <w:color w:val="0070C0"/>
                <w:kern w:val="2"/>
                <w:szCs w:val="24"/>
              </w:rPr>
              <w:t xml:space="preserve"> </w:t>
            </w:r>
            <w:r w:rsidRPr="005339DE">
              <w:rPr>
                <w:color w:val="0070C0"/>
                <w:kern w:val="2"/>
                <w:szCs w:val="24"/>
              </w:rPr>
              <w:t>(pasirenkamas vienas iš nurodytų variantų)</w:t>
            </w:r>
          </w:p>
        </w:tc>
      </w:tr>
      <w:tr w:rsidR="001A03D8" w14:paraId="6FE529BD" w14:textId="77777777" w:rsidTr="003545E4">
        <w:trPr>
          <w:trHeight w:val="300"/>
        </w:trPr>
        <w:tc>
          <w:tcPr>
            <w:tcW w:w="9634" w:type="dxa"/>
            <w:gridSpan w:val="3"/>
          </w:tcPr>
          <w:p w14:paraId="025E1F58" w14:textId="77777777" w:rsidR="001A03D8" w:rsidRDefault="001A03D8" w:rsidP="001A03D8">
            <w:pPr>
              <w:jc w:val="center"/>
              <w:rPr>
                <w:b/>
                <w:bCs/>
                <w:kern w:val="2"/>
                <w:szCs w:val="24"/>
              </w:rPr>
            </w:pPr>
            <w:r>
              <w:rPr>
                <w:b/>
                <w:bCs/>
                <w:kern w:val="2"/>
                <w:szCs w:val="24"/>
              </w:rPr>
              <w:t>8. PRIEVOLIŲ PAGAL SUTARTĮ ĮVYKDYMO UŽTIKRINIMAS</w:t>
            </w:r>
          </w:p>
        </w:tc>
      </w:tr>
      <w:tr w:rsidR="001A03D8" w14:paraId="3B53BA8F" w14:textId="77777777" w:rsidTr="001974B4">
        <w:trPr>
          <w:trHeight w:val="300"/>
        </w:trPr>
        <w:tc>
          <w:tcPr>
            <w:tcW w:w="2557" w:type="dxa"/>
          </w:tcPr>
          <w:p w14:paraId="457F2F66" w14:textId="77777777" w:rsidR="001A03D8" w:rsidRDefault="001A03D8" w:rsidP="001A03D8">
            <w:pPr>
              <w:rPr>
                <w:b/>
                <w:bCs/>
                <w:kern w:val="2"/>
                <w:szCs w:val="24"/>
              </w:rPr>
            </w:pPr>
            <w:r>
              <w:rPr>
                <w:b/>
                <w:bCs/>
                <w:kern w:val="2"/>
                <w:szCs w:val="24"/>
              </w:rPr>
              <w:t>8.1. Prievolių pagal Sutartį įvykdymo užtikrinimas</w:t>
            </w:r>
          </w:p>
        </w:tc>
        <w:tc>
          <w:tcPr>
            <w:tcW w:w="7077" w:type="dxa"/>
            <w:gridSpan w:val="2"/>
          </w:tcPr>
          <w:p w14:paraId="46444B63" w14:textId="77777777" w:rsidR="001A03D8" w:rsidRDefault="001A03D8" w:rsidP="001A03D8">
            <w:pPr>
              <w:rPr>
                <w:kern w:val="2"/>
                <w:szCs w:val="24"/>
              </w:rPr>
            </w:pPr>
            <w:r>
              <w:rPr>
                <w:kern w:val="2"/>
                <w:szCs w:val="24"/>
              </w:rPr>
              <w:t>Prievolių pagal Sutartį įvykdymas užtikrinamas:</w:t>
            </w:r>
          </w:p>
          <w:p w14:paraId="450CF6D2" w14:textId="77777777" w:rsidR="001A03D8" w:rsidRDefault="001A03D8" w:rsidP="001A03D8">
            <w:pPr>
              <w:rPr>
                <w:kern w:val="2"/>
                <w:szCs w:val="24"/>
              </w:rPr>
            </w:pPr>
            <w:r>
              <w:rPr>
                <w:kern w:val="2"/>
                <w:szCs w:val="24"/>
              </w:rPr>
              <w:t>Netesybomis (delspinigiais, bauda)</w:t>
            </w:r>
          </w:p>
          <w:p w14:paraId="3ABE8DD3" w14:textId="1484D0A0" w:rsidR="001A03D8" w:rsidRDefault="001A03D8" w:rsidP="001A03D8">
            <w:pPr>
              <w:rPr>
                <w:kern w:val="2"/>
                <w:szCs w:val="24"/>
              </w:rPr>
            </w:pPr>
          </w:p>
        </w:tc>
      </w:tr>
      <w:tr w:rsidR="001A03D8" w14:paraId="0B3D762D" w14:textId="77777777" w:rsidTr="001974B4">
        <w:trPr>
          <w:trHeight w:val="300"/>
        </w:trPr>
        <w:tc>
          <w:tcPr>
            <w:tcW w:w="2557" w:type="dxa"/>
          </w:tcPr>
          <w:p w14:paraId="5D26350E" w14:textId="4FEB6361" w:rsidR="001A03D8" w:rsidRDefault="001A03D8" w:rsidP="001A03D8">
            <w:pPr>
              <w:rPr>
                <w:b/>
                <w:bCs/>
                <w:kern w:val="2"/>
                <w:szCs w:val="24"/>
              </w:rPr>
            </w:pPr>
            <w:r>
              <w:rPr>
                <w:b/>
                <w:bCs/>
                <w:kern w:val="2"/>
                <w:szCs w:val="24"/>
              </w:rPr>
              <w:t>8.2. Sutarties įvykdymo užtikrinimo galiojimo terminas</w:t>
            </w:r>
          </w:p>
        </w:tc>
        <w:tc>
          <w:tcPr>
            <w:tcW w:w="7077" w:type="dxa"/>
            <w:gridSpan w:val="2"/>
          </w:tcPr>
          <w:p w14:paraId="4D8005ED" w14:textId="4D861334" w:rsidR="001A03D8" w:rsidRDefault="001A03D8" w:rsidP="001A03D8">
            <w:pPr>
              <w:rPr>
                <w:kern w:val="2"/>
                <w:szCs w:val="24"/>
              </w:rPr>
            </w:pPr>
            <w:r>
              <w:rPr>
                <w:kern w:val="2"/>
                <w:szCs w:val="24"/>
              </w:rPr>
              <w:t xml:space="preserve">Netaikoma </w:t>
            </w:r>
          </w:p>
          <w:p w14:paraId="1DCE37C0" w14:textId="77777777" w:rsidR="001A03D8" w:rsidRDefault="001A03D8" w:rsidP="001A03D8">
            <w:pPr>
              <w:rPr>
                <w:kern w:val="2"/>
                <w:szCs w:val="24"/>
              </w:rPr>
            </w:pPr>
          </w:p>
        </w:tc>
      </w:tr>
      <w:tr w:rsidR="001A03D8" w14:paraId="72FC5A6F" w14:textId="77777777" w:rsidTr="001974B4">
        <w:trPr>
          <w:trHeight w:val="300"/>
        </w:trPr>
        <w:tc>
          <w:tcPr>
            <w:tcW w:w="2557" w:type="dxa"/>
          </w:tcPr>
          <w:p w14:paraId="1628D0CD" w14:textId="6ABBF601" w:rsidR="001A03D8" w:rsidRDefault="001A03D8" w:rsidP="001A03D8">
            <w:pPr>
              <w:rPr>
                <w:b/>
                <w:bCs/>
                <w:kern w:val="2"/>
                <w:szCs w:val="24"/>
              </w:rPr>
            </w:pPr>
            <w:r>
              <w:rPr>
                <w:b/>
                <w:bCs/>
                <w:kern w:val="2"/>
                <w:szCs w:val="24"/>
              </w:rPr>
              <w:t xml:space="preserve">8.3. Sutarties įvykdymo užtikrinimo pateikimas </w:t>
            </w:r>
          </w:p>
        </w:tc>
        <w:tc>
          <w:tcPr>
            <w:tcW w:w="7077" w:type="dxa"/>
            <w:gridSpan w:val="2"/>
          </w:tcPr>
          <w:p w14:paraId="36DEFB93" w14:textId="77777777" w:rsidR="001A03D8" w:rsidRDefault="001A03D8" w:rsidP="001A03D8">
            <w:pPr>
              <w:rPr>
                <w:kern w:val="2"/>
                <w:szCs w:val="24"/>
              </w:rPr>
            </w:pPr>
            <w:r>
              <w:rPr>
                <w:kern w:val="2"/>
                <w:szCs w:val="24"/>
              </w:rPr>
              <w:t>Netaikoma</w:t>
            </w:r>
          </w:p>
          <w:p w14:paraId="427A903D" w14:textId="1D65B8AC" w:rsidR="001A03D8" w:rsidRDefault="001A03D8" w:rsidP="001A03D8">
            <w:pPr>
              <w:rPr>
                <w:kern w:val="2"/>
                <w:szCs w:val="24"/>
              </w:rPr>
            </w:pPr>
          </w:p>
        </w:tc>
      </w:tr>
      <w:tr w:rsidR="001A03D8" w14:paraId="172C74BA" w14:textId="77777777" w:rsidTr="003545E4">
        <w:trPr>
          <w:trHeight w:val="300"/>
        </w:trPr>
        <w:tc>
          <w:tcPr>
            <w:tcW w:w="9634" w:type="dxa"/>
            <w:gridSpan w:val="3"/>
          </w:tcPr>
          <w:p w14:paraId="56265234" w14:textId="77777777" w:rsidR="001A03D8" w:rsidRDefault="001A03D8" w:rsidP="001A03D8">
            <w:pPr>
              <w:ind w:firstLine="720"/>
              <w:jc w:val="center"/>
              <w:rPr>
                <w:b/>
                <w:bCs/>
                <w:kern w:val="2"/>
                <w:szCs w:val="24"/>
              </w:rPr>
            </w:pPr>
            <w:r>
              <w:rPr>
                <w:b/>
                <w:bCs/>
                <w:kern w:val="2"/>
                <w:szCs w:val="24"/>
              </w:rPr>
              <w:t>9. ŠALIŲ ATSAKOMYBĖ</w:t>
            </w:r>
            <w:r>
              <w:rPr>
                <w:b/>
                <w:bCs/>
                <w:kern w:val="2"/>
                <w:szCs w:val="24"/>
              </w:rPr>
              <w:tab/>
            </w:r>
          </w:p>
        </w:tc>
      </w:tr>
      <w:tr w:rsidR="001A03D8" w14:paraId="3C270198" w14:textId="77777777" w:rsidTr="001974B4">
        <w:trPr>
          <w:trHeight w:val="300"/>
        </w:trPr>
        <w:tc>
          <w:tcPr>
            <w:tcW w:w="2557" w:type="dxa"/>
          </w:tcPr>
          <w:p w14:paraId="1F86C343" w14:textId="77777777" w:rsidR="001A03D8" w:rsidRDefault="001A03D8" w:rsidP="001A03D8">
            <w:pPr>
              <w:rPr>
                <w:b/>
                <w:bCs/>
                <w:kern w:val="2"/>
                <w:szCs w:val="24"/>
              </w:rPr>
            </w:pPr>
            <w:r>
              <w:rPr>
                <w:b/>
                <w:bCs/>
                <w:kern w:val="2"/>
                <w:szCs w:val="24"/>
              </w:rPr>
              <w:lastRenderedPageBreak/>
              <w:t>9.1. Pirkėjui taikomos netesybos už mokėjimų pagal Sutartį vėlavimą</w:t>
            </w:r>
          </w:p>
        </w:tc>
        <w:tc>
          <w:tcPr>
            <w:tcW w:w="7077" w:type="dxa"/>
            <w:gridSpan w:val="2"/>
          </w:tcPr>
          <w:p w14:paraId="0AC4D4DE" w14:textId="2A7648B5" w:rsidR="001A03D8" w:rsidRPr="00D81341" w:rsidRDefault="001A03D8" w:rsidP="001A03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1A03D8" w14:paraId="5183F2CD" w14:textId="77777777" w:rsidTr="001974B4">
        <w:trPr>
          <w:trHeight w:val="300"/>
        </w:trPr>
        <w:tc>
          <w:tcPr>
            <w:tcW w:w="2557" w:type="dxa"/>
          </w:tcPr>
          <w:p w14:paraId="3F74FFDB" w14:textId="77777777" w:rsidR="001A03D8" w:rsidRDefault="001A03D8" w:rsidP="001A03D8">
            <w:pPr>
              <w:rPr>
                <w:b/>
                <w:bCs/>
                <w:kern w:val="2"/>
                <w:szCs w:val="24"/>
              </w:rPr>
            </w:pPr>
            <w:r>
              <w:rPr>
                <w:b/>
                <w:bCs/>
                <w:kern w:val="2"/>
                <w:szCs w:val="24"/>
              </w:rPr>
              <w:t>9.2. Tiekėjui taikomos netesybos</w:t>
            </w:r>
          </w:p>
        </w:tc>
        <w:tc>
          <w:tcPr>
            <w:tcW w:w="7077" w:type="dxa"/>
            <w:gridSpan w:val="2"/>
          </w:tcPr>
          <w:p w14:paraId="63858372" w14:textId="216A9092" w:rsidR="001A03D8" w:rsidRDefault="001A03D8" w:rsidP="001A03D8">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Jeigu Tiekėjas vėluoja vykdyti užsakymą, tiekti Prekes ar ištaisyti jų trūkumus,</w:t>
            </w:r>
            <w:r w:rsidR="00862CDA" w:rsidRPr="00273F8C">
              <w:rPr>
                <w:color w:val="000000"/>
                <w:kern w:val="2"/>
                <w:sz w:val="22"/>
                <w:szCs w:val="22"/>
              </w:rPr>
              <w:t xml:space="preserve"> </w:t>
            </w:r>
            <w:r w:rsidR="00862CDA" w:rsidRPr="00AE2E03">
              <w:rPr>
                <w:color w:val="000000"/>
                <w:kern w:val="2"/>
                <w:szCs w:val="24"/>
              </w:rPr>
              <w:t>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1A03D8" w:rsidRDefault="001A03D8" w:rsidP="001A03D8">
            <w:pPr>
              <w:jc w:val="both"/>
              <w:rPr>
                <w:color w:val="000000"/>
                <w:kern w:val="2"/>
                <w:szCs w:val="24"/>
              </w:rPr>
            </w:pPr>
            <w:r>
              <w:rPr>
                <w:color w:val="000000"/>
                <w:kern w:val="2"/>
                <w:szCs w:val="24"/>
              </w:rPr>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5F388CF7" w14:textId="1F012FC1" w:rsidR="006B6FE5" w:rsidRPr="006B6FE5" w:rsidRDefault="001A03D8" w:rsidP="001A03D8">
            <w:pPr>
              <w:jc w:val="both"/>
              <w:rPr>
                <w:color w:val="000000"/>
                <w:kern w:val="2"/>
                <w:szCs w:val="24"/>
              </w:rPr>
            </w:pPr>
            <w:r w:rsidRPr="006B6FE5">
              <w:rPr>
                <w:color w:val="000000"/>
                <w:kern w:val="2"/>
                <w:szCs w:val="24"/>
              </w:rPr>
              <w:t xml:space="preserve">9.2.3. </w:t>
            </w:r>
            <w:bookmarkStart w:id="0" w:name="_GoBack"/>
            <w:r w:rsidR="006B6FE5" w:rsidRPr="001416BC">
              <w:rPr>
                <w:kern w:val="2"/>
                <w:szCs w:val="24"/>
              </w:rPr>
              <w:t>Pirkėjas turi teisę be rašytinio įspėjimo ir nesumažindamas kitų savo teisių gynimo priemonių, numatytų sutartyje, pradėti skaičiuoti delspinigius.</w:t>
            </w:r>
            <w:bookmarkEnd w:id="0"/>
          </w:p>
          <w:p w14:paraId="63766EC2" w14:textId="793E6D64" w:rsidR="001A03D8" w:rsidRPr="00D81341" w:rsidRDefault="006B6FE5" w:rsidP="001A03D8">
            <w:pPr>
              <w:jc w:val="both"/>
              <w:rPr>
                <w:color w:val="000000"/>
                <w:kern w:val="2"/>
                <w:szCs w:val="24"/>
              </w:rPr>
            </w:pPr>
            <w:r>
              <w:rPr>
                <w:color w:val="000000"/>
                <w:kern w:val="2"/>
                <w:szCs w:val="24"/>
              </w:rPr>
              <w:t>9.2.4.</w:t>
            </w:r>
            <w:r w:rsidR="001A03D8">
              <w:rPr>
                <w:color w:val="000000"/>
                <w:kern w:val="2"/>
                <w:szCs w:val="24"/>
              </w:rPr>
              <w:t xml:space="preserve">Tiekėjas privalo sumokėti Pirkėjui netesybas per </w:t>
            </w:r>
            <w:r w:rsidR="001A03D8" w:rsidRPr="00A21551">
              <w:rPr>
                <w:color w:val="000000" w:themeColor="text1"/>
                <w:kern w:val="2"/>
                <w:szCs w:val="24"/>
              </w:rPr>
              <w:t>7</w:t>
            </w:r>
            <w:r w:rsidR="001A03D8">
              <w:rPr>
                <w:color w:val="000000" w:themeColor="text1"/>
                <w:kern w:val="2"/>
                <w:szCs w:val="24"/>
              </w:rPr>
              <w:t xml:space="preserve"> (septynias)</w:t>
            </w:r>
            <w:r w:rsidR="001A03D8" w:rsidRPr="00A21551">
              <w:rPr>
                <w:color w:val="000000" w:themeColor="text1"/>
                <w:kern w:val="2"/>
                <w:szCs w:val="24"/>
              </w:rPr>
              <w:t xml:space="preserve"> kalendorines </w:t>
            </w:r>
            <w:r w:rsidR="001A03D8">
              <w:rPr>
                <w:color w:val="000000"/>
                <w:kern w:val="2"/>
                <w:szCs w:val="24"/>
              </w:rPr>
              <w:t xml:space="preserve">dienas nuo Pirkėjo pareikalavimo, </w:t>
            </w:r>
            <w:r w:rsidR="001A03D8">
              <w:rPr>
                <w:color w:val="000000"/>
                <w:kern w:val="2"/>
              </w:rPr>
              <w:t xml:space="preserve">jeigu netesybų suma nėra </w:t>
            </w:r>
            <w:r w:rsidR="001A03D8">
              <w:t>išskaitoma iš Tiekėjui mokėtinos sumos</w:t>
            </w:r>
            <w:r w:rsidR="001A03D8">
              <w:rPr>
                <w:color w:val="000000"/>
                <w:kern w:val="2"/>
                <w:szCs w:val="24"/>
              </w:rPr>
              <w:t xml:space="preserve">. </w:t>
            </w:r>
          </w:p>
        </w:tc>
      </w:tr>
      <w:tr w:rsidR="001A03D8" w14:paraId="427BC0AB" w14:textId="77777777" w:rsidTr="001974B4">
        <w:trPr>
          <w:trHeight w:val="300"/>
        </w:trPr>
        <w:tc>
          <w:tcPr>
            <w:tcW w:w="2557" w:type="dxa"/>
          </w:tcPr>
          <w:p w14:paraId="4E0672A5" w14:textId="0D43EC01" w:rsidR="001A03D8" w:rsidRDefault="001A03D8" w:rsidP="001A03D8">
            <w:pPr>
              <w:rPr>
                <w:b/>
                <w:bCs/>
                <w:kern w:val="2"/>
                <w:szCs w:val="24"/>
              </w:rPr>
            </w:pPr>
            <w:r>
              <w:rPr>
                <w:b/>
                <w:bCs/>
                <w:kern w:val="2"/>
                <w:szCs w:val="24"/>
              </w:rPr>
              <w:t xml:space="preserve">9.3. </w:t>
            </w:r>
            <w:r>
              <w:rPr>
                <w:b/>
                <w:kern w:val="2"/>
                <w:szCs w:val="24"/>
              </w:rPr>
              <w:t xml:space="preserve">Tiekėjui / Pirkėjui taikoma bauda nutraukus Sutartį dėl esminio Sutarties pažeidimo ar nepagrįstai nutraukus Sutarties vykdymą ne Sutartyje nustatyta tvarka </w:t>
            </w:r>
          </w:p>
        </w:tc>
        <w:tc>
          <w:tcPr>
            <w:tcW w:w="7077" w:type="dxa"/>
            <w:gridSpan w:val="2"/>
          </w:tcPr>
          <w:p w14:paraId="010AD378" w14:textId="77777777" w:rsidR="001A03D8" w:rsidRDefault="001A03D8" w:rsidP="001A03D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0BB732B1" w:rsidR="001A03D8" w:rsidRDefault="001A03D8" w:rsidP="001A03D8">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5</w:t>
            </w:r>
            <w:r w:rsidR="006E0CD1">
              <w:rPr>
                <w:bCs/>
                <w:kern w:val="2"/>
                <w:szCs w:val="24"/>
              </w:rPr>
              <w:t xml:space="preserve"> (penkių)</w:t>
            </w:r>
            <w:r w:rsidRPr="00196214">
              <w:rPr>
                <w:bCs/>
                <w:kern w:val="2"/>
                <w:szCs w:val="24"/>
              </w:rPr>
              <w:t xml:space="preserve"> </w:t>
            </w:r>
            <w:r>
              <w:rPr>
                <w:bCs/>
                <w:kern w:val="2"/>
                <w:szCs w:val="24"/>
              </w:rPr>
              <w:t xml:space="preserve">procentų dydžio bauda nuo Pradinės Sutarties vertės, nurodytos Specialiųjų sąlygų 5.2 punkte. </w:t>
            </w:r>
          </w:p>
        </w:tc>
      </w:tr>
      <w:tr w:rsidR="001A03D8" w14:paraId="0CA66CE2" w14:textId="77777777" w:rsidTr="001974B4">
        <w:trPr>
          <w:trHeight w:val="300"/>
        </w:trPr>
        <w:tc>
          <w:tcPr>
            <w:tcW w:w="2557" w:type="dxa"/>
          </w:tcPr>
          <w:p w14:paraId="209B473A" w14:textId="77777777" w:rsidR="001A03D8" w:rsidRDefault="001A03D8" w:rsidP="001A0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7" w:type="dxa"/>
            <w:gridSpan w:val="2"/>
          </w:tcPr>
          <w:p w14:paraId="54B8E3AB" w14:textId="71EFDA87" w:rsidR="001A03D8" w:rsidRDefault="001A03D8" w:rsidP="001A03D8">
            <w:pPr>
              <w:jc w:val="both"/>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p w14:paraId="1E49B4B6" w14:textId="77777777" w:rsidR="001A03D8" w:rsidRDefault="001A03D8" w:rsidP="001A03D8">
            <w:pPr>
              <w:rPr>
                <w:kern w:val="2"/>
                <w:szCs w:val="24"/>
              </w:rPr>
            </w:pPr>
          </w:p>
        </w:tc>
      </w:tr>
      <w:tr w:rsidR="001A03D8" w14:paraId="4BA9B81F" w14:textId="77777777" w:rsidTr="001974B4">
        <w:trPr>
          <w:trHeight w:val="300"/>
        </w:trPr>
        <w:tc>
          <w:tcPr>
            <w:tcW w:w="2557" w:type="dxa"/>
          </w:tcPr>
          <w:p w14:paraId="67ABC782" w14:textId="77777777" w:rsidR="001A03D8" w:rsidRDefault="001A03D8" w:rsidP="001A03D8">
            <w:pPr>
              <w:rPr>
                <w:b/>
                <w:bCs/>
                <w:kern w:val="2"/>
                <w:szCs w:val="24"/>
              </w:rPr>
            </w:pPr>
            <w:r>
              <w:rPr>
                <w:b/>
                <w:bCs/>
                <w:kern w:val="2"/>
                <w:szCs w:val="24"/>
              </w:rPr>
              <w:t>9.5. Tiekėjui taikomos baudos dėl aplinkosauginių ir (arba) socialinių kriterijų nesilaikymo</w:t>
            </w:r>
          </w:p>
        </w:tc>
        <w:tc>
          <w:tcPr>
            <w:tcW w:w="7077" w:type="dxa"/>
            <w:gridSpan w:val="2"/>
          </w:tcPr>
          <w:p w14:paraId="73A3B8EE" w14:textId="5710905F" w:rsidR="001A03D8" w:rsidRDefault="001A03D8" w:rsidP="001A03D8">
            <w:pPr>
              <w:jc w:val="both"/>
              <w:rPr>
                <w:kern w:val="2"/>
                <w:szCs w:val="24"/>
              </w:rPr>
            </w:pPr>
            <w:r w:rsidRPr="00017A23">
              <w:rPr>
                <w:color w:val="000000"/>
                <w:kern w:val="2"/>
                <w:szCs w:val="24"/>
              </w:rPr>
              <w:t>Jeigu Tiekėjas nesilaiko šio</w:t>
            </w:r>
            <w:r w:rsidR="00274B8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1A03D8" w:rsidRDefault="001A03D8" w:rsidP="001A03D8">
            <w:pPr>
              <w:rPr>
                <w:color w:val="4472C4"/>
                <w:kern w:val="2"/>
                <w:szCs w:val="24"/>
              </w:rPr>
            </w:pPr>
          </w:p>
        </w:tc>
      </w:tr>
      <w:tr w:rsidR="001A03D8" w14:paraId="33CE8F4E" w14:textId="77777777" w:rsidTr="001974B4">
        <w:trPr>
          <w:trHeight w:val="300"/>
        </w:trPr>
        <w:tc>
          <w:tcPr>
            <w:tcW w:w="2557" w:type="dxa"/>
          </w:tcPr>
          <w:p w14:paraId="49094D96" w14:textId="77777777" w:rsidR="001A03D8" w:rsidRDefault="001A03D8" w:rsidP="001A03D8">
            <w:pPr>
              <w:rPr>
                <w:b/>
                <w:bCs/>
                <w:kern w:val="2"/>
                <w:szCs w:val="24"/>
              </w:rPr>
            </w:pPr>
            <w:r>
              <w:rPr>
                <w:b/>
                <w:bCs/>
                <w:kern w:val="2"/>
                <w:szCs w:val="24"/>
              </w:rPr>
              <w:lastRenderedPageBreak/>
              <w:t>9.6. Tiekėjui / Pirkėjui taikoma bauda dėl konfidencialumo reikalavimų nesilaikymo</w:t>
            </w:r>
          </w:p>
        </w:tc>
        <w:tc>
          <w:tcPr>
            <w:tcW w:w="7077" w:type="dxa"/>
            <w:gridSpan w:val="2"/>
          </w:tcPr>
          <w:p w14:paraId="5CEF9A2C" w14:textId="637DDD56" w:rsidR="001A03D8" w:rsidRDefault="001A03D8" w:rsidP="001A03D8">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1A03D8" w:rsidRDefault="001A03D8" w:rsidP="001A03D8">
            <w:pPr>
              <w:rPr>
                <w:color w:val="4472C4"/>
                <w:kern w:val="2"/>
                <w:szCs w:val="24"/>
              </w:rPr>
            </w:pPr>
          </w:p>
        </w:tc>
      </w:tr>
      <w:tr w:rsidR="001A03D8" w14:paraId="5CAC2E91" w14:textId="77777777" w:rsidTr="001974B4">
        <w:trPr>
          <w:trHeight w:val="300"/>
        </w:trPr>
        <w:tc>
          <w:tcPr>
            <w:tcW w:w="2557" w:type="dxa"/>
          </w:tcPr>
          <w:p w14:paraId="165C7B74" w14:textId="1B213CAB" w:rsidR="001A03D8" w:rsidRDefault="001A03D8" w:rsidP="001A03D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077" w:type="dxa"/>
            <w:gridSpan w:val="2"/>
          </w:tcPr>
          <w:p w14:paraId="74F8DBFE" w14:textId="56CA60ED" w:rsidR="001A03D8" w:rsidRDefault="001A03D8" w:rsidP="001A03D8">
            <w:pPr>
              <w:rPr>
                <w:color w:val="4472C4"/>
                <w:kern w:val="2"/>
                <w:szCs w:val="24"/>
              </w:rPr>
            </w:pPr>
            <w:r>
              <w:rPr>
                <w:kern w:val="2"/>
                <w:szCs w:val="24"/>
              </w:rPr>
              <w:t xml:space="preserve">Netaikoma </w:t>
            </w:r>
          </w:p>
          <w:p w14:paraId="59DBB499" w14:textId="04D329EA" w:rsidR="001A03D8" w:rsidRDefault="001A03D8" w:rsidP="001A03D8">
            <w:pPr>
              <w:rPr>
                <w:color w:val="4472C4"/>
                <w:kern w:val="2"/>
                <w:szCs w:val="24"/>
              </w:rPr>
            </w:pPr>
          </w:p>
        </w:tc>
      </w:tr>
      <w:tr w:rsidR="001A03D8" w14:paraId="68087009" w14:textId="77777777" w:rsidTr="001974B4">
        <w:trPr>
          <w:trHeight w:val="300"/>
        </w:trPr>
        <w:tc>
          <w:tcPr>
            <w:tcW w:w="2557" w:type="dxa"/>
          </w:tcPr>
          <w:p w14:paraId="54835A79" w14:textId="77777777" w:rsidR="001A03D8" w:rsidRPr="00F337C9" w:rsidRDefault="001A03D8" w:rsidP="001A03D8">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1A03D8" w:rsidRDefault="001A03D8" w:rsidP="001A03D8">
            <w:pPr>
              <w:rPr>
                <w:kern w:val="2"/>
                <w:szCs w:val="24"/>
              </w:rPr>
            </w:pPr>
            <w:r>
              <w:rPr>
                <w:kern w:val="2"/>
                <w:szCs w:val="24"/>
              </w:rPr>
              <w:t>Netaikoma</w:t>
            </w:r>
          </w:p>
          <w:p w14:paraId="0BFF9D3B" w14:textId="77777777" w:rsidR="001A03D8" w:rsidRDefault="001A03D8" w:rsidP="001A03D8">
            <w:pPr>
              <w:rPr>
                <w:color w:val="4472C4"/>
                <w:kern w:val="2"/>
                <w:szCs w:val="24"/>
              </w:rPr>
            </w:pPr>
          </w:p>
          <w:p w14:paraId="6C6E8C47" w14:textId="2CF5552A" w:rsidR="001A03D8" w:rsidRDefault="001A03D8" w:rsidP="001A03D8">
            <w:pPr>
              <w:rPr>
                <w:color w:val="4472C4"/>
                <w:kern w:val="2"/>
                <w:szCs w:val="24"/>
              </w:rPr>
            </w:pPr>
          </w:p>
        </w:tc>
      </w:tr>
      <w:tr w:rsidR="001A03D8" w14:paraId="13920C2D" w14:textId="77777777" w:rsidTr="001974B4">
        <w:trPr>
          <w:trHeight w:val="300"/>
        </w:trPr>
        <w:tc>
          <w:tcPr>
            <w:tcW w:w="2557" w:type="dxa"/>
          </w:tcPr>
          <w:p w14:paraId="26BEE702" w14:textId="5180A835" w:rsidR="001A03D8" w:rsidRPr="00C06E1A" w:rsidRDefault="001A03D8" w:rsidP="001A03D8">
            <w:pPr>
              <w:rPr>
                <w:b/>
                <w:bCs/>
                <w:kern w:val="2"/>
                <w:szCs w:val="24"/>
              </w:rPr>
            </w:pPr>
            <w:r w:rsidRPr="00C06E1A">
              <w:rPr>
                <w:b/>
                <w:bCs/>
                <w:kern w:val="2"/>
                <w:szCs w:val="24"/>
              </w:rPr>
              <w:t xml:space="preserve">9.9. </w:t>
            </w:r>
            <w:r>
              <w:rPr>
                <w:b/>
                <w:bCs/>
                <w:color w:val="000000"/>
              </w:rPr>
              <w:t>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077" w:type="dxa"/>
            <w:gridSpan w:val="2"/>
          </w:tcPr>
          <w:p w14:paraId="04B0F41F" w14:textId="51AC2C64" w:rsidR="001A03D8" w:rsidRDefault="001A03D8" w:rsidP="001A03D8">
            <w:pPr>
              <w:jc w:val="both"/>
              <w:rPr>
                <w:color w:val="4472C4"/>
                <w:kern w:val="2"/>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1A03D8" w14:paraId="34F1C929" w14:textId="77777777" w:rsidTr="001974B4">
        <w:trPr>
          <w:trHeight w:val="300"/>
        </w:trPr>
        <w:tc>
          <w:tcPr>
            <w:tcW w:w="2557" w:type="dxa"/>
          </w:tcPr>
          <w:p w14:paraId="53C04961" w14:textId="322AF1F2" w:rsidR="001A03D8" w:rsidRDefault="001A03D8" w:rsidP="001A03D8">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3077AB1A" w:rsidR="001A03D8" w:rsidRPr="00BC0B7F" w:rsidRDefault="00862CDA" w:rsidP="001A03D8">
            <w:pPr>
              <w:jc w:val="both"/>
              <w:rPr>
                <w:kern w:val="2"/>
                <w:szCs w:val="24"/>
              </w:rPr>
            </w:pPr>
            <w:r w:rsidRPr="00273F8C">
              <w:rPr>
                <w:kern w:val="2"/>
                <w:sz w:val="22"/>
                <w:szCs w:val="22"/>
              </w:rPr>
              <w:t>Netaikoma</w:t>
            </w:r>
          </w:p>
        </w:tc>
      </w:tr>
      <w:tr w:rsidR="001A03D8" w14:paraId="2C42E303" w14:textId="77777777" w:rsidTr="00A908CB">
        <w:trPr>
          <w:trHeight w:val="300"/>
        </w:trPr>
        <w:tc>
          <w:tcPr>
            <w:tcW w:w="9634" w:type="dxa"/>
            <w:gridSpan w:val="3"/>
          </w:tcPr>
          <w:p w14:paraId="7A9E76DD" w14:textId="48ED6FC8" w:rsidR="001A03D8" w:rsidRPr="00BC0B7F" w:rsidRDefault="001A03D8" w:rsidP="001A03D8">
            <w:pPr>
              <w:jc w:val="center"/>
              <w:rPr>
                <w:kern w:val="2"/>
                <w:szCs w:val="24"/>
              </w:rPr>
            </w:pPr>
            <w:r>
              <w:rPr>
                <w:b/>
                <w:kern w:val="2"/>
                <w:szCs w:val="24"/>
              </w:rPr>
              <w:t>10. ESMINĖS SUTARTIES SĄLYGOS</w:t>
            </w:r>
          </w:p>
        </w:tc>
      </w:tr>
      <w:tr w:rsidR="001A03D8" w14:paraId="21424A54" w14:textId="77777777" w:rsidTr="001974B4">
        <w:trPr>
          <w:trHeight w:val="300"/>
        </w:trPr>
        <w:tc>
          <w:tcPr>
            <w:tcW w:w="2557" w:type="dxa"/>
          </w:tcPr>
          <w:p w14:paraId="20957895" w14:textId="6908BC7F" w:rsidR="001A03D8" w:rsidRDefault="001A03D8" w:rsidP="001A03D8">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37D55740" w:rsidR="001A03D8" w:rsidRPr="0040599F" w:rsidRDefault="001A03D8" w:rsidP="00AF6187">
            <w:pPr>
              <w:jc w:val="both"/>
              <w:rPr>
                <w:kern w:val="2"/>
                <w:szCs w:val="24"/>
              </w:rPr>
            </w:pPr>
            <w:r w:rsidRPr="0040599F">
              <w:rPr>
                <w:kern w:val="2"/>
                <w:szCs w:val="24"/>
              </w:rPr>
              <w:t>10.1.1</w:t>
            </w:r>
            <w:r w:rsidR="00AF6187">
              <w:rPr>
                <w:kern w:val="2"/>
                <w:szCs w:val="24"/>
              </w:rPr>
              <w:t>.</w:t>
            </w:r>
            <w:r w:rsidRPr="0040599F">
              <w:rPr>
                <w:kern w:val="2"/>
                <w:szCs w:val="24"/>
              </w:rPr>
              <w:t xml:space="preserve"> Tiekėjo prisiimtų įsipareigojimų už Sutartyje nustatytą Sutarties kainą / įkainius vykdymas;</w:t>
            </w:r>
          </w:p>
          <w:p w14:paraId="71A00908" w14:textId="0CD3780B" w:rsidR="001A03D8" w:rsidRPr="0040599F" w:rsidRDefault="001A03D8" w:rsidP="001A03D8">
            <w:pPr>
              <w:jc w:val="both"/>
              <w:rPr>
                <w:kern w:val="2"/>
                <w:szCs w:val="24"/>
              </w:rPr>
            </w:pPr>
            <w:r w:rsidRPr="0040599F">
              <w:rPr>
                <w:kern w:val="2"/>
                <w:szCs w:val="24"/>
              </w:rPr>
              <w:t>10.1.2. Sutartyje nustatytų P</w:t>
            </w:r>
            <w:r>
              <w:rPr>
                <w:kern w:val="2"/>
                <w:szCs w:val="24"/>
              </w:rPr>
              <w:t>reki</w:t>
            </w:r>
            <w:r w:rsidRPr="0040599F">
              <w:rPr>
                <w:kern w:val="2"/>
                <w:szCs w:val="24"/>
              </w:rPr>
              <w:t>ų ti</w:t>
            </w:r>
            <w:r>
              <w:rPr>
                <w:kern w:val="2"/>
                <w:szCs w:val="24"/>
              </w:rPr>
              <w:t>e</w:t>
            </w:r>
            <w:r w:rsidRPr="0040599F">
              <w:rPr>
                <w:kern w:val="2"/>
                <w:szCs w:val="24"/>
              </w:rPr>
              <w:t>kimo terminų laikymasis;</w:t>
            </w:r>
          </w:p>
          <w:p w14:paraId="23876C59" w14:textId="6165B7B4" w:rsidR="001A03D8" w:rsidRPr="0040599F" w:rsidRDefault="001A03D8" w:rsidP="001A03D8">
            <w:pPr>
              <w:jc w:val="both"/>
              <w:rPr>
                <w:kern w:val="2"/>
                <w:szCs w:val="24"/>
              </w:rPr>
            </w:pPr>
            <w:r w:rsidRPr="0040599F">
              <w:rPr>
                <w:kern w:val="2"/>
                <w:szCs w:val="24"/>
              </w:rPr>
              <w:t xml:space="preserve">10.1.3. Priskaičiuotų netesybų už </w:t>
            </w:r>
            <w:r>
              <w:rPr>
                <w:kern w:val="2"/>
                <w:szCs w:val="24"/>
              </w:rPr>
              <w:t xml:space="preserve">tiekiamų </w:t>
            </w:r>
            <w:r w:rsidRPr="0040599F">
              <w:rPr>
                <w:kern w:val="2"/>
                <w:szCs w:val="24"/>
              </w:rPr>
              <w:t>P</w:t>
            </w:r>
            <w:r>
              <w:rPr>
                <w:kern w:val="2"/>
                <w:szCs w:val="24"/>
              </w:rPr>
              <w:t>reki</w:t>
            </w:r>
            <w:r w:rsidRPr="0040599F">
              <w:rPr>
                <w:kern w:val="2"/>
                <w:szCs w:val="24"/>
              </w:rPr>
              <w:t>ų vėlavimą mokėjimas;</w:t>
            </w:r>
          </w:p>
          <w:p w14:paraId="1D54504D" w14:textId="51D312EC" w:rsidR="001A03D8" w:rsidRPr="0040599F" w:rsidRDefault="001A03D8" w:rsidP="001A03D8">
            <w:pPr>
              <w:jc w:val="both"/>
              <w:rPr>
                <w:kern w:val="2"/>
                <w:szCs w:val="24"/>
              </w:rPr>
            </w:pPr>
            <w:r w:rsidRPr="0040599F">
              <w:rPr>
                <w:kern w:val="2"/>
                <w:szCs w:val="24"/>
              </w:rPr>
              <w:t>10.1.4. Sutartyje ir (ar) Įstatymuose nustatytus reikalavimus atitinkančių P</w:t>
            </w:r>
            <w:r>
              <w:rPr>
                <w:kern w:val="2"/>
                <w:szCs w:val="24"/>
              </w:rPr>
              <w:t>reki</w:t>
            </w:r>
            <w:r w:rsidRPr="0040599F">
              <w:rPr>
                <w:kern w:val="2"/>
                <w:szCs w:val="24"/>
              </w:rPr>
              <w:t>ų ti</w:t>
            </w:r>
            <w:r>
              <w:rPr>
                <w:kern w:val="2"/>
                <w:szCs w:val="24"/>
              </w:rPr>
              <w:t>e</w:t>
            </w:r>
            <w:r w:rsidRPr="0040599F">
              <w:rPr>
                <w:kern w:val="2"/>
                <w:szCs w:val="24"/>
              </w:rPr>
              <w:t>kimas;</w:t>
            </w:r>
          </w:p>
          <w:p w14:paraId="469955C4" w14:textId="77777777" w:rsidR="001A03D8" w:rsidRPr="0040599F" w:rsidRDefault="001A03D8" w:rsidP="001A03D8">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4B8F8437" w:rsidR="001A03D8" w:rsidRPr="0040599F" w:rsidRDefault="001A03D8" w:rsidP="001A03D8">
            <w:pPr>
              <w:jc w:val="both"/>
              <w:rPr>
                <w:kern w:val="2"/>
                <w:szCs w:val="24"/>
              </w:rPr>
            </w:pPr>
            <w:r w:rsidRPr="0040599F">
              <w:rPr>
                <w:kern w:val="2"/>
                <w:szCs w:val="24"/>
              </w:rPr>
              <w:t>10.1.6. P</w:t>
            </w:r>
            <w:r>
              <w:rPr>
                <w:kern w:val="2"/>
                <w:szCs w:val="24"/>
              </w:rPr>
              <w:t>reki</w:t>
            </w:r>
            <w:r w:rsidRPr="0040599F">
              <w:rPr>
                <w:kern w:val="2"/>
                <w:szCs w:val="24"/>
              </w:rPr>
              <w:t>ų ti</w:t>
            </w:r>
            <w:r>
              <w:rPr>
                <w:kern w:val="2"/>
                <w:szCs w:val="24"/>
              </w:rPr>
              <w:t>e</w:t>
            </w:r>
            <w:r w:rsidRPr="0040599F">
              <w:rPr>
                <w:kern w:val="2"/>
                <w:szCs w:val="24"/>
              </w:rPr>
              <w:t xml:space="preserve">kimo sąlygos visą Sutarties galiojimo laikotarpį privalo atitikti Tiekėjo Pasiūlymą; </w:t>
            </w:r>
          </w:p>
          <w:p w14:paraId="4AB52D08" w14:textId="77777777" w:rsidR="001A03D8" w:rsidRPr="0040599F" w:rsidRDefault="001A03D8" w:rsidP="001A03D8">
            <w:pPr>
              <w:jc w:val="both"/>
              <w:rPr>
                <w:kern w:val="2"/>
                <w:szCs w:val="24"/>
              </w:rPr>
            </w:pPr>
            <w:r w:rsidRPr="0040599F">
              <w:rPr>
                <w:kern w:val="2"/>
                <w:szCs w:val="24"/>
              </w:rPr>
              <w:t>10.1.7. Sutarties nuostatų, reglamentuojančių aplinkosauginius reikalavimus, laikymasis;</w:t>
            </w:r>
          </w:p>
          <w:p w14:paraId="238D5D5B" w14:textId="77777777" w:rsidR="001A03D8" w:rsidRPr="0040599F" w:rsidRDefault="001A03D8" w:rsidP="001A03D8">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A03D8" w:rsidRPr="00BC0B7F" w:rsidRDefault="001A03D8" w:rsidP="001A03D8">
            <w:pPr>
              <w:tabs>
                <w:tab w:val="left" w:pos="2295"/>
              </w:tabs>
              <w:jc w:val="both"/>
              <w:rPr>
                <w:kern w:val="2"/>
                <w:szCs w:val="24"/>
              </w:rPr>
            </w:pPr>
            <w:r w:rsidRPr="0040599F">
              <w:rPr>
                <w:kern w:val="2"/>
                <w:szCs w:val="24"/>
              </w:rPr>
              <w:lastRenderedPageBreak/>
              <w:t>10.1.9. Bendrųjų sąlygų nuostatų dėl Sutarties vykdymui pasitelkiamų naujų subtiekėjų ir (ar specialistų) / esamų subtiekėjų ir (ar) specialistų keitimo, laikymasis.</w:t>
            </w:r>
          </w:p>
        </w:tc>
      </w:tr>
      <w:tr w:rsidR="001A03D8" w14:paraId="68B72C40" w14:textId="77777777" w:rsidTr="001974B4">
        <w:trPr>
          <w:trHeight w:val="300"/>
        </w:trPr>
        <w:tc>
          <w:tcPr>
            <w:tcW w:w="2557" w:type="dxa"/>
          </w:tcPr>
          <w:p w14:paraId="572B9E2E" w14:textId="4B1EA374" w:rsidR="001A03D8" w:rsidRPr="0070305A" w:rsidRDefault="001A03D8" w:rsidP="001A03D8">
            <w:pPr>
              <w:rPr>
                <w:b/>
                <w:bCs/>
                <w:kern w:val="2"/>
                <w:szCs w:val="24"/>
              </w:rPr>
            </w:pPr>
            <w:r w:rsidRPr="0070305A">
              <w:rPr>
                <w:b/>
                <w:kern w:val="2"/>
                <w:szCs w:val="24"/>
              </w:rPr>
              <w:lastRenderedPageBreak/>
              <w:t xml:space="preserve">10.2. </w:t>
            </w:r>
            <w:r>
              <w:rPr>
                <w:b/>
                <w:bCs/>
                <w:color w:val="000000"/>
              </w:rPr>
              <w:t>Dideli arba nuolatiniai esminės Sutarties sąlygos vykdymo trūkumai</w:t>
            </w:r>
          </w:p>
        </w:tc>
        <w:tc>
          <w:tcPr>
            <w:tcW w:w="7077" w:type="dxa"/>
            <w:gridSpan w:val="2"/>
          </w:tcPr>
          <w:p w14:paraId="0FFFABA8" w14:textId="1EE42A66" w:rsidR="001A03D8" w:rsidRPr="00017A23" w:rsidRDefault="001A03D8" w:rsidP="001A03D8">
            <w:pPr>
              <w:jc w:val="both"/>
              <w:rPr>
                <w:color w:val="000000" w:themeColor="text1"/>
                <w:kern w:val="2"/>
                <w:szCs w:val="24"/>
              </w:rPr>
            </w:pPr>
            <w:r w:rsidRPr="00017A23">
              <w:rPr>
                <w:color w:val="000000" w:themeColor="text1"/>
                <w:kern w:val="2"/>
                <w:szCs w:val="24"/>
              </w:rPr>
              <w:t>10.2.1. Jeigu Tiekėjas nesilaiko Sutartyje nustatytų P</w:t>
            </w:r>
            <w:r>
              <w:rPr>
                <w:color w:val="000000" w:themeColor="text1"/>
                <w:kern w:val="2"/>
                <w:szCs w:val="24"/>
              </w:rPr>
              <w:t>reki</w:t>
            </w:r>
            <w:r w:rsidRPr="00017A23">
              <w:rPr>
                <w:color w:val="000000" w:themeColor="text1"/>
                <w:kern w:val="2"/>
                <w:szCs w:val="24"/>
              </w:rPr>
              <w:t>ų ti</w:t>
            </w:r>
            <w:r>
              <w:rPr>
                <w:color w:val="000000" w:themeColor="text1"/>
                <w:kern w:val="2"/>
                <w:szCs w:val="24"/>
              </w:rPr>
              <w:t>e</w:t>
            </w:r>
            <w:r w:rsidRPr="00017A23">
              <w:rPr>
                <w:color w:val="000000" w:themeColor="text1"/>
                <w:kern w:val="2"/>
                <w:szCs w:val="24"/>
              </w:rPr>
              <w:t xml:space="preserve">kimo terminų ir vėluoja </w:t>
            </w:r>
            <w:r>
              <w:rPr>
                <w:color w:val="000000" w:themeColor="text1"/>
                <w:kern w:val="2"/>
                <w:szCs w:val="24"/>
              </w:rPr>
              <w:t>pristaty</w:t>
            </w:r>
            <w:r w:rsidRPr="00017A23">
              <w:rPr>
                <w:color w:val="000000" w:themeColor="text1"/>
                <w:kern w:val="2"/>
                <w:szCs w:val="24"/>
              </w:rPr>
              <w:t>ti P</w:t>
            </w:r>
            <w:r>
              <w:rPr>
                <w:color w:val="000000" w:themeColor="text1"/>
                <w:kern w:val="2"/>
                <w:szCs w:val="24"/>
              </w:rPr>
              <w:t>reke</w:t>
            </w:r>
            <w:r w:rsidRPr="00017A23">
              <w:rPr>
                <w:color w:val="000000" w:themeColor="text1"/>
                <w:kern w:val="2"/>
                <w:szCs w:val="24"/>
              </w:rPr>
              <w:t xml:space="preserve">s daugiau nei </w:t>
            </w:r>
            <w:r w:rsidR="00CB3912">
              <w:rPr>
                <w:color w:val="000000" w:themeColor="text1"/>
                <w:kern w:val="2"/>
                <w:szCs w:val="24"/>
              </w:rPr>
              <w:t>10</w:t>
            </w:r>
            <w:r w:rsidRPr="00017A23">
              <w:rPr>
                <w:color w:val="000000" w:themeColor="text1"/>
                <w:kern w:val="2"/>
                <w:szCs w:val="24"/>
              </w:rPr>
              <w:t xml:space="preserve"> (</w:t>
            </w:r>
            <w:r w:rsidR="00CB3912">
              <w:rPr>
                <w:color w:val="000000" w:themeColor="text1"/>
                <w:kern w:val="2"/>
                <w:szCs w:val="24"/>
              </w:rPr>
              <w:t>dešimt</w:t>
            </w:r>
            <w:r w:rsidRPr="00017A23">
              <w:rPr>
                <w:color w:val="000000" w:themeColor="text1"/>
                <w:kern w:val="2"/>
                <w:szCs w:val="24"/>
              </w:rPr>
              <w:t xml:space="preserve">) darbo </w:t>
            </w:r>
            <w:r w:rsidR="0070305A" w:rsidRPr="00017A23">
              <w:rPr>
                <w:color w:val="000000" w:themeColor="text1"/>
                <w:kern w:val="2"/>
                <w:szCs w:val="24"/>
              </w:rPr>
              <w:t>dien</w:t>
            </w:r>
            <w:r w:rsidR="0070305A">
              <w:rPr>
                <w:color w:val="000000" w:themeColor="text1"/>
                <w:kern w:val="2"/>
                <w:szCs w:val="24"/>
              </w:rPr>
              <w:t>ų</w:t>
            </w:r>
            <w:r w:rsidRPr="00017A23">
              <w:rPr>
                <w:color w:val="000000" w:themeColor="text1"/>
                <w:kern w:val="2"/>
                <w:szCs w:val="24"/>
              </w:rPr>
              <w:t>;</w:t>
            </w:r>
          </w:p>
          <w:p w14:paraId="5E68FE88" w14:textId="59D36BF2" w:rsidR="001A03D8" w:rsidRPr="00017A23" w:rsidRDefault="001A03D8" w:rsidP="001A03D8">
            <w:pPr>
              <w:jc w:val="both"/>
              <w:rPr>
                <w:color w:val="000000" w:themeColor="text1"/>
                <w:kern w:val="2"/>
                <w:szCs w:val="24"/>
              </w:rPr>
            </w:pPr>
            <w:r w:rsidRPr="00017A23">
              <w:rPr>
                <w:color w:val="000000" w:themeColor="text1"/>
                <w:kern w:val="2"/>
                <w:szCs w:val="24"/>
              </w:rPr>
              <w:t>10.2.2. Tiekėjas ti</w:t>
            </w:r>
            <w:r>
              <w:rPr>
                <w:color w:val="000000" w:themeColor="text1"/>
                <w:kern w:val="2"/>
                <w:szCs w:val="24"/>
              </w:rPr>
              <w:t>e</w:t>
            </w:r>
            <w:r w:rsidRPr="00017A23">
              <w:rPr>
                <w:color w:val="000000" w:themeColor="text1"/>
                <w:kern w:val="2"/>
                <w:szCs w:val="24"/>
              </w:rPr>
              <w:t>kia P</w:t>
            </w:r>
            <w:r>
              <w:rPr>
                <w:color w:val="000000" w:themeColor="text1"/>
                <w:kern w:val="2"/>
                <w:szCs w:val="24"/>
              </w:rPr>
              <w:t>reke</w:t>
            </w:r>
            <w:r w:rsidRPr="00017A23">
              <w:rPr>
                <w:color w:val="000000" w:themeColor="text1"/>
                <w:kern w:val="2"/>
                <w:szCs w:val="24"/>
              </w:rPr>
              <w:t>s, kurios neatitinka Sutartyje ir (ar) Įstatymuose nustatytų reikalavimų ti</w:t>
            </w:r>
            <w:r>
              <w:rPr>
                <w:color w:val="000000" w:themeColor="text1"/>
                <w:kern w:val="2"/>
                <w:szCs w:val="24"/>
              </w:rPr>
              <w:t>e</w:t>
            </w:r>
            <w:r w:rsidRPr="00017A23">
              <w:rPr>
                <w:color w:val="000000" w:themeColor="text1"/>
                <w:kern w:val="2"/>
                <w:szCs w:val="24"/>
              </w:rPr>
              <w:t>kiamoms P</w:t>
            </w:r>
            <w:r>
              <w:rPr>
                <w:color w:val="000000" w:themeColor="text1"/>
                <w:kern w:val="2"/>
                <w:szCs w:val="24"/>
              </w:rPr>
              <w:t>rekė</w:t>
            </w:r>
            <w:r w:rsidRPr="00017A23">
              <w:rPr>
                <w:color w:val="000000" w:themeColor="text1"/>
                <w:kern w:val="2"/>
                <w:szCs w:val="24"/>
              </w:rPr>
              <w:t>ms</w:t>
            </w:r>
            <w:r w:rsidR="0070305A">
              <w:rPr>
                <w:color w:val="000000" w:themeColor="text1"/>
                <w:kern w:val="2"/>
                <w:szCs w:val="24"/>
              </w:rPr>
              <w:t xml:space="preserve"> ir per 10 (dešimt) dienų neištaiso pažeidimo</w:t>
            </w:r>
            <w:r w:rsidRPr="00017A23">
              <w:rPr>
                <w:color w:val="000000" w:themeColor="text1"/>
                <w:kern w:val="2"/>
                <w:szCs w:val="24"/>
              </w:rPr>
              <w:t>;</w:t>
            </w:r>
          </w:p>
          <w:p w14:paraId="0D52C35E" w14:textId="5928B446" w:rsidR="001A03D8" w:rsidRPr="00017A23" w:rsidRDefault="001A03D8" w:rsidP="001A03D8">
            <w:pPr>
              <w:jc w:val="both"/>
              <w:rPr>
                <w:color w:val="000000" w:themeColor="text1"/>
                <w:kern w:val="2"/>
                <w:szCs w:val="24"/>
              </w:rPr>
            </w:pPr>
            <w:r w:rsidRPr="00017A23">
              <w:rPr>
                <w:color w:val="000000" w:themeColor="text1"/>
                <w:kern w:val="2"/>
                <w:szCs w:val="24"/>
              </w:rPr>
              <w:t>1</w:t>
            </w:r>
            <w:r>
              <w:rPr>
                <w:color w:val="000000" w:themeColor="text1"/>
                <w:kern w:val="2"/>
                <w:szCs w:val="24"/>
              </w:rPr>
              <w:t>0</w:t>
            </w:r>
            <w:r w:rsidRPr="00017A23">
              <w:rPr>
                <w:color w:val="000000" w:themeColor="text1"/>
                <w:kern w:val="2"/>
                <w:szCs w:val="24"/>
              </w:rPr>
              <w:t>.2.</w:t>
            </w:r>
            <w:r w:rsidR="00813256">
              <w:rPr>
                <w:color w:val="000000" w:themeColor="text1"/>
                <w:kern w:val="2"/>
                <w:szCs w:val="24"/>
              </w:rPr>
              <w:t>3</w:t>
            </w:r>
            <w:r w:rsidRPr="00017A23">
              <w:rPr>
                <w:color w:val="000000" w:themeColor="text1"/>
                <w:kern w:val="2"/>
                <w:szCs w:val="24"/>
              </w:rPr>
              <w:t>. Tiekėjas pažeidžia Bendrųjų sąlygų nuostatas, reglamentuojančias konkurenciją, intelektinės nuosavybės ar konfidencialios informacijos valdymą;</w:t>
            </w:r>
          </w:p>
          <w:p w14:paraId="3F6033FC" w14:textId="47294BA3" w:rsidR="001A03D8" w:rsidRPr="0040599F" w:rsidRDefault="001A03D8" w:rsidP="001A03D8">
            <w:pPr>
              <w:ind w:left="25"/>
              <w:jc w:val="both"/>
              <w:rPr>
                <w:kern w:val="2"/>
                <w:szCs w:val="24"/>
              </w:rPr>
            </w:pPr>
            <w:r w:rsidRPr="00017A23">
              <w:rPr>
                <w:color w:val="000000" w:themeColor="text1"/>
                <w:kern w:val="2"/>
                <w:szCs w:val="24"/>
              </w:rPr>
              <w:t>1</w:t>
            </w:r>
            <w:r>
              <w:rPr>
                <w:color w:val="000000" w:themeColor="text1"/>
                <w:kern w:val="2"/>
                <w:szCs w:val="24"/>
              </w:rPr>
              <w:t>0</w:t>
            </w:r>
            <w:r w:rsidRPr="00017A23">
              <w:rPr>
                <w:color w:val="000000" w:themeColor="text1"/>
                <w:kern w:val="2"/>
                <w:szCs w:val="24"/>
              </w:rPr>
              <w:t>.2.</w:t>
            </w:r>
            <w:r w:rsidR="00813256">
              <w:rPr>
                <w:color w:val="000000" w:themeColor="text1"/>
                <w:kern w:val="2"/>
                <w:szCs w:val="24"/>
              </w:rPr>
              <w:t>4</w:t>
            </w:r>
            <w:r w:rsidRPr="00017A23">
              <w:rPr>
                <w:color w:val="000000" w:themeColor="text1"/>
                <w:kern w:val="2"/>
                <w:szCs w:val="24"/>
              </w:rPr>
              <w:t>. Tiekėjas pažeidžia Bendrųjų sąlygų nuostatas dėl Sutarties vykdymui pasitelkiamų naujų subtiekėjų ir (ar specialistų) / esamų subtiekėjų ir (ar) specialistų keitimo.</w:t>
            </w:r>
          </w:p>
        </w:tc>
      </w:tr>
      <w:tr w:rsidR="001A03D8" w14:paraId="79B7BBBE" w14:textId="77777777" w:rsidTr="003545E4">
        <w:trPr>
          <w:trHeight w:val="300"/>
        </w:trPr>
        <w:tc>
          <w:tcPr>
            <w:tcW w:w="9634" w:type="dxa"/>
            <w:gridSpan w:val="3"/>
          </w:tcPr>
          <w:p w14:paraId="64E9D5B0" w14:textId="6593310C" w:rsidR="001A03D8" w:rsidRDefault="001A03D8" w:rsidP="001A03D8">
            <w:pPr>
              <w:jc w:val="center"/>
              <w:rPr>
                <w:b/>
                <w:bCs/>
                <w:kern w:val="2"/>
                <w:szCs w:val="24"/>
              </w:rPr>
            </w:pPr>
            <w:r>
              <w:rPr>
                <w:b/>
                <w:bCs/>
                <w:kern w:val="2"/>
                <w:szCs w:val="24"/>
              </w:rPr>
              <w:t>11. SUTARTIES GALIOJIMAS IR KEITIMAS</w:t>
            </w:r>
          </w:p>
        </w:tc>
      </w:tr>
      <w:tr w:rsidR="001A03D8" w14:paraId="76F53255" w14:textId="77777777" w:rsidTr="001974B4">
        <w:trPr>
          <w:trHeight w:val="300"/>
        </w:trPr>
        <w:tc>
          <w:tcPr>
            <w:tcW w:w="2557" w:type="dxa"/>
          </w:tcPr>
          <w:p w14:paraId="18AA5D10" w14:textId="1C32BEDE" w:rsidR="001A03D8" w:rsidRDefault="001A03D8" w:rsidP="001A03D8">
            <w:pPr>
              <w:rPr>
                <w:b/>
                <w:bCs/>
                <w:kern w:val="2"/>
                <w:szCs w:val="24"/>
              </w:rPr>
            </w:pPr>
            <w:r>
              <w:rPr>
                <w:b/>
                <w:bCs/>
                <w:kern w:val="2"/>
                <w:szCs w:val="24"/>
              </w:rPr>
              <w:t>11.1. Sutarties sudarymas ir įsigaliojimas</w:t>
            </w:r>
          </w:p>
        </w:tc>
        <w:tc>
          <w:tcPr>
            <w:tcW w:w="7077" w:type="dxa"/>
            <w:gridSpan w:val="2"/>
          </w:tcPr>
          <w:p w14:paraId="2CD02D03" w14:textId="270831EB" w:rsidR="001A03D8" w:rsidRPr="004012E3" w:rsidRDefault="001A03D8" w:rsidP="001A03D8">
            <w:pPr>
              <w:jc w:val="both"/>
              <w:rPr>
                <w:kern w:val="2"/>
                <w:szCs w:val="24"/>
              </w:rPr>
            </w:pPr>
            <w:r>
              <w:rPr>
                <w:kern w:val="2"/>
                <w:szCs w:val="24"/>
              </w:rPr>
              <w:t xml:space="preserve">11.1.1. </w:t>
            </w:r>
            <w:r w:rsidRPr="004012E3">
              <w:rPr>
                <w:kern w:val="2"/>
                <w:szCs w:val="24"/>
              </w:rPr>
              <w:t>Ši Sutartis laikoma sudaryta ir įsigalioja nuo Sutarties pasirašymo dienos (antrosios Šalies pasirašymo dieną).</w:t>
            </w:r>
          </w:p>
          <w:p w14:paraId="599652D9" w14:textId="03D2304F" w:rsidR="001A03D8" w:rsidRDefault="001A03D8" w:rsidP="001A03D8">
            <w:pPr>
              <w:jc w:val="both"/>
              <w:rPr>
                <w:color w:val="4472C4"/>
                <w:kern w:val="2"/>
                <w:szCs w:val="24"/>
              </w:rPr>
            </w:pPr>
            <w:r>
              <w:rPr>
                <w:color w:val="000000"/>
                <w:kern w:val="2"/>
                <w:szCs w:val="24"/>
              </w:rPr>
              <w:t xml:space="preserve">11.1.2. </w:t>
            </w:r>
            <w:r w:rsidRPr="004012E3">
              <w:rPr>
                <w:color w:val="000000"/>
                <w:kern w:val="2"/>
                <w:szCs w:val="24"/>
              </w:rPr>
              <w:t>Sutartis galioja iki visiško prievolių įvykdymo (kol bus išnaudota Pradinės Sutarties vertė</w:t>
            </w:r>
            <w:r w:rsidR="00C10A6D">
              <w:rPr>
                <w:color w:val="000000"/>
                <w:kern w:val="2"/>
                <w:szCs w:val="24"/>
              </w:rPr>
              <w:t>)</w:t>
            </w:r>
            <w:r w:rsidRPr="004012E3">
              <w:rPr>
                <w:color w:val="000000"/>
                <w:kern w:val="2"/>
                <w:szCs w:val="24"/>
              </w:rPr>
              <w:t xml:space="preserve">, bet jos terminas negali būti ilgesnis kaip </w:t>
            </w:r>
            <w:r w:rsidR="000F27D7" w:rsidRPr="00E856C7">
              <w:rPr>
                <w:b/>
                <w:color w:val="000000"/>
                <w:kern w:val="2"/>
                <w:szCs w:val="24"/>
              </w:rPr>
              <w:t>7</w:t>
            </w:r>
            <w:r w:rsidRPr="00C06A61">
              <w:rPr>
                <w:b/>
                <w:szCs w:val="24"/>
              </w:rPr>
              <w:t xml:space="preserve"> </w:t>
            </w:r>
            <w:r>
              <w:rPr>
                <w:b/>
                <w:szCs w:val="24"/>
              </w:rPr>
              <w:t>(</w:t>
            </w:r>
            <w:r w:rsidR="00E856C7">
              <w:rPr>
                <w:b/>
                <w:szCs w:val="24"/>
              </w:rPr>
              <w:t>septy</w:t>
            </w:r>
            <w:r w:rsidR="00A66090">
              <w:rPr>
                <w:b/>
                <w:szCs w:val="24"/>
              </w:rPr>
              <w:t>ni</w:t>
            </w:r>
            <w:r>
              <w:rPr>
                <w:b/>
                <w:szCs w:val="24"/>
              </w:rPr>
              <w:t>) mėnes</w:t>
            </w:r>
            <w:r w:rsidR="00C06A61">
              <w:rPr>
                <w:b/>
                <w:szCs w:val="24"/>
              </w:rPr>
              <w:t>i</w:t>
            </w:r>
            <w:r w:rsidR="00A66090">
              <w:rPr>
                <w:b/>
                <w:szCs w:val="24"/>
              </w:rPr>
              <w:t>ai</w:t>
            </w:r>
            <w:r w:rsidRPr="004012E3">
              <w:rPr>
                <w:b/>
                <w:szCs w:val="24"/>
              </w:rPr>
              <w:t xml:space="preserve"> </w:t>
            </w:r>
            <w:r w:rsidRPr="004012E3">
              <w:rPr>
                <w:szCs w:val="24"/>
              </w:rPr>
              <w:t>(sutarties vykdymo trukm</w:t>
            </w:r>
            <w:r>
              <w:rPr>
                <w:szCs w:val="24"/>
              </w:rPr>
              <w:t xml:space="preserve">ė (prekių tiekimo terminas) – </w:t>
            </w:r>
            <w:r w:rsidR="00E856C7">
              <w:rPr>
                <w:szCs w:val="24"/>
              </w:rPr>
              <w:t>5</w:t>
            </w:r>
            <w:r>
              <w:rPr>
                <w:szCs w:val="24"/>
              </w:rPr>
              <w:t xml:space="preserve"> </w:t>
            </w:r>
            <w:r w:rsidRPr="00393270">
              <w:rPr>
                <w:szCs w:val="24"/>
              </w:rPr>
              <w:t>(</w:t>
            </w:r>
            <w:r w:rsidR="00E856C7">
              <w:rPr>
                <w:szCs w:val="24"/>
              </w:rPr>
              <w:t>penk</w:t>
            </w:r>
            <w:r w:rsidR="00A66090">
              <w:rPr>
                <w:szCs w:val="24"/>
              </w:rPr>
              <w:t>i</w:t>
            </w:r>
            <w:r>
              <w:rPr>
                <w:szCs w:val="24"/>
              </w:rPr>
              <w:t>) mėnesi</w:t>
            </w:r>
            <w:r w:rsidR="00A66090">
              <w:rPr>
                <w:szCs w:val="24"/>
              </w:rPr>
              <w:t>ai</w:t>
            </w:r>
            <w:r w:rsidRPr="004012E3">
              <w:rPr>
                <w:szCs w:val="24"/>
              </w:rPr>
              <w:t xml:space="preserve">, atsiskaitymo terminas – 2 </w:t>
            </w:r>
            <w:r>
              <w:rPr>
                <w:szCs w:val="24"/>
              </w:rPr>
              <w:t xml:space="preserve">(du) </w:t>
            </w:r>
            <w:r w:rsidRPr="004012E3">
              <w:rPr>
                <w:szCs w:val="24"/>
              </w:rPr>
              <w:t>mėnesiai).</w:t>
            </w:r>
            <w:r>
              <w:rPr>
                <w:szCs w:val="24"/>
              </w:rPr>
              <w:t xml:space="preserve"> </w:t>
            </w:r>
          </w:p>
        </w:tc>
      </w:tr>
      <w:tr w:rsidR="001A03D8" w14:paraId="18841803" w14:textId="77777777" w:rsidTr="001974B4">
        <w:trPr>
          <w:trHeight w:val="300"/>
        </w:trPr>
        <w:tc>
          <w:tcPr>
            <w:tcW w:w="2557" w:type="dxa"/>
          </w:tcPr>
          <w:p w14:paraId="3798EF79" w14:textId="38FE994F" w:rsidR="001A03D8" w:rsidRDefault="001A03D8" w:rsidP="001A03D8">
            <w:pPr>
              <w:rPr>
                <w:b/>
                <w:bCs/>
                <w:kern w:val="2"/>
                <w:szCs w:val="24"/>
              </w:rPr>
            </w:pPr>
            <w:r>
              <w:rPr>
                <w:b/>
                <w:bCs/>
                <w:kern w:val="2"/>
                <w:szCs w:val="24"/>
              </w:rPr>
              <w:t>11.2. Sutarties galiojimo termino pratęsimas</w:t>
            </w:r>
          </w:p>
        </w:tc>
        <w:tc>
          <w:tcPr>
            <w:tcW w:w="7077" w:type="dxa"/>
            <w:gridSpan w:val="2"/>
          </w:tcPr>
          <w:p w14:paraId="550E168E" w14:textId="78788A38" w:rsidR="001A03D8" w:rsidRDefault="001A03D8" w:rsidP="001A03D8">
            <w:pPr>
              <w:jc w:val="both"/>
              <w:rPr>
                <w:kern w:val="2"/>
                <w:szCs w:val="24"/>
              </w:rPr>
            </w:pPr>
            <w:bookmarkStart w:id="1" w:name="_Hlk194067982"/>
            <w:r>
              <w:rPr>
                <w:kern w:val="2"/>
                <w:szCs w:val="24"/>
              </w:rPr>
              <w:t xml:space="preserve">Netaikoma </w:t>
            </w:r>
            <w:r w:rsidRPr="00896E1F">
              <w:rPr>
                <w:kern w:val="2"/>
                <w:szCs w:val="24"/>
              </w:rPr>
              <w:t xml:space="preserve"> </w:t>
            </w:r>
            <w:bookmarkEnd w:id="1"/>
          </w:p>
        </w:tc>
      </w:tr>
      <w:tr w:rsidR="001A03D8" w14:paraId="0EDCBF49" w14:textId="77777777" w:rsidTr="003545E4">
        <w:trPr>
          <w:trHeight w:val="300"/>
        </w:trPr>
        <w:tc>
          <w:tcPr>
            <w:tcW w:w="9634" w:type="dxa"/>
            <w:gridSpan w:val="3"/>
          </w:tcPr>
          <w:p w14:paraId="1E99D713" w14:textId="7A28DB68" w:rsidR="001A03D8" w:rsidRDefault="001A03D8" w:rsidP="001A03D8">
            <w:pPr>
              <w:jc w:val="center"/>
              <w:rPr>
                <w:b/>
                <w:bCs/>
                <w:kern w:val="2"/>
                <w:szCs w:val="24"/>
              </w:rPr>
            </w:pPr>
            <w:r>
              <w:rPr>
                <w:b/>
                <w:bCs/>
                <w:kern w:val="2"/>
                <w:szCs w:val="24"/>
              </w:rPr>
              <w:t>12. SUTARTIES NUTRAUKIMAS</w:t>
            </w:r>
          </w:p>
        </w:tc>
      </w:tr>
      <w:tr w:rsidR="001A03D8" w14:paraId="5D21BC0A" w14:textId="77777777" w:rsidTr="001974B4">
        <w:trPr>
          <w:trHeight w:val="300"/>
        </w:trPr>
        <w:tc>
          <w:tcPr>
            <w:tcW w:w="2557" w:type="dxa"/>
          </w:tcPr>
          <w:p w14:paraId="45A2FCA8" w14:textId="2A4AB6BF" w:rsidR="001A03D8" w:rsidRDefault="001A03D8" w:rsidP="001A03D8">
            <w:pPr>
              <w:rPr>
                <w:b/>
                <w:bCs/>
                <w:kern w:val="2"/>
                <w:szCs w:val="24"/>
              </w:rPr>
            </w:pPr>
            <w:r>
              <w:rPr>
                <w:b/>
                <w:bCs/>
                <w:kern w:val="2"/>
                <w:szCs w:val="24"/>
              </w:rPr>
              <w:t>12.1. Sutarties nutraukimo pagrindai</w:t>
            </w:r>
          </w:p>
        </w:tc>
        <w:tc>
          <w:tcPr>
            <w:tcW w:w="7077" w:type="dxa"/>
            <w:gridSpan w:val="2"/>
          </w:tcPr>
          <w:p w14:paraId="413D0626" w14:textId="6BAD88DF" w:rsidR="001A03D8" w:rsidRPr="008615B9" w:rsidRDefault="001A03D8" w:rsidP="001A03D8">
            <w:pPr>
              <w:jc w:val="both"/>
              <w:rPr>
                <w:kern w:val="2"/>
                <w:szCs w:val="24"/>
              </w:rPr>
            </w:pPr>
            <w:r>
              <w:rPr>
                <w:kern w:val="2"/>
                <w:szCs w:val="24"/>
              </w:rPr>
              <w:t>Sutartis gali būti nutraukiama rašytiniu Šalių susitarimu arba vienašališkai, Bendrosiose sąlygose nustatyta tvarka.</w:t>
            </w:r>
          </w:p>
        </w:tc>
      </w:tr>
      <w:tr w:rsidR="001A03D8" w14:paraId="63FEFB18" w14:textId="77777777" w:rsidTr="001974B4">
        <w:trPr>
          <w:trHeight w:val="300"/>
        </w:trPr>
        <w:tc>
          <w:tcPr>
            <w:tcW w:w="2557" w:type="dxa"/>
          </w:tcPr>
          <w:p w14:paraId="7237BC79" w14:textId="445AA953" w:rsidR="001A03D8" w:rsidRDefault="001A03D8" w:rsidP="001A03D8">
            <w:pPr>
              <w:rPr>
                <w:b/>
                <w:bCs/>
                <w:kern w:val="2"/>
                <w:szCs w:val="24"/>
              </w:rPr>
            </w:pPr>
            <w:r>
              <w:rPr>
                <w:b/>
                <w:bCs/>
                <w:kern w:val="2"/>
                <w:szCs w:val="24"/>
              </w:rPr>
              <w:t>12.2. Esminiai Sutarties pažeidimai</w:t>
            </w:r>
          </w:p>
          <w:p w14:paraId="5F465CED" w14:textId="77777777" w:rsidR="001A03D8" w:rsidRDefault="001A03D8" w:rsidP="001A03D8">
            <w:pPr>
              <w:rPr>
                <w:b/>
                <w:bCs/>
                <w:kern w:val="2"/>
                <w:szCs w:val="24"/>
              </w:rPr>
            </w:pPr>
          </w:p>
        </w:tc>
        <w:tc>
          <w:tcPr>
            <w:tcW w:w="7077" w:type="dxa"/>
            <w:gridSpan w:val="2"/>
          </w:tcPr>
          <w:p w14:paraId="59B7078A" w14:textId="2FC0389F"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.2.1. jeigu Tiekėjas nevykdo prisiimtų įsipareigojimų už Sutartyje nustatytą Sutarties kainą / įkainius;</w:t>
            </w:r>
          </w:p>
          <w:p w14:paraId="5DA9130C" w14:textId="7CB20EB6"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CB3912">
              <w:rPr>
                <w:kern w:val="2"/>
                <w:szCs w:val="24"/>
              </w:rPr>
              <w:t xml:space="preserve">ir </w:t>
            </w:r>
            <w:r w:rsidRPr="00C735AD">
              <w:rPr>
                <w:kern w:val="2"/>
                <w:szCs w:val="24"/>
              </w:rPr>
              <w:t xml:space="preserve">vėluoja pristatyti Prekes daugiau nei </w:t>
            </w:r>
            <w:r w:rsidR="00CB3912">
              <w:rPr>
                <w:color w:val="000000" w:themeColor="text1"/>
                <w:kern w:val="2"/>
                <w:szCs w:val="24"/>
              </w:rPr>
              <w:t>2</w:t>
            </w:r>
            <w:r w:rsidRPr="00017A23">
              <w:rPr>
                <w:color w:val="000000" w:themeColor="text1"/>
                <w:kern w:val="2"/>
                <w:szCs w:val="24"/>
              </w:rPr>
              <w:t>0 (d</w:t>
            </w:r>
            <w:r w:rsidR="00CB3912">
              <w:rPr>
                <w:color w:val="000000" w:themeColor="text1"/>
                <w:kern w:val="2"/>
                <w:szCs w:val="24"/>
              </w:rPr>
              <w:t>videšimt</w:t>
            </w:r>
            <w:r w:rsidRPr="00017A23">
              <w:rPr>
                <w:color w:val="000000" w:themeColor="text1"/>
                <w:kern w:val="2"/>
                <w:szCs w:val="24"/>
              </w:rPr>
              <w:t>) darbo dienų</w:t>
            </w:r>
            <w:r w:rsidRPr="00C735AD">
              <w:rPr>
                <w:kern w:val="2"/>
                <w:szCs w:val="24"/>
              </w:rPr>
              <w:t>;</w:t>
            </w:r>
          </w:p>
          <w:p w14:paraId="3A4C8C00" w14:textId="41024A62"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.2.3. jeigu Tiekėjas pažeidžia Prekių pristatymo terminus ir priskaičiuotų netesybų už vėlavimą suma viršija </w:t>
            </w:r>
            <w:r w:rsidR="00CB3912">
              <w:rPr>
                <w:kern w:val="2"/>
                <w:szCs w:val="24"/>
              </w:rPr>
              <w:t>1</w:t>
            </w:r>
            <w:r w:rsidRPr="00C735AD">
              <w:rPr>
                <w:kern w:val="2"/>
                <w:szCs w:val="24"/>
              </w:rPr>
              <w:t>0 (d</w:t>
            </w:r>
            <w:r w:rsidR="00CB3912">
              <w:rPr>
                <w:kern w:val="2"/>
                <w:szCs w:val="24"/>
              </w:rPr>
              <w:t>ešimt</w:t>
            </w:r>
            <w:r w:rsidRPr="00C735AD">
              <w:rPr>
                <w:kern w:val="2"/>
                <w:szCs w:val="24"/>
              </w:rPr>
              <w:t>) proc. Pradinės sutarties vertės;</w:t>
            </w:r>
          </w:p>
          <w:p w14:paraId="25A3B145" w14:textId="020B3ED1"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13D472AB" w14:textId="2608B703"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.2.5. Tiekėjas pristato Prekes, kurios neatitinka Sutartyje ir (ar) Įstatymuose nustatytų reikalavimų Prekėms</w:t>
            </w:r>
            <w:r w:rsidR="0070305A" w:rsidRPr="00151FC0">
              <w:rPr>
                <w:rFonts w:eastAsia="Arial"/>
                <w:color w:val="000000" w:themeColor="text1"/>
                <w:kern w:val="2"/>
                <w:sz w:val="22"/>
                <w:szCs w:val="22"/>
                <w:lang w:val="lt"/>
              </w:rPr>
              <w:t xml:space="preserve"> ir per </w:t>
            </w:r>
            <w:r w:rsidR="0070305A" w:rsidRPr="00151FC0">
              <w:rPr>
                <w:color w:val="000000" w:themeColor="text1"/>
                <w:kern w:val="2"/>
                <w:sz w:val="22"/>
                <w:szCs w:val="22"/>
              </w:rPr>
              <w:t xml:space="preserve">20 </w:t>
            </w:r>
            <w:r w:rsidR="0070305A">
              <w:rPr>
                <w:color w:val="000000" w:themeColor="text1"/>
                <w:kern w:val="2"/>
                <w:sz w:val="22"/>
                <w:szCs w:val="22"/>
              </w:rPr>
              <w:t xml:space="preserve">(dvidešimt) </w:t>
            </w:r>
            <w:r w:rsidR="0070305A" w:rsidRPr="00151FC0">
              <w:rPr>
                <w:color w:val="000000" w:themeColor="text1"/>
                <w:kern w:val="2"/>
                <w:sz w:val="22"/>
                <w:szCs w:val="22"/>
              </w:rPr>
              <w:t>dienų neištaiso pažeidimo</w:t>
            </w:r>
            <w:r w:rsidRPr="00C735AD">
              <w:rPr>
                <w:kern w:val="2"/>
                <w:szCs w:val="24"/>
              </w:rPr>
              <w:t>;</w:t>
            </w:r>
          </w:p>
          <w:p w14:paraId="583FD25A" w14:textId="2BCFB49F"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763BF19" w14:textId="0FEC5989" w:rsidR="001A03D8"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 xml:space="preserve">kėjas </w:t>
            </w:r>
            <w:r w:rsidR="00CB3912">
              <w:rPr>
                <w:kern w:val="2"/>
                <w:szCs w:val="24"/>
              </w:rPr>
              <w:t xml:space="preserve">daugiau nei vieną kartą </w:t>
            </w:r>
            <w:r w:rsidRPr="00017A23">
              <w:rPr>
                <w:kern w:val="2"/>
                <w:szCs w:val="24"/>
              </w:rPr>
              <w:t>per Sutarties vykdymo laikotarpį pažeidžia šios Sutarties nuostatas, reglamentuojančias aplinkosauginių reikalavimų, laikymąsi</w:t>
            </w:r>
            <w:r>
              <w:rPr>
                <w:kern w:val="2"/>
                <w:szCs w:val="24"/>
              </w:rPr>
              <w:t>;</w:t>
            </w:r>
          </w:p>
          <w:p w14:paraId="2375A46F" w14:textId="7050511E" w:rsidR="001A03D8" w:rsidRPr="00C735AD" w:rsidRDefault="001A03D8" w:rsidP="001A03D8">
            <w:pPr>
              <w:jc w:val="both"/>
              <w:rPr>
                <w:kern w:val="2"/>
                <w:szCs w:val="24"/>
              </w:rPr>
            </w:pPr>
            <w:r>
              <w:rPr>
                <w:kern w:val="2"/>
                <w:szCs w:val="24"/>
              </w:rPr>
              <w:lastRenderedPageBreak/>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2FA85390" w14:textId="4E5F96CF" w:rsidR="001A03D8" w:rsidRDefault="001A03D8" w:rsidP="001A03D8">
            <w:pPr>
              <w:spacing w:line="257" w:lineRule="auto"/>
              <w:jc w:val="both"/>
              <w:rPr>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Pr>
                <w:kern w:val="2"/>
                <w:szCs w:val="24"/>
              </w:rPr>
              <w:t>;</w:t>
            </w:r>
          </w:p>
          <w:p w14:paraId="06FE4739" w14:textId="32954BFC" w:rsidR="001A03D8" w:rsidRPr="00F14693" w:rsidRDefault="001A03D8" w:rsidP="001A03D8">
            <w:pPr>
              <w:spacing w:line="257" w:lineRule="auto"/>
              <w:jc w:val="both"/>
              <w:rPr>
                <w:rFonts w:eastAsia="Arial"/>
                <w:color w:val="000000" w:themeColor="text1"/>
                <w:kern w:val="2"/>
                <w:sz w:val="22"/>
                <w:szCs w:val="22"/>
                <w:lang w:val="lt"/>
              </w:rPr>
            </w:pPr>
            <w:r w:rsidRPr="00017A23">
              <w:rPr>
                <w:rFonts w:eastAsia="Arial"/>
                <w:kern w:val="2"/>
                <w:szCs w:val="24"/>
                <w:lang w:val="lt"/>
              </w:rPr>
              <w:t>12.2.10.</w:t>
            </w:r>
            <w:r w:rsidRPr="00017A23">
              <w:rPr>
                <w:kern w:val="2"/>
                <w:szCs w:val="24"/>
                <w:shd w:val="clear" w:color="auto" w:fill="FFFFFF"/>
              </w:rPr>
              <w:t xml:space="preserve"> Tiekėjas ir (ar) jungtinės veiklos par</w:t>
            </w:r>
            <w:r w:rsidR="00D21BEE">
              <w:rPr>
                <w:kern w:val="2"/>
                <w:szCs w:val="24"/>
                <w:shd w:val="clear" w:color="auto" w:fill="FFFFFF"/>
              </w:rPr>
              <w:t>t</w:t>
            </w:r>
            <w:r w:rsidRPr="00017A23">
              <w:rPr>
                <w:kern w:val="2"/>
                <w:szCs w:val="24"/>
                <w:shd w:val="clear" w:color="auto" w:fill="FFFFFF"/>
              </w:rPr>
              <w:t xml:space="preserve">neris (jei taikoma), ir (ar) subtiekėjas (jei taikoma) </w:t>
            </w:r>
            <w:r w:rsidRPr="00017A23">
              <w:rPr>
                <w:szCs w:val="24"/>
                <w:shd w:val="clear" w:color="auto" w:fill="FFFFFF"/>
              </w:rPr>
              <w:t>p</w:t>
            </w:r>
            <w:r w:rsidRPr="00017A23">
              <w:rPr>
                <w:kern w:val="2"/>
                <w:szCs w:val="24"/>
                <w:shd w:val="clear" w:color="auto" w:fill="FFFFFF"/>
              </w:rPr>
              <w:t>aslaugų</w:t>
            </w:r>
            <w:r w:rsidRPr="00017A23">
              <w:rPr>
                <w:szCs w:val="24"/>
              </w:rPr>
              <w:t>, kurioms Sutartyje nustatyti aplinkos apsaugos vadybos sistemos reikalavimai,</w:t>
            </w:r>
            <w:r w:rsidRPr="00017A23">
              <w:rPr>
                <w:kern w:val="2"/>
                <w:szCs w:val="24"/>
                <w:shd w:val="clear" w:color="auto" w:fill="FFFFFF"/>
              </w:rPr>
              <w:t xml:space="preserve"> teikimo metu</w:t>
            </w:r>
            <w:r w:rsidRPr="00017A23">
              <w:rPr>
                <w:szCs w:val="24"/>
              </w:rPr>
              <w:t xml:space="preserve">, </w:t>
            </w:r>
            <w:r w:rsidRPr="00017A23">
              <w:rPr>
                <w:kern w:val="2"/>
                <w:szCs w:val="24"/>
                <w:shd w:val="clear" w:color="auto" w:fill="FFFFFF"/>
              </w:rPr>
              <w:t>neturi galiojančio aplinkos apsaugos vadybos sistemos sertifikato, ir (ar) nepateikia sertifikato pratęsimo (neįsigyja naujo)</w:t>
            </w:r>
            <w:r w:rsidR="00CB3912">
              <w:rPr>
                <w:kern w:val="2"/>
                <w:szCs w:val="24"/>
                <w:shd w:val="clear" w:color="auto" w:fill="FFFFFF"/>
              </w:rPr>
              <w:t xml:space="preserve"> (jei taikoma)</w:t>
            </w:r>
            <w:r w:rsidRPr="00017A23">
              <w:rPr>
                <w:kern w:val="2"/>
                <w:szCs w:val="24"/>
                <w:shd w:val="clear" w:color="auto" w:fill="FFFFFF"/>
              </w:rPr>
              <w:t>.</w:t>
            </w:r>
          </w:p>
        </w:tc>
      </w:tr>
      <w:tr w:rsidR="001A03D8" w14:paraId="6C35B254" w14:textId="77777777" w:rsidTr="003545E4">
        <w:trPr>
          <w:trHeight w:val="300"/>
        </w:trPr>
        <w:tc>
          <w:tcPr>
            <w:tcW w:w="9634" w:type="dxa"/>
            <w:gridSpan w:val="3"/>
          </w:tcPr>
          <w:p w14:paraId="47F3BA0F" w14:textId="03FFF137" w:rsidR="001A03D8" w:rsidRDefault="001A03D8" w:rsidP="001A03D8">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1A03D8" w14:paraId="3D0ED71B" w14:textId="77777777" w:rsidTr="001974B4">
        <w:trPr>
          <w:trHeight w:val="300"/>
        </w:trPr>
        <w:tc>
          <w:tcPr>
            <w:tcW w:w="2557" w:type="dxa"/>
          </w:tcPr>
          <w:p w14:paraId="63073B65" w14:textId="216C5906" w:rsidR="001A03D8" w:rsidRDefault="001A03D8" w:rsidP="001A03D8">
            <w:pPr>
              <w:rPr>
                <w:b/>
                <w:bCs/>
                <w:kern w:val="2"/>
                <w:szCs w:val="24"/>
              </w:rPr>
            </w:pPr>
            <w:r>
              <w:rPr>
                <w:b/>
                <w:bCs/>
                <w:kern w:val="2"/>
                <w:szCs w:val="24"/>
              </w:rPr>
              <w:t>13.1. Aplinkosauginių kriterijų nustatymo teisinis pagrindas</w:t>
            </w:r>
          </w:p>
        </w:tc>
        <w:tc>
          <w:tcPr>
            <w:tcW w:w="7077" w:type="dxa"/>
            <w:gridSpan w:val="2"/>
          </w:tcPr>
          <w:p w14:paraId="2CBB8E7B" w14:textId="1327CAB8" w:rsidR="001A03D8" w:rsidRPr="00143F7C" w:rsidRDefault="001A03D8" w:rsidP="001A03D8">
            <w:pPr>
              <w:jc w:val="both"/>
              <w:rPr>
                <w:color w:val="000000"/>
                <w:sz w:val="22"/>
                <w:szCs w:val="22"/>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 </w:t>
            </w:r>
            <w:r w:rsidRPr="002E7E00">
              <w:rPr>
                <w:kern w:val="2"/>
                <w:szCs w:val="22"/>
                <w:shd w:val="clear" w:color="auto" w:fill="FFFFFF"/>
              </w:rPr>
              <w:t xml:space="preserve">4.4.4 p. </w:t>
            </w:r>
            <w:r w:rsidRPr="002E7E00">
              <w:rPr>
                <w:color w:val="000000"/>
                <w:kern w:val="2"/>
                <w:szCs w:val="22"/>
                <w:shd w:val="clear" w:color="auto" w:fill="FFFFFF"/>
              </w:rPr>
              <w:t>papunkčiu</w:t>
            </w:r>
            <w:r w:rsidR="00143F7C">
              <w:rPr>
                <w:color w:val="000000"/>
                <w:kern w:val="2"/>
                <w:szCs w:val="22"/>
                <w:shd w:val="clear" w:color="auto" w:fill="FFFFFF"/>
              </w:rPr>
              <w:t>:</w:t>
            </w:r>
            <w:r w:rsidR="00EA748E" w:rsidRPr="00592B52">
              <w:rPr>
                <w:color w:val="000000"/>
                <w:sz w:val="22"/>
                <w:szCs w:val="22"/>
              </w:rPr>
              <w:t xml:space="preserve"> </w:t>
            </w:r>
          </w:p>
          <w:p w14:paraId="64594066" w14:textId="77146019" w:rsidR="00A125E7" w:rsidRPr="00EA62DE" w:rsidRDefault="00A125E7" w:rsidP="00A125E7">
            <w:pPr>
              <w:jc w:val="both"/>
              <w:rPr>
                <w:szCs w:val="22"/>
              </w:rPr>
            </w:pPr>
            <w:r w:rsidRPr="00EA62DE">
              <w:rPr>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EA62DE">
              <w:rPr>
                <w:szCs w:val="22"/>
              </w:rPr>
              <w:t>polietilentereftalato</w:t>
            </w:r>
            <w:proofErr w:type="spellEnd"/>
            <w:r w:rsidRPr="00EA62DE">
              <w:rPr>
                <w:szCs w:val="22"/>
              </w:rPr>
              <w:t xml:space="preserve"> (PET arba PET 1), aukšto tankumo polietileno (HDPE arba HDPE 2), žemo tankumo polietileno (LDPE arba LDPE 4), </w:t>
            </w:r>
            <w:proofErr w:type="spellStart"/>
            <w:r w:rsidRPr="00EA62DE">
              <w:rPr>
                <w:szCs w:val="22"/>
              </w:rPr>
              <w:t>polivinilchlorido</w:t>
            </w:r>
            <w:proofErr w:type="spellEnd"/>
            <w:r w:rsidRPr="00EA62DE">
              <w:rPr>
                <w:szCs w:val="22"/>
              </w:rPr>
              <w:t xml:space="preserve"> (PVC arba PVC 3), polipropileno (PP arba PP 5), </w:t>
            </w:r>
            <w:proofErr w:type="spellStart"/>
            <w:r w:rsidRPr="00EA62DE">
              <w:rPr>
                <w:szCs w:val="22"/>
              </w:rPr>
              <w:t>polistireno</w:t>
            </w:r>
            <w:proofErr w:type="spellEnd"/>
            <w:r w:rsidRPr="00EA62DE">
              <w:rPr>
                <w:szCs w:val="22"/>
              </w:rPr>
              <w:t xml:space="preserve"> (PS arba PS 6), medžio ar kamštinės medžiagos (FOR, arba FOR nuo 50 iki 59), medvilnės ar džiuto (TEX, arba TEX nuo 60 iki 69), nebent tai prieštarauja higienos normoms.</w:t>
            </w:r>
          </w:p>
          <w:p w14:paraId="62AF99E6" w14:textId="7993E456" w:rsidR="0096327E" w:rsidRPr="005032EC" w:rsidRDefault="00A125E7" w:rsidP="00A125E7">
            <w:pPr>
              <w:jc w:val="both"/>
              <w:rPr>
                <w:color w:val="000000"/>
                <w:shd w:val="clear" w:color="auto" w:fill="FFFFFF"/>
              </w:rPr>
            </w:pPr>
            <w:r w:rsidRPr="00EA62DE">
              <w:rPr>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A62DE">
              <w:rPr>
                <w:szCs w:val="22"/>
              </w:rPr>
              <w:t>Voluntary</w:t>
            </w:r>
            <w:proofErr w:type="spellEnd"/>
            <w:r w:rsidRPr="00EA62DE">
              <w:rPr>
                <w:szCs w:val="22"/>
              </w:rPr>
              <w:t xml:space="preserve"> Standard </w:t>
            </w:r>
            <w:proofErr w:type="spellStart"/>
            <w:r w:rsidRPr="00EA62DE">
              <w:rPr>
                <w:szCs w:val="22"/>
              </w:rPr>
              <w:t>for</w:t>
            </w:r>
            <w:proofErr w:type="spellEnd"/>
            <w:r w:rsidRPr="00EA62DE">
              <w:rPr>
                <w:szCs w:val="22"/>
              </w:rPr>
              <w:t xml:space="preserve"> </w:t>
            </w:r>
            <w:proofErr w:type="spellStart"/>
            <w:r w:rsidRPr="00EA62DE">
              <w:rPr>
                <w:szCs w:val="22"/>
              </w:rPr>
              <w:t>Repulping</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Recycling</w:t>
            </w:r>
            <w:proofErr w:type="spellEnd"/>
            <w:r w:rsidRPr="00EA62DE">
              <w:rPr>
                <w:szCs w:val="22"/>
              </w:rPr>
              <w:t xml:space="preserve"> </w:t>
            </w:r>
            <w:proofErr w:type="spellStart"/>
            <w:r w:rsidRPr="00EA62DE">
              <w:rPr>
                <w:szCs w:val="22"/>
              </w:rPr>
              <w:t>Corrugated</w:t>
            </w:r>
            <w:proofErr w:type="spellEnd"/>
            <w:r w:rsidRPr="00EA62DE">
              <w:rPr>
                <w:szCs w:val="22"/>
              </w:rPr>
              <w:t xml:space="preserve"> </w:t>
            </w:r>
            <w:proofErr w:type="spellStart"/>
            <w:r w:rsidRPr="00EA62DE">
              <w:rPr>
                <w:szCs w:val="22"/>
              </w:rPr>
              <w:t>Fiberboard</w:t>
            </w:r>
            <w:proofErr w:type="spellEnd"/>
            <w:r w:rsidRPr="00EA62DE">
              <w:rPr>
                <w:szCs w:val="22"/>
              </w:rPr>
              <w:t xml:space="preserve"> </w:t>
            </w:r>
            <w:proofErr w:type="spellStart"/>
            <w:r w:rsidRPr="00EA62DE">
              <w:rPr>
                <w:szCs w:val="22"/>
              </w:rPr>
              <w:t>Treated</w:t>
            </w:r>
            <w:proofErr w:type="spellEnd"/>
            <w:r w:rsidRPr="00EA62DE">
              <w:rPr>
                <w:szCs w:val="22"/>
              </w:rPr>
              <w:t xml:space="preserve"> to </w:t>
            </w:r>
            <w:proofErr w:type="spellStart"/>
            <w:r w:rsidRPr="00EA62DE">
              <w:rPr>
                <w:szCs w:val="22"/>
              </w:rPr>
              <w:t>Improve</w:t>
            </w:r>
            <w:proofErr w:type="spellEnd"/>
            <w:r w:rsidRPr="00EA62DE">
              <w:rPr>
                <w:szCs w:val="22"/>
              </w:rPr>
              <w:t xml:space="preserve"> </w:t>
            </w:r>
            <w:proofErr w:type="spellStart"/>
            <w:r w:rsidRPr="00EA62DE">
              <w:rPr>
                <w:szCs w:val="22"/>
              </w:rPr>
              <w:t>Its</w:t>
            </w:r>
            <w:proofErr w:type="spellEnd"/>
            <w:r w:rsidRPr="00EA62DE">
              <w:rPr>
                <w:szCs w:val="22"/>
              </w:rPr>
              <w:t xml:space="preserve"> </w:t>
            </w:r>
            <w:proofErr w:type="spellStart"/>
            <w:r w:rsidRPr="00EA62DE">
              <w:rPr>
                <w:szCs w:val="22"/>
              </w:rPr>
              <w:t>Performance</w:t>
            </w:r>
            <w:proofErr w:type="spellEnd"/>
            <w:r w:rsidRPr="00EA62DE">
              <w:rPr>
                <w:szCs w:val="22"/>
              </w:rPr>
              <w:t xml:space="preserve"> </w:t>
            </w:r>
            <w:proofErr w:type="spellStart"/>
            <w:r w:rsidRPr="00EA62DE">
              <w:rPr>
                <w:szCs w:val="22"/>
              </w:rPr>
              <w:t>in</w:t>
            </w:r>
            <w:proofErr w:type="spellEnd"/>
            <w:r w:rsidRPr="00EA62DE">
              <w:rPr>
                <w:szCs w:val="22"/>
              </w:rPr>
              <w:t xml:space="preserve"> </w:t>
            </w:r>
            <w:proofErr w:type="spellStart"/>
            <w:r w:rsidRPr="00EA62DE">
              <w:rPr>
                <w:szCs w:val="22"/>
              </w:rPr>
              <w:t>the</w:t>
            </w:r>
            <w:proofErr w:type="spellEnd"/>
            <w:r w:rsidRPr="00EA62DE">
              <w:rPr>
                <w:szCs w:val="22"/>
              </w:rPr>
              <w:t xml:space="preserve"> </w:t>
            </w:r>
            <w:proofErr w:type="spellStart"/>
            <w:r w:rsidRPr="00EA62DE">
              <w:rPr>
                <w:szCs w:val="22"/>
              </w:rPr>
              <w:t>Presence</w:t>
            </w:r>
            <w:proofErr w:type="spellEnd"/>
            <w:r w:rsidRPr="00EA62DE">
              <w:rPr>
                <w:szCs w:val="22"/>
              </w:rPr>
              <w:t xml:space="preserve"> </w:t>
            </w:r>
            <w:proofErr w:type="spellStart"/>
            <w:r w:rsidRPr="00EA62DE">
              <w:rPr>
                <w:szCs w:val="22"/>
              </w:rPr>
              <w:t>of</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Vapor</w:t>
            </w:r>
            <w:proofErr w:type="spellEnd"/>
            <w:r w:rsidRPr="00EA62DE">
              <w:rPr>
                <w:szCs w:val="22"/>
              </w:rPr>
              <w:t xml:space="preserve">, standartas </w:t>
            </w:r>
            <w:proofErr w:type="spellStart"/>
            <w:r w:rsidRPr="00EA62DE">
              <w:rPr>
                <w:szCs w:val="22"/>
              </w:rPr>
              <w:t>RecyClass</w:t>
            </w:r>
            <w:proofErr w:type="spellEnd"/>
            <w:r w:rsidRPr="00EA62DE">
              <w:rPr>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1A03D8" w:rsidRPr="0038242F">
              <w:rPr>
                <w:color w:val="000000"/>
                <w:shd w:val="clear" w:color="auto" w:fill="FFFFFF"/>
              </w:rPr>
              <w:t>.</w:t>
            </w:r>
            <w:r w:rsidR="001A03D8">
              <w:rPr>
                <w:color w:val="000000"/>
                <w:shd w:val="clear" w:color="auto" w:fill="FFFFFF"/>
              </w:rPr>
              <w:t xml:space="preserve"> </w:t>
            </w:r>
          </w:p>
          <w:p w14:paraId="0100943A" w14:textId="0DD030DF" w:rsidR="001A03D8" w:rsidRPr="002E7E00" w:rsidRDefault="001A03D8" w:rsidP="001A03D8">
            <w:pPr>
              <w:jc w:val="both"/>
              <w:rPr>
                <w:color w:val="000000"/>
                <w:kern w:val="2"/>
                <w:szCs w:val="22"/>
              </w:rPr>
            </w:pPr>
          </w:p>
          <w:p w14:paraId="277E8DB3" w14:textId="1928B7DA" w:rsidR="001A03D8" w:rsidRPr="00C718FA" w:rsidRDefault="001A03D8" w:rsidP="001A03D8">
            <w:pPr>
              <w:jc w:val="both"/>
              <w:rPr>
                <w:kern w:val="2"/>
                <w:sz w:val="28"/>
                <w:szCs w:val="24"/>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 xml:space="preserve">.1.2. </w:t>
            </w:r>
            <w:r>
              <w:rPr>
                <w:color w:val="000000"/>
                <w:kern w:val="2"/>
                <w:szCs w:val="24"/>
                <w:shd w:val="clear" w:color="auto" w:fill="FFFFFF"/>
              </w:rPr>
              <w:t>Nustačius, kad Tiekėjas šiame papunktyje nustatytų kriterijų nesilaiko, Tiekėjui taikoma Specialiųjų sąlygų 9.5 punkte nurodyto dydžio bauda.</w:t>
            </w:r>
            <w:r w:rsidRPr="002E7E00">
              <w:rPr>
                <w:kern w:val="2"/>
                <w:sz w:val="28"/>
                <w:szCs w:val="24"/>
              </w:rPr>
              <w:t> </w:t>
            </w:r>
          </w:p>
        </w:tc>
      </w:tr>
      <w:tr w:rsidR="001A03D8" w14:paraId="2EA56D89" w14:textId="77777777" w:rsidTr="001974B4">
        <w:trPr>
          <w:trHeight w:val="300"/>
        </w:trPr>
        <w:tc>
          <w:tcPr>
            <w:tcW w:w="2557" w:type="dxa"/>
          </w:tcPr>
          <w:p w14:paraId="7D5F00CB" w14:textId="4ED5F198" w:rsidR="001A03D8" w:rsidRDefault="001A03D8" w:rsidP="001A03D8">
            <w:pPr>
              <w:rPr>
                <w:b/>
                <w:bCs/>
                <w:kern w:val="2"/>
                <w:szCs w:val="24"/>
              </w:rPr>
            </w:pPr>
            <w:r>
              <w:rPr>
                <w:b/>
                <w:bCs/>
                <w:kern w:val="2"/>
                <w:szCs w:val="24"/>
              </w:rPr>
              <w:lastRenderedPageBreak/>
              <w:t xml:space="preserve">13.2. Su perkamomis Prekėmis susiję socialiniai kriterijai </w:t>
            </w:r>
          </w:p>
        </w:tc>
        <w:tc>
          <w:tcPr>
            <w:tcW w:w="7077" w:type="dxa"/>
            <w:gridSpan w:val="2"/>
          </w:tcPr>
          <w:p w14:paraId="2150AA63" w14:textId="2D622E3D" w:rsidR="001A03D8" w:rsidRPr="008615B9" w:rsidRDefault="001A03D8" w:rsidP="001A03D8">
            <w:pPr>
              <w:jc w:val="both"/>
              <w:rPr>
                <w:shd w:val="clear" w:color="auto" w:fill="FFFFFF"/>
              </w:rPr>
            </w:pPr>
            <w:r>
              <w:rPr>
                <w:szCs w:val="22"/>
              </w:rPr>
              <w:t xml:space="preserve">Netaikoma </w:t>
            </w:r>
          </w:p>
        </w:tc>
      </w:tr>
      <w:tr w:rsidR="001A03D8" w14:paraId="52B3838E" w14:textId="77777777" w:rsidTr="003545E4">
        <w:trPr>
          <w:trHeight w:val="300"/>
        </w:trPr>
        <w:tc>
          <w:tcPr>
            <w:tcW w:w="9634" w:type="dxa"/>
            <w:gridSpan w:val="3"/>
          </w:tcPr>
          <w:p w14:paraId="35E8BCB5" w14:textId="32440D1D" w:rsidR="001A03D8" w:rsidRDefault="001A03D8" w:rsidP="001A03D8">
            <w:pPr>
              <w:jc w:val="center"/>
              <w:rPr>
                <w:b/>
                <w:bCs/>
                <w:kern w:val="2"/>
                <w:szCs w:val="24"/>
              </w:rPr>
            </w:pPr>
            <w:r>
              <w:rPr>
                <w:b/>
                <w:bCs/>
                <w:kern w:val="2"/>
                <w:szCs w:val="24"/>
              </w:rPr>
              <w:t xml:space="preserve">14. BENDRŲJŲ SĄLYGŲ PAKEITIMAI IR PAPILDYMAI </w:t>
            </w:r>
          </w:p>
          <w:p w14:paraId="3C9C4944" w14:textId="77777777" w:rsidR="001A03D8" w:rsidRDefault="001A03D8" w:rsidP="001A03D8">
            <w:pPr>
              <w:jc w:val="center"/>
              <w:rPr>
                <w:kern w:val="2"/>
                <w:szCs w:val="24"/>
              </w:rPr>
            </w:pPr>
            <w:r>
              <w:rPr>
                <w:kern w:val="2"/>
                <w:szCs w:val="24"/>
              </w:rPr>
              <w:t xml:space="preserve">(jeigu būtina dėl konkretaus Sutarties dalyko specifikos) </w:t>
            </w:r>
          </w:p>
        </w:tc>
      </w:tr>
      <w:tr w:rsidR="001A03D8" w14:paraId="3C21E710" w14:textId="77777777" w:rsidTr="00C832B8">
        <w:trPr>
          <w:trHeight w:val="990"/>
        </w:trPr>
        <w:tc>
          <w:tcPr>
            <w:tcW w:w="2557" w:type="dxa"/>
          </w:tcPr>
          <w:p w14:paraId="40B07571" w14:textId="64DEFE47" w:rsidR="001A03D8" w:rsidRDefault="001A03D8" w:rsidP="001A03D8">
            <w:pPr>
              <w:rPr>
                <w:b/>
                <w:bCs/>
                <w:kern w:val="2"/>
                <w:szCs w:val="24"/>
              </w:rPr>
            </w:pPr>
            <w:r>
              <w:rPr>
                <w:b/>
                <w:bCs/>
                <w:kern w:val="2"/>
                <w:szCs w:val="24"/>
              </w:rPr>
              <w:t>14.1.</w:t>
            </w:r>
          </w:p>
        </w:tc>
        <w:tc>
          <w:tcPr>
            <w:tcW w:w="7077" w:type="dxa"/>
            <w:gridSpan w:val="2"/>
          </w:tcPr>
          <w:p w14:paraId="4C9646AB" w14:textId="47B8C1A9" w:rsidR="001A03D8" w:rsidRPr="00C832B8" w:rsidRDefault="0096327E" w:rsidP="00C832B8">
            <w:pPr>
              <w:jc w:val="both"/>
              <w:rPr>
                <w:kern w:val="2"/>
                <w:szCs w:val="24"/>
              </w:rPr>
            </w:pPr>
            <w:r>
              <w:rPr>
                <w:kern w:val="2"/>
                <w:szCs w:val="24"/>
              </w:rPr>
              <w:t xml:space="preserve">Sutarties Bendrosiose sąlygose nurodytos alternatyvios nuostatos (su prierašu „jei taikoma“ ir pan.) taikomos tik tokiu atveju, jeigu jos konkrečiai aprašomos Sutarties Specialiosiose sąlygose arba prieduose. </w:t>
            </w:r>
            <w:r w:rsidR="00C832B8" w:rsidRPr="00AE2E03">
              <w:rPr>
                <w:szCs w:val="24"/>
              </w:rPr>
              <w:t xml:space="preserve"> </w:t>
            </w:r>
          </w:p>
        </w:tc>
      </w:tr>
      <w:tr w:rsidR="001A03D8" w14:paraId="47F15456" w14:textId="77777777" w:rsidTr="003545E4">
        <w:trPr>
          <w:trHeight w:val="300"/>
        </w:trPr>
        <w:tc>
          <w:tcPr>
            <w:tcW w:w="9634" w:type="dxa"/>
            <w:gridSpan w:val="3"/>
          </w:tcPr>
          <w:p w14:paraId="7BAA1B96" w14:textId="313B2119" w:rsidR="001A03D8" w:rsidRDefault="001A03D8" w:rsidP="001A03D8">
            <w:pPr>
              <w:jc w:val="center"/>
              <w:rPr>
                <w:b/>
                <w:bCs/>
                <w:kern w:val="2"/>
                <w:szCs w:val="24"/>
              </w:rPr>
            </w:pPr>
            <w:r>
              <w:rPr>
                <w:b/>
                <w:bCs/>
                <w:kern w:val="2"/>
                <w:szCs w:val="24"/>
              </w:rPr>
              <w:t>15. SUTARTIES PRIEDAI</w:t>
            </w:r>
          </w:p>
        </w:tc>
      </w:tr>
      <w:tr w:rsidR="001A03D8" w14:paraId="17C7A2C3" w14:textId="77777777" w:rsidTr="001974B4">
        <w:trPr>
          <w:trHeight w:val="300"/>
        </w:trPr>
        <w:tc>
          <w:tcPr>
            <w:tcW w:w="2557" w:type="dxa"/>
          </w:tcPr>
          <w:p w14:paraId="103D310D" w14:textId="545D92BC" w:rsidR="001A03D8" w:rsidRDefault="001A03D8" w:rsidP="001A03D8">
            <w:pPr>
              <w:rPr>
                <w:b/>
                <w:bCs/>
                <w:kern w:val="2"/>
                <w:szCs w:val="24"/>
              </w:rPr>
            </w:pPr>
            <w:r>
              <w:rPr>
                <w:b/>
                <w:bCs/>
                <w:kern w:val="2"/>
                <w:szCs w:val="24"/>
              </w:rPr>
              <w:t>15.1. Priedas Nr. 1</w:t>
            </w:r>
          </w:p>
        </w:tc>
        <w:tc>
          <w:tcPr>
            <w:tcW w:w="7077" w:type="dxa"/>
            <w:gridSpan w:val="2"/>
          </w:tcPr>
          <w:p w14:paraId="168F6FFB" w14:textId="2BAECBC6" w:rsidR="001A03D8" w:rsidRPr="00C7081A" w:rsidRDefault="001A03D8" w:rsidP="001A03D8">
            <w:pPr>
              <w:rPr>
                <w:bCs/>
                <w:kern w:val="2"/>
                <w:szCs w:val="24"/>
              </w:rPr>
            </w:pPr>
            <w:r w:rsidRPr="00421945">
              <w:rPr>
                <w:bCs/>
                <w:kern w:val="2"/>
                <w:szCs w:val="24"/>
              </w:rPr>
              <w:t>Techninė specifikacija</w:t>
            </w:r>
            <w:r w:rsidR="00C832B8">
              <w:rPr>
                <w:bCs/>
                <w:kern w:val="2"/>
                <w:szCs w:val="24"/>
              </w:rPr>
              <w:t>.</w:t>
            </w:r>
          </w:p>
        </w:tc>
      </w:tr>
      <w:tr w:rsidR="001A03D8" w14:paraId="4F41A4DA" w14:textId="77777777" w:rsidTr="001974B4">
        <w:trPr>
          <w:trHeight w:val="300"/>
        </w:trPr>
        <w:tc>
          <w:tcPr>
            <w:tcW w:w="2557" w:type="dxa"/>
          </w:tcPr>
          <w:p w14:paraId="0B47B23E" w14:textId="0B57BD4E" w:rsidR="001A03D8" w:rsidRDefault="00B8727C" w:rsidP="001A03D8">
            <w:pPr>
              <w:rPr>
                <w:b/>
                <w:bCs/>
                <w:kern w:val="2"/>
                <w:szCs w:val="24"/>
              </w:rPr>
            </w:pPr>
            <w:r>
              <w:rPr>
                <w:b/>
                <w:bCs/>
                <w:kern w:val="2"/>
                <w:szCs w:val="24"/>
              </w:rPr>
              <w:t>15.2. Priedas Nr. 2</w:t>
            </w:r>
          </w:p>
        </w:tc>
        <w:tc>
          <w:tcPr>
            <w:tcW w:w="7077" w:type="dxa"/>
            <w:gridSpan w:val="2"/>
          </w:tcPr>
          <w:p w14:paraId="588DB410" w14:textId="0C176E97" w:rsidR="001A03D8" w:rsidRPr="00795EC3" w:rsidRDefault="00B8727C" w:rsidP="001A03D8">
            <w:pPr>
              <w:rPr>
                <w:bCs/>
                <w:kern w:val="2"/>
                <w:szCs w:val="24"/>
              </w:rPr>
            </w:pPr>
            <w:r>
              <w:rPr>
                <w:bCs/>
                <w:kern w:val="2"/>
                <w:szCs w:val="24"/>
              </w:rPr>
              <w:t>Tiekėjo pasiūlymas</w:t>
            </w:r>
          </w:p>
        </w:tc>
      </w:tr>
      <w:tr w:rsidR="001A03D8" w14:paraId="678E9514" w14:textId="77777777" w:rsidTr="003545E4">
        <w:tc>
          <w:tcPr>
            <w:tcW w:w="9634" w:type="dxa"/>
            <w:gridSpan w:val="3"/>
          </w:tcPr>
          <w:p w14:paraId="39CC2405" w14:textId="5FD45C2C" w:rsidR="001A03D8" w:rsidRDefault="001A03D8" w:rsidP="001A03D8">
            <w:pPr>
              <w:jc w:val="center"/>
              <w:rPr>
                <w:b/>
                <w:bCs/>
                <w:kern w:val="2"/>
                <w:szCs w:val="24"/>
              </w:rPr>
            </w:pPr>
            <w:r>
              <w:rPr>
                <w:b/>
                <w:bCs/>
                <w:kern w:val="2"/>
                <w:szCs w:val="24"/>
              </w:rPr>
              <w:t>16. ŠALIŲ ATSTOVŲ PARAŠAI</w:t>
            </w:r>
          </w:p>
        </w:tc>
      </w:tr>
      <w:tr w:rsidR="001A03D8" w14:paraId="1B531D60" w14:textId="77777777" w:rsidTr="001974B4">
        <w:tc>
          <w:tcPr>
            <w:tcW w:w="4803" w:type="dxa"/>
            <w:gridSpan w:val="2"/>
          </w:tcPr>
          <w:p w14:paraId="63FA021F" w14:textId="77777777" w:rsidR="001A03D8" w:rsidRDefault="001A03D8" w:rsidP="001A03D8">
            <w:pPr>
              <w:jc w:val="center"/>
              <w:rPr>
                <w:b/>
                <w:bCs/>
                <w:kern w:val="2"/>
                <w:szCs w:val="24"/>
              </w:rPr>
            </w:pPr>
            <w:r>
              <w:rPr>
                <w:b/>
                <w:bCs/>
                <w:kern w:val="2"/>
                <w:szCs w:val="24"/>
              </w:rPr>
              <w:t>PIRKĖJAS</w:t>
            </w:r>
          </w:p>
        </w:tc>
        <w:tc>
          <w:tcPr>
            <w:tcW w:w="4831" w:type="dxa"/>
          </w:tcPr>
          <w:p w14:paraId="093041A5" w14:textId="77777777" w:rsidR="001A03D8" w:rsidRDefault="001A03D8" w:rsidP="001A03D8">
            <w:pPr>
              <w:jc w:val="center"/>
              <w:rPr>
                <w:b/>
                <w:bCs/>
                <w:kern w:val="2"/>
                <w:szCs w:val="24"/>
              </w:rPr>
            </w:pPr>
            <w:r>
              <w:rPr>
                <w:b/>
                <w:bCs/>
                <w:kern w:val="2"/>
                <w:szCs w:val="24"/>
              </w:rPr>
              <w:t>TIEKĖJAS</w:t>
            </w:r>
          </w:p>
        </w:tc>
      </w:tr>
      <w:tr w:rsidR="001A03D8" w14:paraId="1B8C4AFE" w14:textId="77777777" w:rsidTr="001974B4">
        <w:trPr>
          <w:trHeight w:val="309"/>
        </w:trPr>
        <w:tc>
          <w:tcPr>
            <w:tcW w:w="4803" w:type="dxa"/>
            <w:gridSpan w:val="2"/>
          </w:tcPr>
          <w:p w14:paraId="5E9ABBD2" w14:textId="7805E9A4" w:rsidR="001A03D8" w:rsidRDefault="001A03D8" w:rsidP="001A03D8">
            <w:pPr>
              <w:jc w:val="center"/>
              <w:rPr>
                <w:color w:val="4472C4"/>
                <w:kern w:val="2"/>
                <w:szCs w:val="24"/>
              </w:rPr>
            </w:pPr>
            <w:r w:rsidRPr="001323C0">
              <w:rPr>
                <w:szCs w:val="24"/>
              </w:rPr>
              <w:t>Generalinis direktorius</w:t>
            </w:r>
          </w:p>
        </w:tc>
        <w:tc>
          <w:tcPr>
            <w:tcW w:w="4831" w:type="dxa"/>
          </w:tcPr>
          <w:p w14:paraId="71246038" w14:textId="5BF12224" w:rsidR="001A03D8" w:rsidRDefault="001A03D8" w:rsidP="001A03D8">
            <w:pPr>
              <w:jc w:val="center"/>
              <w:rPr>
                <w:b/>
                <w:bCs/>
                <w:kern w:val="2"/>
                <w:szCs w:val="24"/>
              </w:rPr>
            </w:pPr>
            <w:r w:rsidRPr="0000783B">
              <w:rPr>
                <w:color w:val="0070C0"/>
                <w:sz w:val="22"/>
                <w:szCs w:val="22"/>
              </w:rPr>
              <w:t>[įrašyti]</w:t>
            </w:r>
          </w:p>
        </w:tc>
      </w:tr>
      <w:tr w:rsidR="001A03D8" w14:paraId="4D3E28A2" w14:textId="77777777" w:rsidTr="001974B4">
        <w:tc>
          <w:tcPr>
            <w:tcW w:w="4803" w:type="dxa"/>
            <w:gridSpan w:val="2"/>
          </w:tcPr>
          <w:p w14:paraId="7025B57B" w14:textId="77777777" w:rsidR="001A03D8" w:rsidRPr="00C7081A" w:rsidRDefault="001A03D8" w:rsidP="001A03D8">
            <w:pPr>
              <w:rPr>
                <w:bCs/>
                <w:color w:val="4472C4"/>
                <w:kern w:val="2"/>
                <w:szCs w:val="24"/>
              </w:rPr>
            </w:pPr>
          </w:p>
          <w:p w14:paraId="0EC54DAB" w14:textId="5345AB2A" w:rsidR="001A03D8" w:rsidRPr="00C7081A" w:rsidRDefault="001A03D8" w:rsidP="001A03D8">
            <w:pPr>
              <w:jc w:val="center"/>
              <w:rPr>
                <w:bCs/>
                <w:kern w:val="2"/>
                <w:szCs w:val="24"/>
              </w:rPr>
            </w:pPr>
            <w:r w:rsidRPr="00C7081A">
              <w:rPr>
                <w:bCs/>
                <w:kern w:val="2"/>
                <w:szCs w:val="24"/>
              </w:rPr>
              <w:t>(parašas)</w:t>
            </w:r>
          </w:p>
          <w:p w14:paraId="42414302" w14:textId="77777777" w:rsidR="001A03D8" w:rsidRPr="00C7081A" w:rsidRDefault="001A03D8" w:rsidP="001A03D8">
            <w:pPr>
              <w:jc w:val="center"/>
              <w:rPr>
                <w:bCs/>
                <w:color w:val="4472C4"/>
                <w:kern w:val="2"/>
                <w:szCs w:val="24"/>
              </w:rPr>
            </w:pPr>
          </w:p>
        </w:tc>
        <w:tc>
          <w:tcPr>
            <w:tcW w:w="4831" w:type="dxa"/>
          </w:tcPr>
          <w:p w14:paraId="5CB46BCE" w14:textId="77777777" w:rsidR="001A03D8" w:rsidRPr="00C7081A" w:rsidRDefault="001A03D8" w:rsidP="001A03D8">
            <w:pPr>
              <w:jc w:val="center"/>
              <w:rPr>
                <w:bCs/>
                <w:color w:val="4472C4"/>
                <w:kern w:val="2"/>
                <w:szCs w:val="24"/>
              </w:rPr>
            </w:pPr>
          </w:p>
          <w:p w14:paraId="1098B400" w14:textId="77777777" w:rsidR="001A03D8" w:rsidRPr="00C7081A" w:rsidRDefault="001A03D8" w:rsidP="001A03D8">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00783B">
          <w:headerReference w:type="even" r:id="rId12"/>
          <w:headerReference w:type="default" r:id="rId13"/>
          <w:footerReference w:type="even" r:id="rId14"/>
          <w:footerReference w:type="default" r:id="rId15"/>
          <w:headerReference w:type="first" r:id="rId16"/>
          <w:footerReference w:type="first" r:id="rId17"/>
          <w:pgSz w:w="12240" w:h="15840" w:code="1"/>
          <w:pgMar w:top="851" w:right="1440" w:bottom="1440"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4220C10D" w14:textId="191688C4"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1E484002" w14:textId="54CC6212"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3FDB221C" w14:textId="77777777"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2CEB5339" w14:textId="77777777" w:rsidR="00563D6F" w:rsidRDefault="00563D6F" w:rsidP="00B01E2D">
      <w:pPr>
        <w:widowControl w:val="0"/>
        <w:pBdr>
          <w:top w:val="nil"/>
          <w:left w:val="nil"/>
          <w:bottom w:val="nil"/>
          <w:right w:val="nil"/>
          <w:between w:val="nil"/>
        </w:pBdr>
        <w:tabs>
          <w:tab w:val="left" w:pos="567"/>
          <w:tab w:val="left" w:pos="851"/>
        </w:tabs>
        <w:jc w:val="center"/>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6FD5EF82"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r w:rsidRPr="00C046BB">
        <w:rPr>
          <w:bCs/>
          <w:kern w:val="2"/>
          <w:szCs w:val="24"/>
        </w:rPr>
        <w:t>Pirkėjas</w:t>
      </w:r>
      <w:r w:rsidR="002536AE">
        <w:rPr>
          <w:bCs/>
          <w:kern w:val="2"/>
          <w:szCs w:val="24"/>
        </w:rPr>
        <w:t xml:space="preserve"> </w:t>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40F66">
        <w:rPr>
          <w:bCs/>
          <w:kern w:val="2"/>
          <w:szCs w:val="24"/>
        </w:rPr>
        <w:tab/>
      </w:r>
      <w:r w:rsidRPr="00C046BB">
        <w:rPr>
          <w:bCs/>
          <w:kern w:val="2"/>
          <w:szCs w:val="24"/>
        </w:rPr>
        <w:t>Tiekėjas</w:t>
      </w:r>
    </w:p>
    <w:p w14:paraId="63892F37"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C046BB" w:rsidRDefault="009B3166" w:rsidP="009B3166">
      <w:pPr>
        <w:ind w:right="-1595"/>
        <w:jc w:val="both"/>
        <w:rPr>
          <w:szCs w:val="24"/>
        </w:rPr>
      </w:pPr>
      <w:r w:rsidRPr="00C046BB">
        <w:rPr>
          <w:szCs w:val="24"/>
        </w:rPr>
        <w:t>VšĮ Vilniaus universiteto ligoninė Santaros klinikos</w:t>
      </w:r>
    </w:p>
    <w:p w14:paraId="1609C509" w14:textId="7D93D3A8" w:rsidR="009B3166" w:rsidRPr="00C046BB" w:rsidRDefault="009B3166" w:rsidP="00421945">
      <w:pPr>
        <w:ind w:right="-660"/>
        <w:jc w:val="both"/>
        <w:rPr>
          <w:szCs w:val="24"/>
        </w:rPr>
      </w:pPr>
      <w:r w:rsidRPr="00C046BB">
        <w:rPr>
          <w:szCs w:val="24"/>
        </w:rPr>
        <w:t>Santariškių g. 2, LT-</w:t>
      </w:r>
      <w:r w:rsidR="00E371F2" w:rsidRPr="00C046BB">
        <w:rPr>
          <w:szCs w:val="24"/>
        </w:rPr>
        <w:t xml:space="preserve">08406 </w:t>
      </w:r>
      <w:r w:rsidRPr="00C046BB">
        <w:rPr>
          <w:szCs w:val="24"/>
        </w:rPr>
        <w:t>Vilnius</w:t>
      </w:r>
    </w:p>
    <w:p w14:paraId="0FD8B6D9" w14:textId="4BB1F026" w:rsidR="009B3166" w:rsidRPr="00C046BB" w:rsidRDefault="000C3233" w:rsidP="009B3166">
      <w:pPr>
        <w:ind w:right="-1595"/>
        <w:jc w:val="both"/>
        <w:rPr>
          <w:szCs w:val="24"/>
        </w:rPr>
      </w:pPr>
      <w:r>
        <w:rPr>
          <w:szCs w:val="24"/>
        </w:rPr>
        <w:t>Juridinio asmens</w:t>
      </w:r>
      <w:r w:rsidR="009B3166" w:rsidRPr="00C046BB">
        <w:rPr>
          <w:szCs w:val="24"/>
        </w:rPr>
        <w:t xml:space="preserve"> kodas 124364561 </w:t>
      </w:r>
    </w:p>
    <w:p w14:paraId="07EB6EBD" w14:textId="77777777" w:rsidR="009B3166" w:rsidRPr="00C046BB" w:rsidRDefault="009B3166" w:rsidP="009B3166">
      <w:pPr>
        <w:ind w:right="-1595"/>
        <w:jc w:val="both"/>
        <w:rPr>
          <w:szCs w:val="24"/>
        </w:rPr>
      </w:pPr>
      <w:r w:rsidRPr="00C046BB">
        <w:rPr>
          <w:szCs w:val="24"/>
        </w:rPr>
        <w:t>PVM mok. kodas LT243645610</w:t>
      </w:r>
    </w:p>
    <w:p w14:paraId="6E03FC35"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r w:rsidRPr="00C046BB">
        <w:rPr>
          <w:bCs/>
          <w:kern w:val="2"/>
          <w:szCs w:val="24"/>
        </w:rPr>
        <w:t>Generalinis direktorius</w:t>
      </w:r>
    </w:p>
    <w:p w14:paraId="46DE8982"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33A1F77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DCDBFE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4C6D652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E307B7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544D8D"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D20C49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2DDF6E"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AD58B9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AB7552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21A014F"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42AC6C5" w14:textId="1958FC95"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DE9EB3" w14:textId="487ADFD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CEA1865" w14:textId="2BB693A3"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4AAFDB" w14:textId="4A491DA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203793D" w14:textId="0A4F16BE"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7283AFC" w14:textId="7D6BA5B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5C16B52" w14:textId="083EFCCA"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374763F" w14:textId="55E936D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6EE8A100" w14:textId="6D757C3A"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4F2BA765" w14:textId="58C19DF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D4EEA2" w14:textId="01D38CA8"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BC7A74E" w14:textId="256A1D8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2FA90E3" w14:textId="1195490E"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72069D7" w14:textId="21892916"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5F9EB83" w14:textId="0495BC46"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F647350" w14:textId="13BB554F" w:rsidR="00C046BB" w:rsidRDefault="00C046BB" w:rsidP="009B3166">
      <w:pPr>
        <w:widowControl w:val="0"/>
        <w:pBdr>
          <w:top w:val="nil"/>
          <w:left w:val="nil"/>
          <w:bottom w:val="nil"/>
          <w:right w:val="nil"/>
          <w:between w:val="nil"/>
        </w:pBdr>
        <w:tabs>
          <w:tab w:val="left" w:pos="567"/>
          <w:tab w:val="left" w:pos="851"/>
        </w:tabs>
        <w:rPr>
          <w:bCs/>
          <w:kern w:val="2"/>
          <w:szCs w:val="24"/>
        </w:rPr>
      </w:pPr>
    </w:p>
    <w:p w14:paraId="14C47119" w14:textId="4F3384CD"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067A9992" w14:textId="28623B80"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5B915F96" w14:textId="730CDF45"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4FDE5BD7" w14:textId="20763806"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72500DC0" w14:textId="042C7B36"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68CC8FCA" w14:textId="084872F2" w:rsidR="00252488" w:rsidRDefault="00252488" w:rsidP="00252488">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xml:space="preserve">. </w:t>
      </w:r>
      <w:r>
        <w:rPr>
          <w:bCs/>
          <w:caps/>
          <w:kern w:val="2"/>
          <w:sz w:val="22"/>
          <w:szCs w:val="24"/>
        </w:rPr>
        <w:t>2</w:t>
      </w:r>
    </w:p>
    <w:p w14:paraId="5E6E6941" w14:textId="4CC8DD6C" w:rsidR="00252488" w:rsidRDefault="00252488" w:rsidP="00252488">
      <w:pPr>
        <w:widowControl w:val="0"/>
        <w:pBdr>
          <w:top w:val="nil"/>
          <w:left w:val="nil"/>
          <w:bottom w:val="nil"/>
          <w:right w:val="nil"/>
          <w:between w:val="nil"/>
        </w:pBdr>
        <w:tabs>
          <w:tab w:val="left" w:pos="567"/>
          <w:tab w:val="left" w:pos="851"/>
        </w:tabs>
        <w:jc w:val="center"/>
        <w:rPr>
          <w:bCs/>
          <w:caps/>
          <w:kern w:val="2"/>
          <w:sz w:val="22"/>
          <w:szCs w:val="24"/>
        </w:rPr>
      </w:pPr>
    </w:p>
    <w:p w14:paraId="50E346E9" w14:textId="3A2427D8" w:rsidR="00252488" w:rsidRDefault="00252488" w:rsidP="00252488">
      <w:pPr>
        <w:widowControl w:val="0"/>
        <w:pBdr>
          <w:top w:val="nil"/>
          <w:left w:val="nil"/>
          <w:bottom w:val="nil"/>
          <w:right w:val="nil"/>
          <w:between w:val="nil"/>
        </w:pBdr>
        <w:tabs>
          <w:tab w:val="left" w:pos="567"/>
          <w:tab w:val="left" w:pos="851"/>
        </w:tabs>
        <w:jc w:val="center"/>
        <w:rPr>
          <w:bCs/>
          <w:caps/>
          <w:kern w:val="2"/>
          <w:sz w:val="22"/>
          <w:szCs w:val="24"/>
        </w:rPr>
      </w:pPr>
    </w:p>
    <w:p w14:paraId="18196316" w14:textId="665DB2B2" w:rsidR="00252488" w:rsidRDefault="00252488" w:rsidP="00252488">
      <w:pPr>
        <w:widowControl w:val="0"/>
        <w:pBdr>
          <w:top w:val="nil"/>
          <w:left w:val="nil"/>
          <w:bottom w:val="nil"/>
          <w:right w:val="nil"/>
          <w:between w:val="nil"/>
        </w:pBdr>
        <w:tabs>
          <w:tab w:val="left" w:pos="567"/>
          <w:tab w:val="left" w:pos="851"/>
        </w:tabs>
        <w:jc w:val="center"/>
        <w:rPr>
          <w:bCs/>
          <w:caps/>
          <w:kern w:val="2"/>
          <w:sz w:val="22"/>
          <w:szCs w:val="24"/>
        </w:rPr>
      </w:pPr>
      <w:r>
        <w:rPr>
          <w:b/>
          <w:bCs/>
          <w:caps/>
          <w:kern w:val="2"/>
          <w:sz w:val="22"/>
          <w:szCs w:val="24"/>
        </w:rPr>
        <w:t>TIEKĖJO PASIŪLYMAS</w:t>
      </w:r>
    </w:p>
    <w:p w14:paraId="339D3C1E" w14:textId="5FBF30F3" w:rsidR="00252488" w:rsidRPr="00252488" w:rsidRDefault="00252488" w:rsidP="00252488">
      <w:pPr>
        <w:widowControl w:val="0"/>
        <w:pBdr>
          <w:top w:val="nil"/>
          <w:left w:val="nil"/>
          <w:bottom w:val="nil"/>
          <w:right w:val="nil"/>
          <w:between w:val="nil"/>
        </w:pBdr>
        <w:tabs>
          <w:tab w:val="left" w:pos="567"/>
          <w:tab w:val="left" w:pos="851"/>
        </w:tabs>
        <w:jc w:val="center"/>
        <w:rPr>
          <w:bCs/>
          <w:caps/>
          <w:kern w:val="2"/>
          <w:sz w:val="22"/>
          <w:szCs w:val="24"/>
        </w:rPr>
      </w:pPr>
    </w:p>
    <w:p w14:paraId="397F6EDB" w14:textId="3F9BE58E" w:rsidR="00252488" w:rsidRDefault="00252488" w:rsidP="00252488">
      <w:pPr>
        <w:widowControl w:val="0"/>
        <w:pBdr>
          <w:top w:val="nil"/>
          <w:left w:val="nil"/>
          <w:bottom w:val="nil"/>
          <w:right w:val="nil"/>
          <w:between w:val="nil"/>
        </w:pBdr>
        <w:tabs>
          <w:tab w:val="left" w:pos="567"/>
          <w:tab w:val="left" w:pos="851"/>
        </w:tabs>
        <w:jc w:val="center"/>
        <w:rPr>
          <w:bCs/>
          <w:kern w:val="2"/>
          <w:szCs w:val="24"/>
        </w:rPr>
      </w:pPr>
      <w:r>
        <w:rPr>
          <w:bCs/>
          <w:kern w:val="2"/>
          <w:szCs w:val="24"/>
        </w:rPr>
        <w:t>[pildoma pagal pirkimo dalį (-</w:t>
      </w:r>
      <w:proofErr w:type="spellStart"/>
      <w:r>
        <w:rPr>
          <w:bCs/>
          <w:kern w:val="2"/>
          <w:szCs w:val="24"/>
        </w:rPr>
        <w:t>is</w:t>
      </w:r>
      <w:proofErr w:type="spellEnd"/>
      <w:r>
        <w:rPr>
          <w:bCs/>
          <w:kern w:val="2"/>
          <w:szCs w:val="24"/>
        </w:rPr>
        <w:t>)]</w:t>
      </w:r>
    </w:p>
    <w:p w14:paraId="21D4F52D" w14:textId="01CE91EC" w:rsidR="00C046BB" w:rsidRDefault="00C046BB" w:rsidP="009B3166">
      <w:pPr>
        <w:widowControl w:val="0"/>
        <w:pBdr>
          <w:top w:val="nil"/>
          <w:left w:val="nil"/>
          <w:bottom w:val="nil"/>
          <w:right w:val="nil"/>
          <w:between w:val="nil"/>
        </w:pBdr>
        <w:tabs>
          <w:tab w:val="left" w:pos="567"/>
          <w:tab w:val="left" w:pos="851"/>
        </w:tabs>
        <w:rPr>
          <w:bCs/>
          <w:kern w:val="2"/>
          <w:szCs w:val="24"/>
        </w:rPr>
      </w:pPr>
    </w:p>
    <w:p w14:paraId="6CC0C4A7" w14:textId="3A45242C" w:rsidR="00C046BB" w:rsidRDefault="00C046BB" w:rsidP="009B3166">
      <w:pPr>
        <w:widowControl w:val="0"/>
        <w:pBdr>
          <w:top w:val="nil"/>
          <w:left w:val="nil"/>
          <w:bottom w:val="nil"/>
          <w:right w:val="nil"/>
          <w:between w:val="nil"/>
        </w:pBdr>
        <w:tabs>
          <w:tab w:val="left" w:pos="567"/>
          <w:tab w:val="left" w:pos="851"/>
        </w:tabs>
        <w:rPr>
          <w:bCs/>
          <w:kern w:val="2"/>
          <w:szCs w:val="24"/>
        </w:rPr>
      </w:pPr>
    </w:p>
    <w:p w14:paraId="09896CF3" w14:textId="5AC24A7B" w:rsidR="00C046BB" w:rsidRDefault="00C046BB" w:rsidP="009B3166">
      <w:pPr>
        <w:widowControl w:val="0"/>
        <w:pBdr>
          <w:top w:val="nil"/>
          <w:left w:val="nil"/>
          <w:bottom w:val="nil"/>
          <w:right w:val="nil"/>
          <w:between w:val="nil"/>
        </w:pBdr>
        <w:tabs>
          <w:tab w:val="left" w:pos="567"/>
          <w:tab w:val="left" w:pos="851"/>
        </w:tabs>
        <w:rPr>
          <w:bCs/>
          <w:kern w:val="2"/>
          <w:szCs w:val="24"/>
        </w:rPr>
      </w:pPr>
    </w:p>
    <w:p w14:paraId="6AB03EFA" w14:textId="066CE50D"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1A9BCA3D" w14:textId="65AA4792"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50889BD5" w14:textId="23CF1485"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5A52F97F" w14:textId="3C3A6C68"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17F001A3" w14:textId="77777777" w:rsidR="009803D8" w:rsidRPr="00C046BB" w:rsidRDefault="009803D8" w:rsidP="009803D8">
      <w:pPr>
        <w:widowControl w:val="0"/>
        <w:pBdr>
          <w:top w:val="nil"/>
          <w:left w:val="nil"/>
          <w:bottom w:val="nil"/>
          <w:right w:val="nil"/>
          <w:between w:val="nil"/>
        </w:pBdr>
        <w:tabs>
          <w:tab w:val="left" w:pos="567"/>
          <w:tab w:val="left" w:pos="851"/>
        </w:tabs>
        <w:rPr>
          <w:bCs/>
          <w:kern w:val="2"/>
          <w:szCs w:val="24"/>
        </w:rPr>
      </w:pPr>
      <w:r w:rsidRPr="00C046BB">
        <w:rPr>
          <w:bCs/>
          <w:kern w:val="2"/>
          <w:szCs w:val="24"/>
        </w:rPr>
        <w:t>Pirkėjas</w:t>
      </w:r>
      <w:r>
        <w:rPr>
          <w:bCs/>
          <w:kern w:val="2"/>
          <w:szCs w:val="24"/>
        </w:rPr>
        <w:t xml:space="preserve"> </w:t>
      </w:r>
      <w:r>
        <w:rPr>
          <w:bCs/>
          <w:kern w:val="2"/>
          <w:szCs w:val="24"/>
        </w:rPr>
        <w:tab/>
      </w:r>
      <w:r>
        <w:rPr>
          <w:bCs/>
          <w:kern w:val="2"/>
          <w:szCs w:val="24"/>
        </w:rPr>
        <w:tab/>
      </w:r>
      <w:r>
        <w:rPr>
          <w:bCs/>
          <w:kern w:val="2"/>
          <w:szCs w:val="24"/>
        </w:rPr>
        <w:tab/>
      </w:r>
      <w:r>
        <w:rPr>
          <w:bCs/>
          <w:kern w:val="2"/>
          <w:szCs w:val="24"/>
        </w:rPr>
        <w:tab/>
      </w:r>
      <w:r>
        <w:rPr>
          <w:bCs/>
          <w:kern w:val="2"/>
          <w:szCs w:val="24"/>
        </w:rPr>
        <w:tab/>
      </w:r>
      <w:r>
        <w:rPr>
          <w:bCs/>
          <w:kern w:val="2"/>
          <w:szCs w:val="24"/>
        </w:rPr>
        <w:tab/>
      </w:r>
      <w:r>
        <w:rPr>
          <w:bCs/>
          <w:kern w:val="2"/>
          <w:szCs w:val="24"/>
        </w:rPr>
        <w:tab/>
      </w:r>
      <w:r>
        <w:rPr>
          <w:bCs/>
          <w:kern w:val="2"/>
          <w:szCs w:val="24"/>
        </w:rPr>
        <w:tab/>
      </w:r>
      <w:r>
        <w:rPr>
          <w:bCs/>
          <w:kern w:val="2"/>
          <w:szCs w:val="24"/>
        </w:rPr>
        <w:tab/>
      </w:r>
      <w:r>
        <w:rPr>
          <w:bCs/>
          <w:kern w:val="2"/>
          <w:szCs w:val="24"/>
        </w:rPr>
        <w:tab/>
      </w:r>
      <w:r w:rsidRPr="00C046BB">
        <w:rPr>
          <w:bCs/>
          <w:kern w:val="2"/>
          <w:szCs w:val="24"/>
        </w:rPr>
        <w:t>Tiekėjas</w:t>
      </w:r>
    </w:p>
    <w:p w14:paraId="6D7B7645" w14:textId="77777777" w:rsidR="009803D8" w:rsidRPr="00C046BB" w:rsidRDefault="009803D8" w:rsidP="009803D8">
      <w:pPr>
        <w:widowControl w:val="0"/>
        <w:pBdr>
          <w:top w:val="nil"/>
          <w:left w:val="nil"/>
          <w:bottom w:val="nil"/>
          <w:right w:val="nil"/>
          <w:between w:val="nil"/>
        </w:pBdr>
        <w:tabs>
          <w:tab w:val="left" w:pos="567"/>
          <w:tab w:val="left" w:pos="851"/>
        </w:tabs>
        <w:rPr>
          <w:bCs/>
          <w:kern w:val="2"/>
          <w:szCs w:val="24"/>
        </w:rPr>
      </w:pPr>
    </w:p>
    <w:p w14:paraId="34752DC7" w14:textId="77777777" w:rsidR="009803D8" w:rsidRPr="00C046BB" w:rsidRDefault="009803D8" w:rsidP="009803D8">
      <w:pPr>
        <w:ind w:right="-1595"/>
        <w:jc w:val="both"/>
        <w:rPr>
          <w:szCs w:val="24"/>
        </w:rPr>
      </w:pPr>
      <w:r w:rsidRPr="00C046BB">
        <w:rPr>
          <w:szCs w:val="24"/>
        </w:rPr>
        <w:t>VšĮ Vilniaus universiteto ligoninė Santaros klinikos</w:t>
      </w:r>
    </w:p>
    <w:p w14:paraId="0E69F6C0" w14:textId="77777777" w:rsidR="009803D8" w:rsidRPr="00C046BB" w:rsidRDefault="009803D8" w:rsidP="009803D8">
      <w:pPr>
        <w:ind w:right="-660"/>
        <w:jc w:val="both"/>
        <w:rPr>
          <w:szCs w:val="24"/>
        </w:rPr>
      </w:pPr>
      <w:r w:rsidRPr="00C046BB">
        <w:rPr>
          <w:szCs w:val="24"/>
        </w:rPr>
        <w:t>Santariškių g. 2, LT-08406 Vilnius</w:t>
      </w:r>
    </w:p>
    <w:p w14:paraId="122BD3DB" w14:textId="77777777" w:rsidR="009803D8" w:rsidRPr="00C046BB" w:rsidRDefault="009803D8" w:rsidP="009803D8">
      <w:pPr>
        <w:ind w:right="-1595"/>
        <w:jc w:val="both"/>
        <w:rPr>
          <w:szCs w:val="24"/>
        </w:rPr>
      </w:pPr>
      <w:r>
        <w:rPr>
          <w:szCs w:val="24"/>
        </w:rPr>
        <w:t>Juridinio asmens</w:t>
      </w:r>
      <w:r w:rsidRPr="00C046BB">
        <w:rPr>
          <w:szCs w:val="24"/>
        </w:rPr>
        <w:t xml:space="preserve"> kodas 124364561 </w:t>
      </w:r>
    </w:p>
    <w:p w14:paraId="366B4390" w14:textId="77777777" w:rsidR="009803D8" w:rsidRPr="00C046BB" w:rsidRDefault="009803D8" w:rsidP="009803D8">
      <w:pPr>
        <w:ind w:right="-1595"/>
        <w:jc w:val="both"/>
        <w:rPr>
          <w:szCs w:val="24"/>
        </w:rPr>
      </w:pPr>
      <w:r w:rsidRPr="00C046BB">
        <w:rPr>
          <w:szCs w:val="24"/>
        </w:rPr>
        <w:t>PVM mok. kodas LT243645610</w:t>
      </w:r>
    </w:p>
    <w:p w14:paraId="4C0BBE55" w14:textId="77777777" w:rsidR="009803D8" w:rsidRPr="00C046BB" w:rsidRDefault="009803D8" w:rsidP="009803D8">
      <w:pPr>
        <w:widowControl w:val="0"/>
        <w:pBdr>
          <w:top w:val="nil"/>
          <w:left w:val="nil"/>
          <w:bottom w:val="nil"/>
          <w:right w:val="nil"/>
          <w:between w:val="nil"/>
        </w:pBdr>
        <w:tabs>
          <w:tab w:val="left" w:pos="567"/>
          <w:tab w:val="left" w:pos="851"/>
        </w:tabs>
        <w:rPr>
          <w:bCs/>
          <w:kern w:val="2"/>
          <w:szCs w:val="24"/>
        </w:rPr>
      </w:pPr>
    </w:p>
    <w:p w14:paraId="7991A69B" w14:textId="77777777" w:rsidR="009803D8" w:rsidRPr="00C046BB" w:rsidRDefault="009803D8" w:rsidP="009803D8">
      <w:pPr>
        <w:widowControl w:val="0"/>
        <w:pBdr>
          <w:top w:val="nil"/>
          <w:left w:val="nil"/>
          <w:bottom w:val="nil"/>
          <w:right w:val="nil"/>
          <w:between w:val="nil"/>
        </w:pBdr>
        <w:tabs>
          <w:tab w:val="left" w:pos="567"/>
          <w:tab w:val="left" w:pos="851"/>
        </w:tabs>
        <w:rPr>
          <w:bCs/>
          <w:kern w:val="2"/>
          <w:szCs w:val="24"/>
        </w:rPr>
      </w:pPr>
      <w:r w:rsidRPr="00C046BB">
        <w:rPr>
          <w:bCs/>
          <w:kern w:val="2"/>
          <w:szCs w:val="24"/>
        </w:rPr>
        <w:t>Generalinis direktorius</w:t>
      </w:r>
    </w:p>
    <w:p w14:paraId="63B17F71" w14:textId="77777777" w:rsidR="009803D8" w:rsidRPr="00C046BB" w:rsidRDefault="009803D8" w:rsidP="009803D8">
      <w:pPr>
        <w:widowControl w:val="0"/>
        <w:pBdr>
          <w:top w:val="nil"/>
          <w:left w:val="nil"/>
          <w:bottom w:val="nil"/>
          <w:right w:val="nil"/>
          <w:between w:val="nil"/>
        </w:pBdr>
        <w:tabs>
          <w:tab w:val="left" w:pos="567"/>
          <w:tab w:val="left" w:pos="851"/>
        </w:tabs>
        <w:rPr>
          <w:bCs/>
          <w:kern w:val="2"/>
          <w:szCs w:val="24"/>
        </w:rPr>
      </w:pPr>
    </w:p>
    <w:p w14:paraId="2B730B10" w14:textId="77777777" w:rsidR="009803D8" w:rsidRDefault="009803D8" w:rsidP="009803D8">
      <w:pPr>
        <w:widowControl w:val="0"/>
        <w:pBdr>
          <w:top w:val="nil"/>
          <w:left w:val="nil"/>
          <w:bottom w:val="nil"/>
          <w:right w:val="nil"/>
          <w:between w:val="nil"/>
        </w:pBdr>
        <w:tabs>
          <w:tab w:val="left" w:pos="567"/>
          <w:tab w:val="left" w:pos="851"/>
        </w:tabs>
        <w:rPr>
          <w:bCs/>
          <w:kern w:val="2"/>
          <w:szCs w:val="24"/>
        </w:rPr>
      </w:pPr>
    </w:p>
    <w:p w14:paraId="285DA182" w14:textId="2B09B5E5"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2E93D87A" w14:textId="78E48254"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7168D1B0" w14:textId="5D4152D5"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2E13A5FF" w14:textId="42D401B3"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5A52169A" w14:textId="1A3A0556"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3EEB8397" w14:textId="6C241F67"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40D5B3AB" w14:textId="615A8DB2"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69FAD90D" w14:textId="5765BD6F"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752132DF" w14:textId="15A99644"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25F66EEB" w14:textId="7A09FA65"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6BD7EA67" w14:textId="5548590B"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538CDCED" w14:textId="5E045972"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67E85316" w14:textId="56C869AD"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618B0742" w14:textId="2DA26105"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4970C1D3" w14:textId="05C8A0A9"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7CC8212C" w14:textId="24AD9484"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3227456D" w14:textId="279F264A"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1F8CA77F" w14:textId="720278F8"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63E7A705" w14:textId="48FF5E6E"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07D68638" w14:textId="4BE7C72B"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15D098A3" w14:textId="7E7C5AC9"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03B3CC5B" w14:textId="23B371F0"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3626C47A" w14:textId="084C5052"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72B1FEA7" w14:textId="31833498" w:rsidR="00252488" w:rsidRDefault="00252488" w:rsidP="009B3166">
      <w:pPr>
        <w:widowControl w:val="0"/>
        <w:pBdr>
          <w:top w:val="nil"/>
          <w:left w:val="nil"/>
          <w:bottom w:val="nil"/>
          <w:right w:val="nil"/>
          <w:between w:val="nil"/>
        </w:pBdr>
        <w:tabs>
          <w:tab w:val="left" w:pos="567"/>
          <w:tab w:val="left" w:pos="851"/>
        </w:tabs>
        <w:rPr>
          <w:bCs/>
          <w:kern w:val="2"/>
          <w:szCs w:val="24"/>
        </w:rPr>
      </w:pPr>
    </w:p>
    <w:p w14:paraId="4EB712D7" w14:textId="6937A154" w:rsidR="00C046BB" w:rsidRDefault="00C046BB" w:rsidP="009B3166">
      <w:pPr>
        <w:widowControl w:val="0"/>
        <w:pBdr>
          <w:top w:val="nil"/>
          <w:left w:val="nil"/>
          <w:bottom w:val="nil"/>
          <w:right w:val="nil"/>
          <w:between w:val="nil"/>
        </w:pBdr>
        <w:tabs>
          <w:tab w:val="left" w:pos="567"/>
          <w:tab w:val="left" w:pos="851"/>
        </w:tabs>
        <w:rPr>
          <w:bCs/>
          <w:kern w:val="2"/>
          <w:szCs w:val="24"/>
        </w:rPr>
      </w:pPr>
    </w:p>
    <w:p w14:paraId="0B3CE2CC" w14:textId="0D448A3B" w:rsidR="00FC02DD" w:rsidRPr="00FC02DD" w:rsidRDefault="00FC02DD" w:rsidP="00FC02DD">
      <w:pPr>
        <w:widowControl w:val="0"/>
        <w:pBdr>
          <w:top w:val="nil"/>
          <w:left w:val="nil"/>
          <w:bottom w:val="nil"/>
          <w:right w:val="nil"/>
          <w:between w:val="nil"/>
        </w:pBdr>
        <w:tabs>
          <w:tab w:val="left" w:pos="567"/>
          <w:tab w:val="left" w:pos="851"/>
        </w:tabs>
        <w:jc w:val="right"/>
        <w:rPr>
          <w:bCs/>
          <w:caps/>
          <w:kern w:val="2"/>
          <w:sz w:val="20"/>
          <w:szCs w:val="24"/>
        </w:rPr>
      </w:pPr>
    </w:p>
    <w:p w14:paraId="4D8EAD38" w14:textId="1660EFBD" w:rsidR="00551FA8" w:rsidRDefault="00551FA8" w:rsidP="00B30F74">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t>1.3.1.1. Techninė specifikacija;</w:t>
      </w:r>
    </w:p>
    <w:p w14:paraId="689ABC06" w14:textId="77777777" w:rsidR="00AD0155" w:rsidRDefault="00AD0155" w:rsidP="00AD0155">
      <w:pPr>
        <w:spacing w:line="276" w:lineRule="atLeast"/>
        <w:jc w:val="both"/>
        <w:rPr>
          <w:color w:val="000000"/>
          <w:szCs w:val="24"/>
        </w:rPr>
      </w:pPr>
      <w:r>
        <w:rPr>
          <w:color w:val="000000"/>
          <w:szCs w:val="24"/>
        </w:rPr>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lastRenderedPageBreak/>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w:t>
      </w:r>
      <w:r>
        <w:rPr>
          <w:color w:val="000000"/>
          <w:szCs w:val="24"/>
        </w:rPr>
        <w:lastRenderedPageBreak/>
        <w:t>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w:t>
      </w:r>
      <w:bookmarkStart w:id="2" w:name="_Hlk202964009"/>
      <w:r>
        <w:rPr>
          <w:color w:val="000000"/>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bookmarkEnd w:id="2"/>
      <w:r>
        <w:rPr>
          <w:color w:val="000000"/>
        </w:rPr>
        <w:t>.</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 xml:space="preserve">8.1.3. Jei aktualu, Grafike turi būti pažymėta, kurios Prekės gali būti pristatomos lygiagrečiai, o kurios </w:t>
      </w:r>
      <w:r>
        <w:rPr>
          <w:color w:val="000000"/>
          <w:szCs w:val="24"/>
        </w:rPr>
        <w:lastRenderedPageBreak/>
        <w:t>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w:t>
      </w:r>
      <w:r>
        <w:rPr>
          <w:color w:val="000000"/>
          <w:szCs w:val="24"/>
        </w:rPr>
        <w:lastRenderedPageBreak/>
        <w:t>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lastRenderedPageBreak/>
        <w:t>12.3.4. 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w:t>
      </w:r>
      <w:r>
        <w:rPr>
          <w:rFonts w:eastAsia="Calibri"/>
          <w:kern w:val="2"/>
          <w:szCs w:val="24"/>
          <w:lang w:eastAsia="lt-LT"/>
        </w:rPr>
        <w:lastRenderedPageBreak/>
        <w:t>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rPr>
          <w:color w:val="000000"/>
          <w:szCs w:val="24"/>
        </w:rPr>
        <w:lastRenderedPageBreak/>
        <w:t>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lastRenderedPageBreak/>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603A06">
      <w:pgSz w:w="12240" w:h="15840" w:code="1"/>
      <w:pgMar w:top="1276" w:right="900" w:bottom="284"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A986C" w14:textId="77777777" w:rsidR="002811DC" w:rsidRDefault="002811DC">
      <w:r>
        <w:separator/>
      </w:r>
    </w:p>
  </w:endnote>
  <w:endnote w:type="continuationSeparator" w:id="0">
    <w:p w14:paraId="64F2D378" w14:textId="77777777" w:rsidR="002811DC" w:rsidRDefault="0028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DA03C2" w:rsidRDefault="00DA03C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DA03C2" w:rsidRDefault="00DA03C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DA03C2" w:rsidRDefault="00DA03C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1BFA8" w14:textId="77777777" w:rsidR="002811DC" w:rsidRDefault="002811DC">
      <w:r>
        <w:separator/>
      </w:r>
    </w:p>
  </w:footnote>
  <w:footnote w:type="continuationSeparator" w:id="0">
    <w:p w14:paraId="0E685546" w14:textId="77777777" w:rsidR="002811DC" w:rsidRDefault="0028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DA03C2" w:rsidRDefault="00DA03C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DA03C2" w:rsidRDefault="00DA03C2">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DA03C2" w:rsidRDefault="00DA03C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783B"/>
    <w:rsid w:val="000122F7"/>
    <w:rsid w:val="00014473"/>
    <w:rsid w:val="0001781D"/>
    <w:rsid w:val="00022804"/>
    <w:rsid w:val="00023340"/>
    <w:rsid w:val="00027CB2"/>
    <w:rsid w:val="00032F4F"/>
    <w:rsid w:val="000419C9"/>
    <w:rsid w:val="00042376"/>
    <w:rsid w:val="00042461"/>
    <w:rsid w:val="0004310D"/>
    <w:rsid w:val="00044D22"/>
    <w:rsid w:val="00047E59"/>
    <w:rsid w:val="00054E5E"/>
    <w:rsid w:val="00064188"/>
    <w:rsid w:val="00071F8E"/>
    <w:rsid w:val="00072DC3"/>
    <w:rsid w:val="000930FB"/>
    <w:rsid w:val="000A4756"/>
    <w:rsid w:val="000A4C21"/>
    <w:rsid w:val="000A70B0"/>
    <w:rsid w:val="000B7712"/>
    <w:rsid w:val="000B792A"/>
    <w:rsid w:val="000C148F"/>
    <w:rsid w:val="000C3233"/>
    <w:rsid w:val="000D52AC"/>
    <w:rsid w:val="000D586D"/>
    <w:rsid w:val="000E6307"/>
    <w:rsid w:val="000F190A"/>
    <w:rsid w:val="000F27D7"/>
    <w:rsid w:val="00105D30"/>
    <w:rsid w:val="00110724"/>
    <w:rsid w:val="0011148A"/>
    <w:rsid w:val="001134B7"/>
    <w:rsid w:val="001159C2"/>
    <w:rsid w:val="00116857"/>
    <w:rsid w:val="001276F1"/>
    <w:rsid w:val="0013453B"/>
    <w:rsid w:val="00134CC6"/>
    <w:rsid w:val="0013788B"/>
    <w:rsid w:val="001405AA"/>
    <w:rsid w:val="001416BC"/>
    <w:rsid w:val="00142629"/>
    <w:rsid w:val="00143F7C"/>
    <w:rsid w:val="00155A23"/>
    <w:rsid w:val="00157851"/>
    <w:rsid w:val="0016059E"/>
    <w:rsid w:val="00164D6B"/>
    <w:rsid w:val="00167BB4"/>
    <w:rsid w:val="0017020E"/>
    <w:rsid w:val="00171EB9"/>
    <w:rsid w:val="001809FE"/>
    <w:rsid w:val="00181ACF"/>
    <w:rsid w:val="00184730"/>
    <w:rsid w:val="00193D24"/>
    <w:rsid w:val="001954E5"/>
    <w:rsid w:val="001974B4"/>
    <w:rsid w:val="001A03D8"/>
    <w:rsid w:val="001A7A86"/>
    <w:rsid w:val="001B169D"/>
    <w:rsid w:val="001C4743"/>
    <w:rsid w:val="001C69CF"/>
    <w:rsid w:val="001C7F00"/>
    <w:rsid w:val="001D3533"/>
    <w:rsid w:val="001D6448"/>
    <w:rsid w:val="001D7882"/>
    <w:rsid w:val="001E088D"/>
    <w:rsid w:val="001E10F0"/>
    <w:rsid w:val="001E3F4C"/>
    <w:rsid w:val="001E46AB"/>
    <w:rsid w:val="001E7181"/>
    <w:rsid w:val="001F3581"/>
    <w:rsid w:val="002110D0"/>
    <w:rsid w:val="00214E9B"/>
    <w:rsid w:val="00215442"/>
    <w:rsid w:val="00215A0F"/>
    <w:rsid w:val="00217CDC"/>
    <w:rsid w:val="0022153E"/>
    <w:rsid w:val="00232761"/>
    <w:rsid w:val="00240F66"/>
    <w:rsid w:val="00242706"/>
    <w:rsid w:val="00242EB4"/>
    <w:rsid w:val="00252488"/>
    <w:rsid w:val="002536AE"/>
    <w:rsid w:val="0027220B"/>
    <w:rsid w:val="00274B8A"/>
    <w:rsid w:val="002772BE"/>
    <w:rsid w:val="0028063E"/>
    <w:rsid w:val="002811DC"/>
    <w:rsid w:val="0028130D"/>
    <w:rsid w:val="002860F2"/>
    <w:rsid w:val="00297E1F"/>
    <w:rsid w:val="002A0B1F"/>
    <w:rsid w:val="002A5BCF"/>
    <w:rsid w:val="002A6A59"/>
    <w:rsid w:val="002B0923"/>
    <w:rsid w:val="002B1176"/>
    <w:rsid w:val="002B1E72"/>
    <w:rsid w:val="002B362D"/>
    <w:rsid w:val="002B5C1D"/>
    <w:rsid w:val="002B609A"/>
    <w:rsid w:val="002C2686"/>
    <w:rsid w:val="002C570E"/>
    <w:rsid w:val="002D29B7"/>
    <w:rsid w:val="002D443E"/>
    <w:rsid w:val="002D586C"/>
    <w:rsid w:val="002E7E00"/>
    <w:rsid w:val="002F2BBB"/>
    <w:rsid w:val="002F344B"/>
    <w:rsid w:val="002F3610"/>
    <w:rsid w:val="002F4EBD"/>
    <w:rsid w:val="002F712B"/>
    <w:rsid w:val="002F7CAC"/>
    <w:rsid w:val="00304C23"/>
    <w:rsid w:val="00317F25"/>
    <w:rsid w:val="00322419"/>
    <w:rsid w:val="00323AB4"/>
    <w:rsid w:val="003257DC"/>
    <w:rsid w:val="003273E4"/>
    <w:rsid w:val="00327C7C"/>
    <w:rsid w:val="00332FBB"/>
    <w:rsid w:val="00333B82"/>
    <w:rsid w:val="00335B63"/>
    <w:rsid w:val="00344529"/>
    <w:rsid w:val="00344ECB"/>
    <w:rsid w:val="00347183"/>
    <w:rsid w:val="003545E4"/>
    <w:rsid w:val="00361739"/>
    <w:rsid w:val="00367A8D"/>
    <w:rsid w:val="0037113A"/>
    <w:rsid w:val="003740F9"/>
    <w:rsid w:val="00374536"/>
    <w:rsid w:val="00382E03"/>
    <w:rsid w:val="003862CA"/>
    <w:rsid w:val="003917D9"/>
    <w:rsid w:val="00391AA5"/>
    <w:rsid w:val="003920D4"/>
    <w:rsid w:val="00392D00"/>
    <w:rsid w:val="00393270"/>
    <w:rsid w:val="00394E15"/>
    <w:rsid w:val="003969E1"/>
    <w:rsid w:val="003A54E2"/>
    <w:rsid w:val="003B1AB8"/>
    <w:rsid w:val="003C0E3E"/>
    <w:rsid w:val="003D200C"/>
    <w:rsid w:val="003D3FAA"/>
    <w:rsid w:val="003E0CF8"/>
    <w:rsid w:val="003E1622"/>
    <w:rsid w:val="003E20F4"/>
    <w:rsid w:val="003E4F87"/>
    <w:rsid w:val="003E63FA"/>
    <w:rsid w:val="003E76DE"/>
    <w:rsid w:val="003F214F"/>
    <w:rsid w:val="003F4102"/>
    <w:rsid w:val="003F59EC"/>
    <w:rsid w:val="003F7F31"/>
    <w:rsid w:val="00401327"/>
    <w:rsid w:val="00402397"/>
    <w:rsid w:val="004027F1"/>
    <w:rsid w:val="004032C5"/>
    <w:rsid w:val="00404A30"/>
    <w:rsid w:val="0040599F"/>
    <w:rsid w:val="00406D5C"/>
    <w:rsid w:val="00414038"/>
    <w:rsid w:val="00421945"/>
    <w:rsid w:val="004251CF"/>
    <w:rsid w:val="00425C35"/>
    <w:rsid w:val="00431085"/>
    <w:rsid w:val="004338AB"/>
    <w:rsid w:val="00434C76"/>
    <w:rsid w:val="004360C5"/>
    <w:rsid w:val="00436763"/>
    <w:rsid w:val="0043717F"/>
    <w:rsid w:val="0044043A"/>
    <w:rsid w:val="00447798"/>
    <w:rsid w:val="00450A5E"/>
    <w:rsid w:val="0045195B"/>
    <w:rsid w:val="00453C26"/>
    <w:rsid w:val="00455B73"/>
    <w:rsid w:val="00457610"/>
    <w:rsid w:val="004640A2"/>
    <w:rsid w:val="00466E54"/>
    <w:rsid w:val="0047357F"/>
    <w:rsid w:val="00475269"/>
    <w:rsid w:val="004842D3"/>
    <w:rsid w:val="00484530"/>
    <w:rsid w:val="00487A37"/>
    <w:rsid w:val="00496C02"/>
    <w:rsid w:val="004A018E"/>
    <w:rsid w:val="004A050D"/>
    <w:rsid w:val="004A4501"/>
    <w:rsid w:val="004A6B08"/>
    <w:rsid w:val="004B0479"/>
    <w:rsid w:val="004B0FE7"/>
    <w:rsid w:val="004B3D50"/>
    <w:rsid w:val="004D1999"/>
    <w:rsid w:val="004D1E32"/>
    <w:rsid w:val="004D295E"/>
    <w:rsid w:val="004D4C51"/>
    <w:rsid w:val="004D55C9"/>
    <w:rsid w:val="004E4A6A"/>
    <w:rsid w:val="004F05D4"/>
    <w:rsid w:val="004F2F38"/>
    <w:rsid w:val="004F4C91"/>
    <w:rsid w:val="004F506B"/>
    <w:rsid w:val="00500D9F"/>
    <w:rsid w:val="005032EC"/>
    <w:rsid w:val="00503A0C"/>
    <w:rsid w:val="0050448F"/>
    <w:rsid w:val="00507C23"/>
    <w:rsid w:val="005179C4"/>
    <w:rsid w:val="00517B8D"/>
    <w:rsid w:val="00522E67"/>
    <w:rsid w:val="005339DE"/>
    <w:rsid w:val="0053597C"/>
    <w:rsid w:val="005518FE"/>
    <w:rsid w:val="00551FA8"/>
    <w:rsid w:val="005614F1"/>
    <w:rsid w:val="00563D6F"/>
    <w:rsid w:val="00564D42"/>
    <w:rsid w:val="0057214C"/>
    <w:rsid w:val="00572DD6"/>
    <w:rsid w:val="00574061"/>
    <w:rsid w:val="0057480E"/>
    <w:rsid w:val="00582A04"/>
    <w:rsid w:val="00583A1D"/>
    <w:rsid w:val="005868C8"/>
    <w:rsid w:val="005874A8"/>
    <w:rsid w:val="00587ECB"/>
    <w:rsid w:val="00592823"/>
    <w:rsid w:val="0059455E"/>
    <w:rsid w:val="005A3050"/>
    <w:rsid w:val="005A3869"/>
    <w:rsid w:val="005A6070"/>
    <w:rsid w:val="005B4EF0"/>
    <w:rsid w:val="005B6381"/>
    <w:rsid w:val="005C216E"/>
    <w:rsid w:val="005C6CB7"/>
    <w:rsid w:val="005C7F5C"/>
    <w:rsid w:val="005D1CD6"/>
    <w:rsid w:val="005D36A9"/>
    <w:rsid w:val="005D5582"/>
    <w:rsid w:val="005D565A"/>
    <w:rsid w:val="005E1CEC"/>
    <w:rsid w:val="005E41CA"/>
    <w:rsid w:val="005F4615"/>
    <w:rsid w:val="005F50A8"/>
    <w:rsid w:val="005F65D3"/>
    <w:rsid w:val="005F70B3"/>
    <w:rsid w:val="0060245D"/>
    <w:rsid w:val="00603A06"/>
    <w:rsid w:val="00604C84"/>
    <w:rsid w:val="00606BF8"/>
    <w:rsid w:val="00607907"/>
    <w:rsid w:val="006176EF"/>
    <w:rsid w:val="00620B86"/>
    <w:rsid w:val="00627698"/>
    <w:rsid w:val="0063387F"/>
    <w:rsid w:val="00637E7E"/>
    <w:rsid w:val="00640495"/>
    <w:rsid w:val="006442A2"/>
    <w:rsid w:val="006469BB"/>
    <w:rsid w:val="006471CD"/>
    <w:rsid w:val="00650CB6"/>
    <w:rsid w:val="00653F29"/>
    <w:rsid w:val="00655FE9"/>
    <w:rsid w:val="006626BC"/>
    <w:rsid w:val="00664A2C"/>
    <w:rsid w:val="00674FAD"/>
    <w:rsid w:val="00685888"/>
    <w:rsid w:val="00690ADA"/>
    <w:rsid w:val="00697A76"/>
    <w:rsid w:val="00697BFB"/>
    <w:rsid w:val="006A01B6"/>
    <w:rsid w:val="006A0255"/>
    <w:rsid w:val="006A2B71"/>
    <w:rsid w:val="006A312D"/>
    <w:rsid w:val="006B28AE"/>
    <w:rsid w:val="006B41F7"/>
    <w:rsid w:val="006B57ED"/>
    <w:rsid w:val="006B6FE5"/>
    <w:rsid w:val="006C269A"/>
    <w:rsid w:val="006C33C4"/>
    <w:rsid w:val="006D57AB"/>
    <w:rsid w:val="006D5C90"/>
    <w:rsid w:val="006D6AA3"/>
    <w:rsid w:val="006D7238"/>
    <w:rsid w:val="006E0CD1"/>
    <w:rsid w:val="006F1816"/>
    <w:rsid w:val="006F4BCB"/>
    <w:rsid w:val="006F5BA7"/>
    <w:rsid w:val="006F7AE7"/>
    <w:rsid w:val="006F7E59"/>
    <w:rsid w:val="00702C12"/>
    <w:rsid w:val="0070305A"/>
    <w:rsid w:val="007066AD"/>
    <w:rsid w:val="00710F35"/>
    <w:rsid w:val="00726D68"/>
    <w:rsid w:val="00737CC6"/>
    <w:rsid w:val="00742ADF"/>
    <w:rsid w:val="00744864"/>
    <w:rsid w:val="0074713B"/>
    <w:rsid w:val="007518EC"/>
    <w:rsid w:val="00755C41"/>
    <w:rsid w:val="00755FAF"/>
    <w:rsid w:val="0076438F"/>
    <w:rsid w:val="00764EFC"/>
    <w:rsid w:val="00765C63"/>
    <w:rsid w:val="007662DB"/>
    <w:rsid w:val="007805AB"/>
    <w:rsid w:val="00782D44"/>
    <w:rsid w:val="00785C4B"/>
    <w:rsid w:val="00795EC3"/>
    <w:rsid w:val="007966DC"/>
    <w:rsid w:val="00797118"/>
    <w:rsid w:val="007B511E"/>
    <w:rsid w:val="007B6CE6"/>
    <w:rsid w:val="007C066A"/>
    <w:rsid w:val="007C4BCB"/>
    <w:rsid w:val="007C50BE"/>
    <w:rsid w:val="007C6503"/>
    <w:rsid w:val="007D5B0D"/>
    <w:rsid w:val="007E2F45"/>
    <w:rsid w:val="007E5902"/>
    <w:rsid w:val="007F20A0"/>
    <w:rsid w:val="007F60D8"/>
    <w:rsid w:val="007F78B6"/>
    <w:rsid w:val="00802B8D"/>
    <w:rsid w:val="008074B3"/>
    <w:rsid w:val="0081009A"/>
    <w:rsid w:val="00813256"/>
    <w:rsid w:val="00814A7E"/>
    <w:rsid w:val="00820F5A"/>
    <w:rsid w:val="008240C0"/>
    <w:rsid w:val="0083391E"/>
    <w:rsid w:val="00833E5C"/>
    <w:rsid w:val="0084021D"/>
    <w:rsid w:val="00851BB2"/>
    <w:rsid w:val="00855F49"/>
    <w:rsid w:val="008615B9"/>
    <w:rsid w:val="00861723"/>
    <w:rsid w:val="00862CDA"/>
    <w:rsid w:val="0086324D"/>
    <w:rsid w:val="00867835"/>
    <w:rsid w:val="00874ACB"/>
    <w:rsid w:val="0088387E"/>
    <w:rsid w:val="00885981"/>
    <w:rsid w:val="008873A0"/>
    <w:rsid w:val="008874F0"/>
    <w:rsid w:val="0088756F"/>
    <w:rsid w:val="00887B56"/>
    <w:rsid w:val="00891925"/>
    <w:rsid w:val="00892B93"/>
    <w:rsid w:val="00892C36"/>
    <w:rsid w:val="00893290"/>
    <w:rsid w:val="008961A1"/>
    <w:rsid w:val="00896E1F"/>
    <w:rsid w:val="008A17CD"/>
    <w:rsid w:val="008A4EA8"/>
    <w:rsid w:val="008A4EC4"/>
    <w:rsid w:val="008C1C6F"/>
    <w:rsid w:val="008C72CF"/>
    <w:rsid w:val="008D04E4"/>
    <w:rsid w:val="008D12AF"/>
    <w:rsid w:val="008D35A3"/>
    <w:rsid w:val="008D5A22"/>
    <w:rsid w:val="008E58C4"/>
    <w:rsid w:val="008E7F8A"/>
    <w:rsid w:val="008F0670"/>
    <w:rsid w:val="008F36C5"/>
    <w:rsid w:val="008F597C"/>
    <w:rsid w:val="008F62EB"/>
    <w:rsid w:val="009026BF"/>
    <w:rsid w:val="00902FDE"/>
    <w:rsid w:val="00905693"/>
    <w:rsid w:val="0090691A"/>
    <w:rsid w:val="00910B25"/>
    <w:rsid w:val="00923142"/>
    <w:rsid w:val="009277AE"/>
    <w:rsid w:val="009278E8"/>
    <w:rsid w:val="00945D8A"/>
    <w:rsid w:val="00954D3D"/>
    <w:rsid w:val="00960ED5"/>
    <w:rsid w:val="00962DE5"/>
    <w:rsid w:val="0096327E"/>
    <w:rsid w:val="009632BE"/>
    <w:rsid w:val="009643B6"/>
    <w:rsid w:val="009768A0"/>
    <w:rsid w:val="009803D8"/>
    <w:rsid w:val="0098691F"/>
    <w:rsid w:val="0099005A"/>
    <w:rsid w:val="00993F4E"/>
    <w:rsid w:val="0099654E"/>
    <w:rsid w:val="009A1859"/>
    <w:rsid w:val="009A3575"/>
    <w:rsid w:val="009A6EB4"/>
    <w:rsid w:val="009B3166"/>
    <w:rsid w:val="009B54D9"/>
    <w:rsid w:val="009C1551"/>
    <w:rsid w:val="009D2769"/>
    <w:rsid w:val="009D294F"/>
    <w:rsid w:val="009D6CD5"/>
    <w:rsid w:val="009E0D63"/>
    <w:rsid w:val="009E2DBA"/>
    <w:rsid w:val="009E429B"/>
    <w:rsid w:val="009E65BD"/>
    <w:rsid w:val="009F62E5"/>
    <w:rsid w:val="009F7C6B"/>
    <w:rsid w:val="00A01B31"/>
    <w:rsid w:val="00A125E7"/>
    <w:rsid w:val="00A15B6C"/>
    <w:rsid w:val="00A165ED"/>
    <w:rsid w:val="00A23099"/>
    <w:rsid w:val="00A26B15"/>
    <w:rsid w:val="00A4286B"/>
    <w:rsid w:val="00A45B4B"/>
    <w:rsid w:val="00A5358B"/>
    <w:rsid w:val="00A54591"/>
    <w:rsid w:val="00A5763D"/>
    <w:rsid w:val="00A57FB4"/>
    <w:rsid w:val="00A6602E"/>
    <w:rsid w:val="00A66090"/>
    <w:rsid w:val="00A67DA1"/>
    <w:rsid w:val="00A7015B"/>
    <w:rsid w:val="00A769CD"/>
    <w:rsid w:val="00A76A85"/>
    <w:rsid w:val="00A76E51"/>
    <w:rsid w:val="00A77C3C"/>
    <w:rsid w:val="00A87420"/>
    <w:rsid w:val="00A908CB"/>
    <w:rsid w:val="00A91019"/>
    <w:rsid w:val="00A91B1F"/>
    <w:rsid w:val="00A91B6E"/>
    <w:rsid w:val="00A933EA"/>
    <w:rsid w:val="00A959DA"/>
    <w:rsid w:val="00AA0A8A"/>
    <w:rsid w:val="00AA244F"/>
    <w:rsid w:val="00AA5D70"/>
    <w:rsid w:val="00AB44D3"/>
    <w:rsid w:val="00AB4A7D"/>
    <w:rsid w:val="00AB4D4C"/>
    <w:rsid w:val="00AB74F5"/>
    <w:rsid w:val="00AB7524"/>
    <w:rsid w:val="00AD0155"/>
    <w:rsid w:val="00AD2A2C"/>
    <w:rsid w:val="00AD55CC"/>
    <w:rsid w:val="00AE0BC4"/>
    <w:rsid w:val="00AE115F"/>
    <w:rsid w:val="00AE2E03"/>
    <w:rsid w:val="00AE336D"/>
    <w:rsid w:val="00AE5FEB"/>
    <w:rsid w:val="00AF5759"/>
    <w:rsid w:val="00AF6187"/>
    <w:rsid w:val="00B0192C"/>
    <w:rsid w:val="00B01E2D"/>
    <w:rsid w:val="00B04AB0"/>
    <w:rsid w:val="00B108C0"/>
    <w:rsid w:val="00B11C4C"/>
    <w:rsid w:val="00B15D67"/>
    <w:rsid w:val="00B1627F"/>
    <w:rsid w:val="00B228A2"/>
    <w:rsid w:val="00B26AE7"/>
    <w:rsid w:val="00B30F74"/>
    <w:rsid w:val="00B34D1F"/>
    <w:rsid w:val="00B404B3"/>
    <w:rsid w:val="00B40ADF"/>
    <w:rsid w:val="00B433CD"/>
    <w:rsid w:val="00B439FA"/>
    <w:rsid w:val="00B43F44"/>
    <w:rsid w:val="00B46F5C"/>
    <w:rsid w:val="00B51B31"/>
    <w:rsid w:val="00B53507"/>
    <w:rsid w:val="00B547E2"/>
    <w:rsid w:val="00B6621C"/>
    <w:rsid w:val="00B67395"/>
    <w:rsid w:val="00B75F33"/>
    <w:rsid w:val="00B80213"/>
    <w:rsid w:val="00B81F36"/>
    <w:rsid w:val="00B838F1"/>
    <w:rsid w:val="00B8727C"/>
    <w:rsid w:val="00BA0145"/>
    <w:rsid w:val="00BA07CA"/>
    <w:rsid w:val="00BA142E"/>
    <w:rsid w:val="00BA236F"/>
    <w:rsid w:val="00BA2AF8"/>
    <w:rsid w:val="00BA500B"/>
    <w:rsid w:val="00BB1C4A"/>
    <w:rsid w:val="00BC1C47"/>
    <w:rsid w:val="00BD6625"/>
    <w:rsid w:val="00BD757D"/>
    <w:rsid w:val="00BD7644"/>
    <w:rsid w:val="00BE2B27"/>
    <w:rsid w:val="00BE48A6"/>
    <w:rsid w:val="00BE497C"/>
    <w:rsid w:val="00BE4B11"/>
    <w:rsid w:val="00BE700F"/>
    <w:rsid w:val="00BF3020"/>
    <w:rsid w:val="00BF3348"/>
    <w:rsid w:val="00BF767A"/>
    <w:rsid w:val="00C046BB"/>
    <w:rsid w:val="00C06A61"/>
    <w:rsid w:val="00C06E1A"/>
    <w:rsid w:val="00C10A6D"/>
    <w:rsid w:val="00C16940"/>
    <w:rsid w:val="00C16F0E"/>
    <w:rsid w:val="00C16F10"/>
    <w:rsid w:val="00C17984"/>
    <w:rsid w:val="00C216CA"/>
    <w:rsid w:val="00C22BC1"/>
    <w:rsid w:val="00C36216"/>
    <w:rsid w:val="00C40F08"/>
    <w:rsid w:val="00C467B1"/>
    <w:rsid w:val="00C4778D"/>
    <w:rsid w:val="00C47DCE"/>
    <w:rsid w:val="00C50A3E"/>
    <w:rsid w:val="00C616E3"/>
    <w:rsid w:val="00C7081A"/>
    <w:rsid w:val="00C718FA"/>
    <w:rsid w:val="00C735AD"/>
    <w:rsid w:val="00C735F7"/>
    <w:rsid w:val="00C7361B"/>
    <w:rsid w:val="00C75720"/>
    <w:rsid w:val="00C820A7"/>
    <w:rsid w:val="00C832B8"/>
    <w:rsid w:val="00C85EAF"/>
    <w:rsid w:val="00C91CDE"/>
    <w:rsid w:val="00C94A13"/>
    <w:rsid w:val="00C9531C"/>
    <w:rsid w:val="00C97424"/>
    <w:rsid w:val="00CA27D5"/>
    <w:rsid w:val="00CA3380"/>
    <w:rsid w:val="00CA3F80"/>
    <w:rsid w:val="00CA4E58"/>
    <w:rsid w:val="00CB381F"/>
    <w:rsid w:val="00CB3912"/>
    <w:rsid w:val="00CB5BA7"/>
    <w:rsid w:val="00CC0E76"/>
    <w:rsid w:val="00CC6610"/>
    <w:rsid w:val="00CC68A0"/>
    <w:rsid w:val="00CC6DE7"/>
    <w:rsid w:val="00CD2B77"/>
    <w:rsid w:val="00CD2BE7"/>
    <w:rsid w:val="00CE1797"/>
    <w:rsid w:val="00CE18C7"/>
    <w:rsid w:val="00CE293A"/>
    <w:rsid w:val="00CE5717"/>
    <w:rsid w:val="00CF386C"/>
    <w:rsid w:val="00CF589C"/>
    <w:rsid w:val="00D0133C"/>
    <w:rsid w:val="00D037F6"/>
    <w:rsid w:val="00D128D0"/>
    <w:rsid w:val="00D129F9"/>
    <w:rsid w:val="00D13E29"/>
    <w:rsid w:val="00D145A7"/>
    <w:rsid w:val="00D21BEE"/>
    <w:rsid w:val="00D236C8"/>
    <w:rsid w:val="00D24397"/>
    <w:rsid w:val="00D27EB4"/>
    <w:rsid w:val="00D32342"/>
    <w:rsid w:val="00D32426"/>
    <w:rsid w:val="00D405F4"/>
    <w:rsid w:val="00D5231C"/>
    <w:rsid w:val="00D525E5"/>
    <w:rsid w:val="00D56315"/>
    <w:rsid w:val="00D6014F"/>
    <w:rsid w:val="00D61A24"/>
    <w:rsid w:val="00D622D3"/>
    <w:rsid w:val="00D62D12"/>
    <w:rsid w:val="00D63C76"/>
    <w:rsid w:val="00D672AF"/>
    <w:rsid w:val="00D71D21"/>
    <w:rsid w:val="00D723DC"/>
    <w:rsid w:val="00D74452"/>
    <w:rsid w:val="00D751E0"/>
    <w:rsid w:val="00D76C5A"/>
    <w:rsid w:val="00D7706C"/>
    <w:rsid w:val="00D81341"/>
    <w:rsid w:val="00D86EAD"/>
    <w:rsid w:val="00D86F72"/>
    <w:rsid w:val="00D90220"/>
    <w:rsid w:val="00D922C0"/>
    <w:rsid w:val="00D96215"/>
    <w:rsid w:val="00D96AE1"/>
    <w:rsid w:val="00D97005"/>
    <w:rsid w:val="00DA03C2"/>
    <w:rsid w:val="00DA784C"/>
    <w:rsid w:val="00DB2C06"/>
    <w:rsid w:val="00DB47CB"/>
    <w:rsid w:val="00DB57E8"/>
    <w:rsid w:val="00DB583B"/>
    <w:rsid w:val="00DB60CB"/>
    <w:rsid w:val="00DB7852"/>
    <w:rsid w:val="00DB7EB8"/>
    <w:rsid w:val="00DC34BE"/>
    <w:rsid w:val="00DC6091"/>
    <w:rsid w:val="00DD21C7"/>
    <w:rsid w:val="00DD7A8D"/>
    <w:rsid w:val="00DE58BE"/>
    <w:rsid w:val="00DE707E"/>
    <w:rsid w:val="00DF3F55"/>
    <w:rsid w:val="00DF7F7B"/>
    <w:rsid w:val="00E0037D"/>
    <w:rsid w:val="00E04349"/>
    <w:rsid w:val="00E0468D"/>
    <w:rsid w:val="00E05045"/>
    <w:rsid w:val="00E05C3B"/>
    <w:rsid w:val="00E16BD3"/>
    <w:rsid w:val="00E2000D"/>
    <w:rsid w:val="00E24878"/>
    <w:rsid w:val="00E265FD"/>
    <w:rsid w:val="00E320F1"/>
    <w:rsid w:val="00E371F2"/>
    <w:rsid w:val="00E67C34"/>
    <w:rsid w:val="00E7136F"/>
    <w:rsid w:val="00E71D2F"/>
    <w:rsid w:val="00E73011"/>
    <w:rsid w:val="00E8502B"/>
    <w:rsid w:val="00E856C7"/>
    <w:rsid w:val="00E879D0"/>
    <w:rsid w:val="00E93AE5"/>
    <w:rsid w:val="00E96D96"/>
    <w:rsid w:val="00EA25B9"/>
    <w:rsid w:val="00EA62DE"/>
    <w:rsid w:val="00EA748E"/>
    <w:rsid w:val="00EB6ACD"/>
    <w:rsid w:val="00EC154E"/>
    <w:rsid w:val="00EC3837"/>
    <w:rsid w:val="00ED44AA"/>
    <w:rsid w:val="00EE3697"/>
    <w:rsid w:val="00EF31D3"/>
    <w:rsid w:val="00EF3899"/>
    <w:rsid w:val="00EF67CB"/>
    <w:rsid w:val="00EF73D3"/>
    <w:rsid w:val="00EF78D1"/>
    <w:rsid w:val="00F0024B"/>
    <w:rsid w:val="00F00B1B"/>
    <w:rsid w:val="00F01CE6"/>
    <w:rsid w:val="00F03136"/>
    <w:rsid w:val="00F07AA9"/>
    <w:rsid w:val="00F1126B"/>
    <w:rsid w:val="00F12D1C"/>
    <w:rsid w:val="00F14693"/>
    <w:rsid w:val="00F155CF"/>
    <w:rsid w:val="00F17497"/>
    <w:rsid w:val="00F20000"/>
    <w:rsid w:val="00F31ACF"/>
    <w:rsid w:val="00F337C9"/>
    <w:rsid w:val="00F4106F"/>
    <w:rsid w:val="00F422FF"/>
    <w:rsid w:val="00F43999"/>
    <w:rsid w:val="00F44680"/>
    <w:rsid w:val="00F528BE"/>
    <w:rsid w:val="00F53E78"/>
    <w:rsid w:val="00F5762C"/>
    <w:rsid w:val="00F61E34"/>
    <w:rsid w:val="00F63638"/>
    <w:rsid w:val="00F665C9"/>
    <w:rsid w:val="00F71B38"/>
    <w:rsid w:val="00F80D09"/>
    <w:rsid w:val="00F81D55"/>
    <w:rsid w:val="00F866B5"/>
    <w:rsid w:val="00FA0062"/>
    <w:rsid w:val="00FA189A"/>
    <w:rsid w:val="00FA1D39"/>
    <w:rsid w:val="00FA2EB4"/>
    <w:rsid w:val="00FA4E67"/>
    <w:rsid w:val="00FA586B"/>
    <w:rsid w:val="00FB222B"/>
    <w:rsid w:val="00FB3609"/>
    <w:rsid w:val="00FB4C40"/>
    <w:rsid w:val="00FB60A2"/>
    <w:rsid w:val="00FC02DD"/>
    <w:rsid w:val="00FC4773"/>
    <w:rsid w:val="00FC74D3"/>
    <w:rsid w:val="00FD2541"/>
    <w:rsid w:val="00FD5B06"/>
    <w:rsid w:val="00FD639F"/>
    <w:rsid w:val="00FE4DD0"/>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 w:type="paragraph" w:customStyle="1" w:styleId="Body2">
    <w:name w:val="Body 2"/>
    <w:rsid w:val="00406D5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99"/>
    <w:rsid w:val="00322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B30F74"/>
    <w:pPr>
      <w:ind w:left="720"/>
      <w:contextualSpacing/>
    </w:pPr>
  </w:style>
  <w:style w:type="table" w:customStyle="1" w:styleId="TableGrid1">
    <w:name w:val="Table Grid1"/>
    <w:basedOn w:val="TableNormal"/>
    <w:next w:val="TableGrid"/>
    <w:uiPriority w:val="99"/>
    <w:rsid w:val="00C832B8"/>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69477A12-47AE-4781-9126-D8F2442C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66235</Words>
  <Characters>37754</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4</cp:revision>
  <dcterms:created xsi:type="dcterms:W3CDTF">2025-11-13T13:57:00Z</dcterms:created>
  <dcterms:modified xsi:type="dcterms:W3CDTF">2025-11-14T06:23:00Z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