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0C38EAFD" w:rsidR="00C23778" w:rsidRPr="009B47FF" w:rsidRDefault="00C23778" w:rsidP="00396C7D">
      <w:pPr>
        <w:pStyle w:val="Heading2"/>
        <w:tabs>
          <w:tab w:val="left" w:pos="11482"/>
        </w:tabs>
        <w:ind w:left="11482"/>
        <w:rPr>
          <w:rFonts w:ascii="Tahoma" w:eastAsia="Calibri" w:hAnsi="Tahoma" w:cs="Tahoma"/>
          <w:color w:val="auto"/>
          <w:sz w:val="22"/>
          <w:szCs w:val="22"/>
        </w:rPr>
      </w:pPr>
      <w:bookmarkStart w:id="0" w:name="_Ref39484039"/>
      <w:bookmarkStart w:id="1" w:name="_Ref40278562"/>
      <w:bookmarkStart w:id="2" w:name="_Toc126333945"/>
      <w:r>
        <w:rPr>
          <w:rFonts w:ascii="Tahoma" w:hAnsi="Tahoma"/>
          <w:color w:val="auto"/>
          <w:sz w:val="22"/>
        </w:rPr>
        <w:t>Annex 9 to the Procurement Conditions ‘Criteria and Conditions for Evaluation of Tender Bids’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23778">
      <w:pPr>
        <w:pStyle w:val="Subtitle"/>
        <w:jc w:val="center"/>
        <w:rPr>
          <w:rFonts w:ascii="Tahoma" w:hAnsi="Tahoma" w:cs="Tahoma"/>
          <w:b/>
          <w:bCs/>
          <w:smallCaps/>
          <w:color w:val="auto"/>
          <w:sz w:val="22"/>
          <w:szCs w:val="22"/>
        </w:rPr>
      </w:pPr>
      <w:r>
        <w:rPr>
          <w:rFonts w:ascii="Tahoma" w:hAnsi="Tahoma"/>
          <w:b/>
          <w:color w:val="auto"/>
          <w:sz w:val="22"/>
        </w:rPr>
        <w:t>CRITERIA AND CONDITIONS FOR EVALUATION OF TENDER BIDS</w:t>
      </w:r>
    </w:p>
    <w:p w14:paraId="1BEC628F" w14:textId="77777777"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Pr>
          <w:rFonts w:ascii="Tahoma" w:hAnsi="Tahoma"/>
          <w:sz w:val="22"/>
        </w:rPr>
        <w:t>The Contracting Authority shall select the most economically advantageous tender bid with reference to the price and the criteria relating to the Procurement object in accordance with the evaluation procedure set out in this Annex.</w:t>
      </w:r>
    </w:p>
    <w:p w14:paraId="21026E70" w14:textId="77777777" w:rsidR="00DA7150" w:rsidRPr="00396C7D" w:rsidRDefault="00C23778" w:rsidP="00396C7D">
      <w:pPr>
        <w:numPr>
          <w:ilvl w:val="0"/>
          <w:numId w:val="1"/>
        </w:numPr>
        <w:spacing w:after="120" w:line="240" w:lineRule="auto"/>
        <w:ind w:left="0" w:firstLine="567"/>
        <w:jc w:val="both"/>
        <w:rPr>
          <w:rFonts w:ascii="Tahoma" w:hAnsi="Tahoma" w:cs="Tahoma"/>
          <w:sz w:val="22"/>
          <w:szCs w:val="22"/>
        </w:rPr>
      </w:pPr>
      <w:r>
        <w:rPr>
          <w:rFonts w:ascii="Tahoma" w:hAnsi="Tahoma"/>
          <w:sz w:val="22"/>
        </w:rPr>
        <w:t>The price of the Procurement object specified in the tender bid shall be considered abnormally low if it appears to be abnormally low, and, in all cases, it shall be considered abnormally low if it is by 30% or more below the arithmetical average of the price offered by all the tenderers whose tender bids have not been rejected for other reasons and whose bidding price does not exceed the funds allocated for the procurement, which are determined and documented by the Contracting Authority before the start of the Procurement procedure.</w:t>
      </w:r>
    </w:p>
    <w:p w14:paraId="5B8974BA" w14:textId="73F59EEA" w:rsidR="00DA7150" w:rsidRPr="002C7913" w:rsidRDefault="00DA7150" w:rsidP="00396C7D">
      <w:pPr>
        <w:numPr>
          <w:ilvl w:val="0"/>
          <w:numId w:val="1"/>
        </w:numPr>
        <w:spacing w:after="120" w:line="240" w:lineRule="auto"/>
        <w:ind w:left="0" w:firstLine="567"/>
        <w:jc w:val="both"/>
        <w:rPr>
          <w:rFonts w:ascii="Tahoma" w:hAnsi="Tahoma" w:cs="Tahoma"/>
          <w:sz w:val="22"/>
          <w:szCs w:val="22"/>
        </w:rPr>
      </w:pPr>
      <w:r>
        <w:rPr>
          <w:rFonts w:ascii="Tahoma" w:hAnsi="Tahoma"/>
          <w:sz w:val="22"/>
        </w:rPr>
        <w:t xml:space="preserve">Tender bids shall be ranked in decreasing order of economic advantage. In cases when the economic advantage of tender bids of several tenderers is the same, the tenderer with the earliest bid shall be ranked first in the ranking of tender bids. </w:t>
      </w:r>
    </w:p>
    <w:p w14:paraId="3676356D" w14:textId="6844B22E"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Pr>
          <w:rFonts w:ascii="Tahoma" w:hAnsi="Tahoma"/>
          <w:sz w:val="22"/>
        </w:rPr>
        <w:t xml:space="preserve">Criteria for evaluation of tender bids: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4961"/>
        <w:gridCol w:w="1559"/>
        <w:gridCol w:w="3686"/>
      </w:tblGrid>
      <w:tr w:rsidR="00F85553" w:rsidRPr="002C7913" w14:paraId="49B05623" w14:textId="002AF436" w:rsidTr="0052557E">
        <w:trPr>
          <w:trHeight w:val="396"/>
        </w:trPr>
        <w:tc>
          <w:tcPr>
            <w:tcW w:w="15021" w:type="dxa"/>
            <w:gridSpan w:val="5"/>
            <w:shd w:val="clear" w:color="auto" w:fill="FFC000" w:themeFill="accent4"/>
            <w:vAlign w:val="center"/>
          </w:tcPr>
          <w:p w14:paraId="7907C23E" w14:textId="73C0D43A" w:rsidR="009B4447" w:rsidRPr="00922898" w:rsidRDefault="002C7913" w:rsidP="009B4447">
            <w:pPr>
              <w:pStyle w:val="Heading1"/>
              <w:ind w:left="360" w:hanging="360"/>
              <w:jc w:val="center"/>
              <w:rPr>
                <w:rFonts w:ascii="Tahoma" w:eastAsia="Times New Roman" w:hAnsi="Tahoma" w:cs="Tahoma"/>
                <w:b/>
                <w:color w:val="auto"/>
                <w:sz w:val="22"/>
                <w:szCs w:val="22"/>
              </w:rPr>
            </w:pPr>
            <w:r>
              <w:rPr>
                <w:rFonts w:ascii="Tahoma" w:hAnsi="Tahoma"/>
                <w:b/>
                <w:color w:val="auto"/>
                <w:sz w:val="22"/>
              </w:rPr>
              <w:t xml:space="preserve">Procurement object lot No 4 </w:t>
            </w:r>
          </w:p>
          <w:p w14:paraId="0AE76162" w14:textId="0EDDEF22" w:rsidR="002C7913" w:rsidRPr="00342D99" w:rsidRDefault="009B4447" w:rsidP="00342D99">
            <w:pPr>
              <w:pStyle w:val="Heading1"/>
              <w:jc w:val="center"/>
              <w:rPr>
                <w:rFonts w:ascii="Tahoma" w:hAnsi="Tahoma" w:cs="Tahoma"/>
                <w:b/>
                <w:sz w:val="22"/>
                <w:szCs w:val="22"/>
              </w:rPr>
            </w:pPr>
            <w:r>
              <w:rPr>
                <w:rFonts w:ascii="Tahoma" w:hAnsi="Tahoma"/>
                <w:b/>
                <w:color w:val="auto"/>
                <w:sz w:val="22"/>
              </w:rPr>
              <w:t>(ESPBI IS audit trail software, configuration and programming services)</w:t>
            </w:r>
          </w:p>
        </w:tc>
      </w:tr>
      <w:tr w:rsidR="0052557E" w:rsidRPr="002C7913" w14:paraId="50C4028D" w14:textId="77777777" w:rsidTr="00BE6E00">
        <w:tc>
          <w:tcPr>
            <w:tcW w:w="562" w:type="dxa"/>
            <w:shd w:val="clear" w:color="auto" w:fill="D0CECE" w:themeFill="background2" w:themeFillShade="E6"/>
            <w:vAlign w:val="center"/>
          </w:tcPr>
          <w:p w14:paraId="3DAFFE93" w14:textId="64E198C3" w:rsidR="002C7913" w:rsidRPr="00396C7D" w:rsidRDefault="002C7913" w:rsidP="001813F9">
            <w:pPr>
              <w:widowControl w:val="0"/>
              <w:tabs>
                <w:tab w:val="left" w:pos="851"/>
              </w:tabs>
              <w:spacing w:line="240" w:lineRule="auto"/>
              <w:jc w:val="center"/>
              <w:rPr>
                <w:rFonts w:ascii="Tahoma" w:eastAsia="Times New Roman" w:hAnsi="Tahoma" w:cs="Tahoma"/>
                <w:b/>
                <w:sz w:val="20"/>
                <w:szCs w:val="20"/>
              </w:rPr>
            </w:pPr>
            <w:r>
              <w:rPr>
                <w:rFonts w:ascii="Tahoma" w:hAnsi="Tahoma"/>
                <w:b/>
                <w:sz w:val="20"/>
              </w:rPr>
              <w:t xml:space="preserve"> No</w:t>
            </w:r>
          </w:p>
        </w:tc>
        <w:tc>
          <w:tcPr>
            <w:tcW w:w="4253" w:type="dxa"/>
            <w:shd w:val="clear" w:color="auto" w:fill="D0CECE" w:themeFill="background2" w:themeFillShade="E6"/>
            <w:vAlign w:val="center"/>
          </w:tcPr>
          <w:p w14:paraId="6FEC760E" w14:textId="2E748759" w:rsidR="002C7913" w:rsidRPr="00396C7D" w:rsidRDefault="002C7913" w:rsidP="001813F9">
            <w:pPr>
              <w:widowControl w:val="0"/>
              <w:tabs>
                <w:tab w:val="left" w:pos="851"/>
              </w:tabs>
              <w:spacing w:line="240" w:lineRule="auto"/>
              <w:jc w:val="center"/>
              <w:rPr>
                <w:rFonts w:ascii="Tahoma" w:eastAsia="Times New Roman" w:hAnsi="Tahoma" w:cs="Tahoma"/>
                <w:b/>
                <w:sz w:val="20"/>
                <w:szCs w:val="20"/>
              </w:rPr>
            </w:pPr>
            <w:r>
              <w:rPr>
                <w:rFonts w:ascii="Tahoma" w:hAnsi="Tahoma"/>
                <w:b/>
                <w:sz w:val="20"/>
              </w:rPr>
              <w:t>Evaluation criterion/description</w:t>
            </w:r>
          </w:p>
        </w:tc>
        <w:tc>
          <w:tcPr>
            <w:tcW w:w="4961" w:type="dxa"/>
            <w:shd w:val="clear" w:color="auto" w:fill="D0CECE" w:themeFill="background2" w:themeFillShade="E6"/>
            <w:vAlign w:val="center"/>
          </w:tcPr>
          <w:p w14:paraId="5D79E0A9" w14:textId="0DA9BDA6" w:rsidR="002C7913" w:rsidRPr="00396C7D" w:rsidRDefault="002C7913" w:rsidP="001813F9">
            <w:pPr>
              <w:widowControl w:val="0"/>
              <w:tabs>
                <w:tab w:val="left" w:pos="851"/>
              </w:tabs>
              <w:spacing w:line="240" w:lineRule="auto"/>
              <w:ind w:right="-108"/>
              <w:jc w:val="center"/>
              <w:rPr>
                <w:rFonts w:ascii="Tahoma" w:eastAsia="Times New Roman" w:hAnsi="Tahoma" w:cs="Tahoma"/>
                <w:b/>
                <w:sz w:val="20"/>
                <w:szCs w:val="20"/>
              </w:rPr>
            </w:pPr>
            <w:r>
              <w:rPr>
                <w:rFonts w:ascii="Tahoma" w:hAnsi="Tahoma"/>
                <w:b/>
                <w:sz w:val="20"/>
              </w:rPr>
              <w:t>Scoring procedure</w:t>
            </w:r>
          </w:p>
        </w:tc>
        <w:tc>
          <w:tcPr>
            <w:tcW w:w="1559" w:type="dxa"/>
            <w:shd w:val="clear" w:color="auto" w:fill="D0CECE" w:themeFill="background2" w:themeFillShade="E6"/>
            <w:vAlign w:val="center"/>
          </w:tcPr>
          <w:p w14:paraId="27AC8AB0" w14:textId="12077FC7" w:rsidR="002C7913" w:rsidRPr="00396C7D" w:rsidRDefault="002C7913" w:rsidP="00396C7D">
            <w:pPr>
              <w:widowControl w:val="0"/>
              <w:tabs>
                <w:tab w:val="left" w:pos="851"/>
              </w:tabs>
              <w:spacing w:after="0" w:line="240" w:lineRule="auto"/>
              <w:ind w:right="-9"/>
              <w:jc w:val="center"/>
              <w:rPr>
                <w:rFonts w:ascii="Tahoma" w:eastAsia="Times New Roman" w:hAnsi="Tahoma" w:cs="Tahoma"/>
                <w:b/>
                <w:i/>
                <w:iCs/>
                <w:sz w:val="20"/>
                <w:szCs w:val="20"/>
              </w:rPr>
            </w:pPr>
            <w:r>
              <w:rPr>
                <w:rFonts w:ascii="Tahoma" w:hAnsi="Tahoma"/>
                <w:b/>
                <w:sz w:val="20"/>
              </w:rPr>
              <w:t>Weighting/Maximum number of points scored</w:t>
            </w:r>
          </w:p>
        </w:tc>
        <w:tc>
          <w:tcPr>
            <w:tcW w:w="3686" w:type="dxa"/>
            <w:shd w:val="clear" w:color="auto" w:fill="D0CECE" w:themeFill="background2" w:themeFillShade="E6"/>
            <w:vAlign w:val="center"/>
          </w:tcPr>
          <w:p w14:paraId="4921DB1A" w14:textId="7D9DD13A" w:rsidR="002C7913" w:rsidRPr="002C7913" w:rsidRDefault="002C7913" w:rsidP="002C7913">
            <w:pPr>
              <w:widowControl w:val="0"/>
              <w:tabs>
                <w:tab w:val="left" w:pos="851"/>
              </w:tabs>
              <w:spacing w:after="0" w:line="240" w:lineRule="auto"/>
              <w:ind w:right="-9"/>
              <w:jc w:val="center"/>
              <w:rPr>
                <w:rFonts w:ascii="Tahoma" w:eastAsia="Times New Roman" w:hAnsi="Tahoma" w:cs="Tahoma"/>
                <w:b/>
                <w:sz w:val="20"/>
                <w:szCs w:val="20"/>
              </w:rPr>
            </w:pPr>
            <w:r>
              <w:rPr>
                <w:rStyle w:val="Laukeliai"/>
                <w:rFonts w:ascii="Tahoma" w:hAnsi="Tahoma"/>
                <w:b/>
              </w:rPr>
              <w:t xml:space="preserve">Documents/information accompanying </w:t>
            </w:r>
            <w:r>
              <w:rPr>
                <w:rStyle w:val="Laukeliai"/>
                <w:rFonts w:ascii="Tahoma" w:hAnsi="Tahoma"/>
                <w:b/>
                <w:u w:val="single"/>
              </w:rPr>
              <w:t>the tender bid</w:t>
            </w:r>
          </w:p>
        </w:tc>
      </w:tr>
      <w:tr w:rsidR="00DC36D7" w:rsidRPr="002C7913" w14:paraId="1C985005" w14:textId="32DF5D1F" w:rsidTr="00BE6E00">
        <w:trPr>
          <w:trHeight w:val="404"/>
        </w:trPr>
        <w:tc>
          <w:tcPr>
            <w:tcW w:w="562" w:type="dxa"/>
            <w:vAlign w:val="center"/>
          </w:tcPr>
          <w:p w14:paraId="01A040EF" w14:textId="6478870F" w:rsidR="002C7913" w:rsidRPr="00396C7D" w:rsidRDefault="002C7913" w:rsidP="00396C7D">
            <w:pPr>
              <w:pStyle w:val="ListParagraph"/>
              <w:numPr>
                <w:ilvl w:val="0"/>
                <w:numId w:val="6"/>
              </w:numPr>
              <w:tabs>
                <w:tab w:val="left" w:pos="22"/>
              </w:tabs>
              <w:spacing w:after="0" w:line="240" w:lineRule="auto"/>
              <w:ind w:left="22" w:right="1633" w:firstLine="0"/>
              <w:rPr>
                <w:rFonts w:ascii="Tahoma" w:eastAsia="Times New Roman" w:hAnsi="Tahoma" w:cs="Tahoma"/>
                <w:b/>
                <w:iCs/>
                <w:sz w:val="20"/>
                <w:szCs w:val="20"/>
              </w:rPr>
            </w:pPr>
          </w:p>
        </w:tc>
        <w:tc>
          <w:tcPr>
            <w:tcW w:w="9214" w:type="dxa"/>
            <w:gridSpan w:val="2"/>
            <w:vAlign w:val="center"/>
          </w:tcPr>
          <w:p w14:paraId="6D05E2BB" w14:textId="410DEDEE" w:rsidR="002C7913" w:rsidRPr="00396C7D" w:rsidRDefault="002C7913" w:rsidP="00396C7D">
            <w:pPr>
              <w:widowControl w:val="0"/>
              <w:tabs>
                <w:tab w:val="left" w:pos="851"/>
              </w:tabs>
              <w:spacing w:after="0" w:line="240" w:lineRule="auto"/>
              <w:rPr>
                <w:rFonts w:ascii="Tahoma" w:eastAsia="Times New Roman" w:hAnsi="Tahoma" w:cs="Tahoma"/>
                <w:sz w:val="20"/>
                <w:szCs w:val="20"/>
              </w:rPr>
            </w:pPr>
            <w:r>
              <w:rPr>
                <w:rFonts w:ascii="Tahoma" w:hAnsi="Tahoma"/>
                <w:b/>
                <w:sz w:val="20"/>
              </w:rPr>
              <w:t>Price</w:t>
            </w:r>
          </w:p>
        </w:tc>
        <w:tc>
          <w:tcPr>
            <w:tcW w:w="1559" w:type="dxa"/>
            <w:vAlign w:val="center"/>
          </w:tcPr>
          <w:p w14:paraId="15D80DDB" w14:textId="28A85FBE" w:rsidR="002C7913" w:rsidRPr="00396C7D" w:rsidRDefault="00F57450" w:rsidP="00396C7D">
            <w:pPr>
              <w:widowControl w:val="0"/>
              <w:tabs>
                <w:tab w:val="left" w:pos="851"/>
              </w:tabs>
              <w:spacing w:after="0" w:line="240" w:lineRule="auto"/>
              <w:jc w:val="center"/>
              <w:rPr>
                <w:rFonts w:ascii="Tahoma" w:eastAsia="Times New Roman" w:hAnsi="Tahoma" w:cs="Tahoma"/>
                <w:b/>
                <w:bCs/>
                <w:sz w:val="20"/>
                <w:szCs w:val="20"/>
              </w:rPr>
            </w:pPr>
            <w:r>
              <w:rPr>
                <w:rFonts w:ascii="Tahoma" w:hAnsi="Tahoma"/>
                <w:b/>
                <w:sz w:val="20"/>
              </w:rPr>
              <w:t>81</w:t>
            </w:r>
          </w:p>
        </w:tc>
        <w:tc>
          <w:tcPr>
            <w:tcW w:w="3686" w:type="dxa"/>
            <w:vAlign w:val="center"/>
          </w:tcPr>
          <w:p w14:paraId="3E043E96" w14:textId="479A9966" w:rsidR="002C7913" w:rsidRPr="00396C7D" w:rsidRDefault="002C7913" w:rsidP="00396C7D">
            <w:pPr>
              <w:widowControl w:val="0"/>
              <w:tabs>
                <w:tab w:val="left" w:pos="851"/>
              </w:tabs>
              <w:spacing w:after="0" w:line="240" w:lineRule="auto"/>
              <w:rPr>
                <w:rFonts w:ascii="Tahoma" w:eastAsia="Times New Roman" w:hAnsi="Tahoma" w:cs="Tahoma"/>
                <w:sz w:val="20"/>
                <w:szCs w:val="20"/>
              </w:rPr>
            </w:pPr>
            <w:r>
              <w:rPr>
                <w:rFonts w:ascii="Tahoma" w:hAnsi="Tahoma"/>
                <w:sz w:val="20"/>
              </w:rPr>
              <w:t>Tender bid template (Annex 5 to the Procurement Conditions)</w:t>
            </w:r>
          </w:p>
        </w:tc>
      </w:tr>
      <w:tr w:rsidR="00342D99" w:rsidRPr="002C7913" w14:paraId="09B24602" w14:textId="77777777">
        <w:trPr>
          <w:trHeight w:val="343"/>
        </w:trPr>
        <w:tc>
          <w:tcPr>
            <w:tcW w:w="562" w:type="dxa"/>
            <w:vMerge w:val="restart"/>
          </w:tcPr>
          <w:p w14:paraId="02A688A6" w14:textId="77777777" w:rsidR="00342D99" w:rsidRPr="00396C7D" w:rsidRDefault="00342D99">
            <w:pPr>
              <w:pStyle w:val="ListParagraph"/>
              <w:widowControl w:val="0"/>
              <w:numPr>
                <w:ilvl w:val="0"/>
                <w:numId w:val="6"/>
              </w:numPr>
              <w:tabs>
                <w:tab w:val="left" w:pos="22"/>
              </w:tabs>
              <w:spacing w:after="0" w:line="240" w:lineRule="auto"/>
              <w:ind w:left="0" w:right="36" w:firstLine="0"/>
              <w:rPr>
                <w:rFonts w:ascii="Tahoma" w:eastAsia="Times New Roman" w:hAnsi="Tahoma" w:cs="Tahoma"/>
                <w:b/>
                <w:iCs/>
                <w:sz w:val="20"/>
                <w:szCs w:val="20"/>
              </w:rPr>
            </w:pPr>
          </w:p>
        </w:tc>
        <w:tc>
          <w:tcPr>
            <w:tcW w:w="14459" w:type="dxa"/>
            <w:gridSpan w:val="4"/>
          </w:tcPr>
          <w:p w14:paraId="49D4F470" w14:textId="6CC132AB" w:rsidR="00342D99" w:rsidRPr="00396C7D" w:rsidRDefault="00342D99">
            <w:pPr>
              <w:widowControl w:val="0"/>
              <w:tabs>
                <w:tab w:val="left" w:pos="851"/>
              </w:tabs>
              <w:spacing w:after="0" w:line="240" w:lineRule="auto"/>
              <w:rPr>
                <w:rFonts w:ascii="Tahoma" w:eastAsia="Times New Roman" w:hAnsi="Tahoma" w:cs="Tahoma"/>
                <w:sz w:val="20"/>
                <w:szCs w:val="20"/>
              </w:rPr>
            </w:pPr>
            <w:r>
              <w:rPr>
                <w:rFonts w:ascii="Tahoma" w:hAnsi="Tahoma"/>
                <w:b/>
                <w:sz w:val="20"/>
              </w:rPr>
              <w:t xml:space="preserve">Criterion 1: Additional experience of the audit trail specialist proposed by the tenderer  </w:t>
            </w:r>
          </w:p>
        </w:tc>
      </w:tr>
      <w:tr w:rsidR="00342D99" w:rsidRPr="002C7913" w14:paraId="7EF81D7D" w14:textId="77777777" w:rsidTr="00F4057F">
        <w:trPr>
          <w:trHeight w:val="5252"/>
        </w:trPr>
        <w:tc>
          <w:tcPr>
            <w:tcW w:w="562" w:type="dxa"/>
            <w:vMerge/>
            <w:tcBorders>
              <w:bottom w:val="single" w:sz="4" w:space="0" w:color="auto"/>
            </w:tcBorders>
          </w:tcPr>
          <w:p w14:paraId="173472A0" w14:textId="77777777" w:rsidR="00342D99" w:rsidRPr="00396C7D" w:rsidRDefault="00342D99">
            <w:pPr>
              <w:pStyle w:val="ListParagraph"/>
              <w:widowControl w:val="0"/>
              <w:tabs>
                <w:tab w:val="left" w:pos="22"/>
              </w:tabs>
              <w:spacing w:after="0" w:line="240" w:lineRule="auto"/>
              <w:ind w:left="0" w:right="36"/>
              <w:jc w:val="both"/>
              <w:rPr>
                <w:rFonts w:ascii="Tahoma" w:eastAsia="Times New Roman" w:hAnsi="Tahoma" w:cs="Tahoma"/>
                <w:b/>
                <w:iCs/>
                <w:sz w:val="20"/>
                <w:szCs w:val="20"/>
              </w:rPr>
            </w:pPr>
          </w:p>
        </w:tc>
        <w:tc>
          <w:tcPr>
            <w:tcW w:w="4253" w:type="dxa"/>
            <w:tcBorders>
              <w:bottom w:val="single" w:sz="4" w:space="0" w:color="auto"/>
            </w:tcBorders>
          </w:tcPr>
          <w:p w14:paraId="521E2AEE" w14:textId="52173479" w:rsidR="00342D99" w:rsidRPr="000C66C3" w:rsidRDefault="00342D99">
            <w:pPr>
              <w:spacing w:after="0"/>
              <w:jc w:val="both"/>
              <w:rPr>
                <w:rFonts w:ascii="Tahoma" w:hAnsi="Tahoma" w:cs="Tahoma"/>
                <w:b/>
                <w:bCs/>
                <w:sz w:val="20"/>
                <w:szCs w:val="20"/>
              </w:rPr>
            </w:pPr>
            <w:r>
              <w:rPr>
                <w:rFonts w:ascii="Tahoma" w:hAnsi="Tahoma"/>
                <w:b/>
                <w:sz w:val="20"/>
              </w:rPr>
              <w:t>Additional experience of the audit trail specialist</w:t>
            </w:r>
            <w:r w:rsidR="001B2687" w:rsidRPr="007E040D">
              <w:rPr>
                <w:rStyle w:val="FootnoteReference"/>
                <w:rFonts w:ascii="Tahoma" w:hAnsi="Tahoma" w:cs="Tahoma"/>
                <w:bCs/>
                <w:sz w:val="20"/>
                <w:szCs w:val="20"/>
              </w:rPr>
              <w:footnoteReference w:id="2"/>
            </w:r>
            <w:r>
              <w:rPr>
                <w:rFonts w:ascii="Tahoma" w:hAnsi="Tahoma"/>
                <w:b/>
                <w:sz w:val="20"/>
              </w:rPr>
              <w:t xml:space="preserve"> proposed by the Provider</w:t>
            </w:r>
            <w:r w:rsidR="006D1742">
              <w:rPr>
                <w:rFonts w:ascii="Tahoma" w:hAnsi="Tahoma"/>
                <w:b/>
                <w:sz w:val="20"/>
              </w:rPr>
              <w:t>:</w:t>
            </w:r>
          </w:p>
          <w:p w14:paraId="720AD5EB" w14:textId="39531442" w:rsidR="00342D99" w:rsidRPr="00396C7D" w:rsidDel="003B7DB7" w:rsidRDefault="006D1742">
            <w:pPr>
              <w:spacing w:after="0" w:line="240" w:lineRule="auto"/>
              <w:jc w:val="both"/>
              <w:rPr>
                <w:rFonts w:ascii="Tahoma" w:eastAsia="Times New Roman" w:hAnsi="Tahoma" w:cs="Tahoma"/>
                <w:b/>
                <w:iCs/>
                <w:sz w:val="20"/>
                <w:szCs w:val="20"/>
              </w:rPr>
            </w:pPr>
            <w:r w:rsidRPr="006D1742">
              <w:rPr>
                <w:rFonts w:ascii="Tahoma" w:hAnsi="Tahoma"/>
                <w:sz w:val="20"/>
              </w:rPr>
              <w:t>Over the past 7 years, the professional must have at least 2 years of additional experience (excluding qualifications) in the implementation of an audit trail functionality solution(s) for information systems</w:t>
            </w:r>
            <w:r>
              <w:rPr>
                <w:rFonts w:ascii="Tahoma" w:hAnsi="Tahoma"/>
                <w:sz w:val="20"/>
              </w:rPr>
              <w:t>.</w:t>
            </w:r>
          </w:p>
        </w:tc>
        <w:tc>
          <w:tcPr>
            <w:tcW w:w="4961" w:type="dxa"/>
            <w:tcBorders>
              <w:bottom w:val="single" w:sz="4" w:space="0" w:color="auto"/>
            </w:tcBorders>
          </w:tcPr>
          <w:p w14:paraId="24BD96A1" w14:textId="2364972B" w:rsidR="00342D99" w:rsidRDefault="00342D99">
            <w:pPr>
              <w:widowControl w:val="0"/>
              <w:tabs>
                <w:tab w:val="left" w:pos="851"/>
              </w:tabs>
              <w:spacing w:after="0"/>
              <w:jc w:val="both"/>
              <w:rPr>
                <w:rFonts w:ascii="Tahoma" w:hAnsi="Tahoma" w:cs="Tahoma"/>
                <w:sz w:val="20"/>
                <w:szCs w:val="20"/>
              </w:rPr>
            </w:pPr>
            <w:r>
              <w:rPr>
                <w:rFonts w:ascii="Tahoma" w:hAnsi="Tahoma"/>
                <w:sz w:val="20"/>
              </w:rPr>
              <w:t xml:space="preserve">The tenderer shall score the maximum number of points when it proposes a specialist who has the specified additional experience proved by the </w:t>
            </w:r>
            <w:r>
              <w:rPr>
                <w:rFonts w:ascii="Tahoma" w:hAnsi="Tahoma"/>
                <w:b/>
                <w:bCs/>
                <w:sz w:val="20"/>
              </w:rPr>
              <w:t>testimonial from the customer (Annex 16 to the Special Conditions of Procurement)</w:t>
            </w:r>
            <w:r>
              <w:rPr>
                <w:rFonts w:ascii="Tahoma" w:hAnsi="Tahoma"/>
                <w:sz w:val="20"/>
              </w:rPr>
              <w:t xml:space="preserve"> provided by the tenderer to prove conformity of the qualification to the qualification requirements set out in the Procurement Conditions</w:t>
            </w:r>
            <w:r w:rsidRPr="00396C7D">
              <w:rPr>
                <w:rStyle w:val="FootnoteReference"/>
                <w:rFonts w:ascii="Tahoma" w:hAnsi="Tahoma" w:cs="Tahoma"/>
                <w:sz w:val="20"/>
                <w:szCs w:val="20"/>
              </w:rPr>
              <w:footnoteReference w:id="3"/>
            </w:r>
            <w:r>
              <w:rPr>
                <w:rFonts w:ascii="Tahoma" w:hAnsi="Tahoma"/>
                <w:sz w:val="20"/>
              </w:rPr>
              <w:t>.</w:t>
            </w:r>
          </w:p>
          <w:p w14:paraId="18485484" w14:textId="16C34622" w:rsidR="00342D99" w:rsidRPr="00396C7D" w:rsidDel="002211EA" w:rsidRDefault="00342D99">
            <w:pPr>
              <w:widowControl w:val="0"/>
              <w:tabs>
                <w:tab w:val="left" w:pos="851"/>
              </w:tabs>
              <w:spacing w:before="240" w:after="0"/>
              <w:jc w:val="both"/>
              <w:rPr>
                <w:rFonts w:ascii="Tahoma" w:eastAsia="Times New Roman" w:hAnsi="Tahoma" w:cs="Tahoma"/>
                <w:sz w:val="20"/>
                <w:szCs w:val="20"/>
              </w:rPr>
            </w:pPr>
            <w:r>
              <w:rPr>
                <w:rFonts w:ascii="Tahoma" w:hAnsi="Tahoma"/>
                <w:b/>
                <w:sz w:val="20"/>
              </w:rPr>
              <w:t>NOTE:</w:t>
            </w:r>
            <w:r>
              <w:rPr>
                <w:rFonts w:ascii="Tahoma" w:hAnsi="Tahoma"/>
                <w:sz w:val="20"/>
              </w:rPr>
              <w:t xml:space="preserve"> This criterion must be met by the tenderer or at least one member of the group of economic operators if the specialist of a member of this group of economic operators is going in fact to provide Services under the Contract. The tenderer may also involve another economic operator to comply with this criterion; however, this is possible only in case the Services under the Contract are provided in fact by the specialist of the economic operator involved. If, to comply with this criterion, the tenderer provides: 1) documents of the sub-provider involved; or 2) documents of the economic operator whose qualification it does not rely on, or 3) documents of the economic operator whose qualification it relies on, or documents of a member of the group of economic operators but the specialist of these economic operators will not be responsible for the performance of the Contract and/or will not actually provide Services under the Contract, then they will score 0 points.</w:t>
            </w:r>
          </w:p>
        </w:tc>
        <w:tc>
          <w:tcPr>
            <w:tcW w:w="1559" w:type="dxa"/>
            <w:tcBorders>
              <w:bottom w:val="single" w:sz="4" w:space="0" w:color="auto"/>
            </w:tcBorders>
          </w:tcPr>
          <w:p w14:paraId="29DEFE02" w14:textId="0E48A2FC" w:rsidR="00342D99" w:rsidRPr="00342D99" w:rsidRDefault="00CE7E74">
            <w:pPr>
              <w:widowControl w:val="0"/>
              <w:tabs>
                <w:tab w:val="left" w:pos="851"/>
              </w:tabs>
              <w:spacing w:after="0" w:line="240" w:lineRule="auto"/>
              <w:jc w:val="center"/>
              <w:rPr>
                <w:rFonts w:ascii="Tahoma" w:eastAsia="Times New Roman" w:hAnsi="Tahoma" w:cs="Tahoma"/>
                <w:b/>
                <w:bCs/>
                <w:color w:val="FF0000"/>
                <w:sz w:val="20"/>
                <w:szCs w:val="20"/>
              </w:rPr>
            </w:pPr>
            <w:r>
              <w:rPr>
                <w:rFonts w:ascii="Tahoma" w:hAnsi="Tahoma"/>
                <w:b/>
                <w:sz w:val="20"/>
              </w:rPr>
              <w:t>5</w:t>
            </w:r>
          </w:p>
        </w:tc>
        <w:tc>
          <w:tcPr>
            <w:tcW w:w="3686" w:type="dxa"/>
            <w:tcBorders>
              <w:bottom w:val="single" w:sz="4" w:space="0" w:color="auto"/>
            </w:tcBorders>
          </w:tcPr>
          <w:p w14:paraId="6AC35316" w14:textId="10FBC04A" w:rsidR="00342D99" w:rsidRDefault="00342D99">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0"/>
                <w:szCs w:val="20"/>
              </w:rPr>
            </w:pPr>
            <w:r>
              <w:rPr>
                <w:rFonts w:ascii="Tahoma" w:hAnsi="Tahoma"/>
                <w:sz w:val="20"/>
              </w:rPr>
              <w:t>Tender bid template (Annex 5 to the Procurement Conditions)</w:t>
            </w:r>
          </w:p>
          <w:p w14:paraId="62577451" w14:textId="250C8F61" w:rsidR="00342D99" w:rsidRPr="004C2F98" w:rsidRDefault="00342D99">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0"/>
                <w:szCs w:val="20"/>
              </w:rPr>
            </w:pPr>
            <w:r>
              <w:rPr>
                <w:rFonts w:ascii="Tahoma" w:hAnsi="Tahoma"/>
                <w:sz w:val="20"/>
              </w:rPr>
              <w:t>List of specialists and a certificate of conformity to qualitative evaluation criteria (</w:t>
            </w:r>
            <w:r w:rsidRPr="001B2687">
              <w:rPr>
                <w:rFonts w:ascii="Tahoma" w:hAnsi="Tahoma"/>
                <w:sz w:val="20"/>
              </w:rPr>
              <w:t>Annex 15 to the Procurement Conditions</w:t>
            </w:r>
            <w:r>
              <w:rPr>
                <w:rFonts w:ascii="Tahoma" w:hAnsi="Tahoma"/>
                <w:sz w:val="20"/>
              </w:rPr>
              <w:t>)</w:t>
            </w:r>
          </w:p>
          <w:p w14:paraId="501634E5" w14:textId="6DE5546D" w:rsidR="00342D99" w:rsidRPr="00F24960" w:rsidRDefault="00342D99">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0"/>
                <w:szCs w:val="20"/>
              </w:rPr>
            </w:pPr>
            <w:r>
              <w:rPr>
                <w:rFonts w:ascii="Tahoma" w:hAnsi="Tahoma"/>
                <w:sz w:val="20"/>
              </w:rPr>
              <w:t>Testimonial from the customer (</w:t>
            </w:r>
            <w:r w:rsidRPr="001B2687">
              <w:rPr>
                <w:rFonts w:ascii="Tahoma" w:hAnsi="Tahoma"/>
                <w:sz w:val="20"/>
              </w:rPr>
              <w:t>Annex 16 to the Procurement Conditions</w:t>
            </w:r>
            <w:r>
              <w:rPr>
                <w:rFonts w:ascii="Tahoma" w:hAnsi="Tahoma"/>
                <w:sz w:val="20"/>
              </w:rPr>
              <w:t>)</w:t>
            </w:r>
          </w:p>
        </w:tc>
      </w:tr>
      <w:tr w:rsidR="00F4057F" w:rsidRPr="002C7913" w14:paraId="521278FA" w14:textId="77777777">
        <w:trPr>
          <w:trHeight w:val="343"/>
        </w:trPr>
        <w:tc>
          <w:tcPr>
            <w:tcW w:w="562" w:type="dxa"/>
            <w:vMerge w:val="restart"/>
          </w:tcPr>
          <w:p w14:paraId="759F324F" w14:textId="77777777" w:rsidR="00F4057F" w:rsidRPr="00396C7D" w:rsidRDefault="00F4057F">
            <w:pPr>
              <w:pStyle w:val="ListParagraph"/>
              <w:widowControl w:val="0"/>
              <w:numPr>
                <w:ilvl w:val="0"/>
                <w:numId w:val="6"/>
              </w:numPr>
              <w:tabs>
                <w:tab w:val="left" w:pos="22"/>
              </w:tabs>
              <w:spacing w:after="0" w:line="240" w:lineRule="auto"/>
              <w:ind w:left="0" w:right="36" w:firstLine="0"/>
              <w:rPr>
                <w:rFonts w:ascii="Tahoma" w:eastAsia="Times New Roman" w:hAnsi="Tahoma" w:cs="Tahoma"/>
                <w:b/>
                <w:iCs/>
                <w:sz w:val="20"/>
                <w:szCs w:val="20"/>
              </w:rPr>
            </w:pPr>
          </w:p>
        </w:tc>
        <w:tc>
          <w:tcPr>
            <w:tcW w:w="14459" w:type="dxa"/>
            <w:gridSpan w:val="4"/>
          </w:tcPr>
          <w:p w14:paraId="7759FB81" w14:textId="46073467" w:rsidR="00F4057F" w:rsidRPr="00396C7D" w:rsidRDefault="00F4057F">
            <w:pPr>
              <w:widowControl w:val="0"/>
              <w:tabs>
                <w:tab w:val="left" w:pos="851"/>
              </w:tabs>
              <w:spacing w:after="0" w:line="240" w:lineRule="auto"/>
              <w:rPr>
                <w:rFonts w:ascii="Tahoma" w:eastAsia="Times New Roman" w:hAnsi="Tahoma" w:cs="Tahoma"/>
                <w:sz w:val="20"/>
                <w:szCs w:val="20"/>
              </w:rPr>
            </w:pPr>
            <w:r>
              <w:rPr>
                <w:rFonts w:ascii="Tahoma" w:hAnsi="Tahoma"/>
                <w:b/>
                <w:sz w:val="20"/>
              </w:rPr>
              <w:t xml:space="preserve">Criterion 2: Additional experience of the information systems analyst proposed by the tenderer  </w:t>
            </w:r>
          </w:p>
        </w:tc>
      </w:tr>
      <w:tr w:rsidR="00F4057F" w:rsidRPr="002C7913" w14:paraId="5EC76CC0" w14:textId="77777777">
        <w:tc>
          <w:tcPr>
            <w:tcW w:w="562" w:type="dxa"/>
            <w:vMerge/>
            <w:tcBorders>
              <w:bottom w:val="single" w:sz="4" w:space="0" w:color="auto"/>
            </w:tcBorders>
          </w:tcPr>
          <w:p w14:paraId="29B7E511" w14:textId="77777777" w:rsidR="00F4057F" w:rsidRPr="00396C7D" w:rsidRDefault="00F4057F">
            <w:pPr>
              <w:pStyle w:val="ListParagraph"/>
              <w:widowControl w:val="0"/>
              <w:tabs>
                <w:tab w:val="left" w:pos="22"/>
              </w:tabs>
              <w:spacing w:after="0" w:line="240" w:lineRule="auto"/>
              <w:ind w:left="0" w:right="36"/>
              <w:jc w:val="both"/>
              <w:rPr>
                <w:rFonts w:ascii="Tahoma" w:eastAsia="Times New Roman" w:hAnsi="Tahoma" w:cs="Tahoma"/>
                <w:b/>
                <w:iCs/>
                <w:sz w:val="20"/>
                <w:szCs w:val="20"/>
              </w:rPr>
            </w:pPr>
          </w:p>
        </w:tc>
        <w:tc>
          <w:tcPr>
            <w:tcW w:w="4253" w:type="dxa"/>
            <w:tcBorders>
              <w:bottom w:val="single" w:sz="4" w:space="0" w:color="auto"/>
            </w:tcBorders>
          </w:tcPr>
          <w:p w14:paraId="5A775828" w14:textId="569F5119" w:rsidR="001B2687" w:rsidRDefault="00F4057F" w:rsidP="00F4057F">
            <w:pPr>
              <w:tabs>
                <w:tab w:val="left" w:pos="227"/>
              </w:tabs>
              <w:spacing w:after="0"/>
              <w:jc w:val="both"/>
              <w:rPr>
                <w:rFonts w:ascii="Tahoma" w:hAnsi="Tahoma"/>
                <w:sz w:val="20"/>
              </w:rPr>
            </w:pPr>
            <w:r>
              <w:rPr>
                <w:rFonts w:ascii="Tahoma" w:hAnsi="Tahoma"/>
                <w:b/>
                <w:sz w:val="20"/>
              </w:rPr>
              <w:t>Additional experience of the information systems analyst proposed by the Provider.</w:t>
            </w:r>
            <w:r>
              <w:rPr>
                <w:rFonts w:ascii="Tahoma" w:hAnsi="Tahoma"/>
                <w:sz w:val="20"/>
              </w:rPr>
              <w:t xml:space="preserve"> </w:t>
            </w:r>
          </w:p>
          <w:p w14:paraId="549EA540" w14:textId="77777777" w:rsidR="006D1742" w:rsidRPr="006D1742" w:rsidRDefault="006D1742" w:rsidP="006D1742">
            <w:pPr>
              <w:tabs>
                <w:tab w:val="left" w:pos="227"/>
              </w:tabs>
              <w:spacing w:after="0"/>
              <w:jc w:val="both"/>
              <w:rPr>
                <w:rFonts w:ascii="Tahoma" w:hAnsi="Tahoma"/>
                <w:sz w:val="20"/>
                <w:lang w:val="lt-LT"/>
              </w:rPr>
            </w:pPr>
            <w:proofErr w:type="spellStart"/>
            <w:r w:rsidRPr="006D1742">
              <w:rPr>
                <w:rFonts w:ascii="Tahoma" w:hAnsi="Tahoma"/>
                <w:sz w:val="20"/>
                <w:lang w:val="lt-LT"/>
              </w:rPr>
              <w:t>Over</w:t>
            </w:r>
            <w:proofErr w:type="spellEnd"/>
            <w:r w:rsidRPr="006D1742">
              <w:rPr>
                <w:rFonts w:ascii="Tahoma" w:hAnsi="Tahoma"/>
                <w:sz w:val="20"/>
                <w:lang w:val="lt-LT"/>
              </w:rPr>
              <w:t xml:space="preserve"> </w:t>
            </w:r>
            <w:proofErr w:type="spellStart"/>
            <w:r w:rsidRPr="006D1742">
              <w:rPr>
                <w:rFonts w:ascii="Tahoma" w:hAnsi="Tahoma"/>
                <w:sz w:val="20"/>
                <w:lang w:val="lt-LT"/>
              </w:rPr>
              <w:t>the</w:t>
            </w:r>
            <w:proofErr w:type="spellEnd"/>
            <w:r w:rsidRPr="006D1742">
              <w:rPr>
                <w:rFonts w:ascii="Tahoma" w:hAnsi="Tahoma"/>
                <w:sz w:val="20"/>
                <w:lang w:val="lt-LT"/>
              </w:rPr>
              <w:t xml:space="preserve"> </w:t>
            </w:r>
            <w:proofErr w:type="spellStart"/>
            <w:r w:rsidRPr="006D1742">
              <w:rPr>
                <w:rFonts w:ascii="Tahoma" w:hAnsi="Tahoma"/>
                <w:sz w:val="20"/>
                <w:lang w:val="lt-LT"/>
              </w:rPr>
              <w:t>past</w:t>
            </w:r>
            <w:proofErr w:type="spellEnd"/>
            <w:r w:rsidRPr="006D1742">
              <w:rPr>
                <w:rFonts w:ascii="Tahoma" w:hAnsi="Tahoma"/>
                <w:sz w:val="20"/>
                <w:lang w:val="lt-LT"/>
              </w:rPr>
              <w:t xml:space="preserve"> 5 </w:t>
            </w:r>
            <w:proofErr w:type="spellStart"/>
            <w:r w:rsidRPr="006D1742">
              <w:rPr>
                <w:rFonts w:ascii="Tahoma" w:hAnsi="Tahoma"/>
                <w:sz w:val="20"/>
                <w:lang w:val="lt-LT"/>
              </w:rPr>
              <w:t>years</w:t>
            </w:r>
            <w:proofErr w:type="spellEnd"/>
            <w:r w:rsidRPr="006D1742">
              <w:rPr>
                <w:rFonts w:ascii="Tahoma" w:hAnsi="Tahoma"/>
                <w:sz w:val="20"/>
                <w:lang w:val="lt-LT"/>
              </w:rPr>
              <w:t xml:space="preserve">, a </w:t>
            </w:r>
            <w:proofErr w:type="spellStart"/>
            <w:r w:rsidRPr="006D1742">
              <w:rPr>
                <w:rFonts w:ascii="Tahoma" w:hAnsi="Tahoma"/>
                <w:sz w:val="20"/>
                <w:lang w:val="lt-LT"/>
              </w:rPr>
              <w:t>project</w:t>
            </w:r>
            <w:proofErr w:type="spellEnd"/>
            <w:r w:rsidRPr="006D1742">
              <w:rPr>
                <w:rFonts w:ascii="Tahoma" w:hAnsi="Tahoma"/>
                <w:sz w:val="20"/>
                <w:lang w:val="lt-LT"/>
              </w:rPr>
              <w:t>/</w:t>
            </w:r>
            <w:proofErr w:type="spellStart"/>
            <w:r w:rsidRPr="006D1742">
              <w:rPr>
                <w:rFonts w:ascii="Tahoma" w:hAnsi="Tahoma"/>
                <w:sz w:val="20"/>
                <w:lang w:val="lt-LT"/>
              </w:rPr>
              <w:t>contract</w:t>
            </w:r>
            <w:proofErr w:type="spellEnd"/>
            <w:r w:rsidRPr="006D1742">
              <w:rPr>
                <w:rFonts w:ascii="Tahoma" w:hAnsi="Tahoma"/>
                <w:sz w:val="20"/>
                <w:lang w:val="lt-LT"/>
              </w:rPr>
              <w:t xml:space="preserve"> </w:t>
            </w:r>
            <w:proofErr w:type="spellStart"/>
            <w:r w:rsidRPr="006D1742">
              <w:rPr>
                <w:rFonts w:ascii="Tahoma" w:hAnsi="Tahoma"/>
                <w:sz w:val="20"/>
                <w:lang w:val="lt-LT"/>
              </w:rPr>
              <w:t>in</w:t>
            </w:r>
            <w:proofErr w:type="spellEnd"/>
            <w:r w:rsidRPr="006D1742">
              <w:rPr>
                <w:rFonts w:ascii="Tahoma" w:hAnsi="Tahoma"/>
                <w:sz w:val="20"/>
                <w:lang w:val="lt-LT"/>
              </w:rPr>
              <w:t xml:space="preserve"> </w:t>
            </w:r>
            <w:proofErr w:type="spellStart"/>
            <w:r w:rsidRPr="006D1742">
              <w:rPr>
                <w:rFonts w:ascii="Tahoma" w:hAnsi="Tahoma"/>
                <w:sz w:val="20"/>
                <w:lang w:val="lt-LT"/>
              </w:rPr>
              <w:t>which</w:t>
            </w:r>
            <w:proofErr w:type="spellEnd"/>
            <w:r w:rsidRPr="006D1742">
              <w:rPr>
                <w:rFonts w:ascii="Tahoma" w:hAnsi="Tahoma"/>
                <w:sz w:val="20"/>
                <w:lang w:val="lt-LT"/>
              </w:rPr>
              <w:t xml:space="preserve"> </w:t>
            </w:r>
            <w:proofErr w:type="spellStart"/>
            <w:r w:rsidRPr="006D1742">
              <w:rPr>
                <w:rFonts w:ascii="Tahoma" w:hAnsi="Tahoma"/>
                <w:sz w:val="20"/>
                <w:lang w:val="lt-LT"/>
              </w:rPr>
              <w:t>the</w:t>
            </w:r>
            <w:proofErr w:type="spellEnd"/>
            <w:r w:rsidRPr="006D1742">
              <w:rPr>
                <w:rFonts w:ascii="Tahoma" w:hAnsi="Tahoma"/>
                <w:sz w:val="20"/>
                <w:lang w:val="lt-LT"/>
              </w:rPr>
              <w:t xml:space="preserve"> </w:t>
            </w:r>
            <w:proofErr w:type="spellStart"/>
            <w:r w:rsidRPr="006D1742">
              <w:rPr>
                <w:rFonts w:ascii="Tahoma" w:hAnsi="Tahoma"/>
                <w:sz w:val="20"/>
                <w:lang w:val="lt-LT"/>
              </w:rPr>
              <w:t>processes</w:t>
            </w:r>
            <w:proofErr w:type="spellEnd"/>
            <w:r w:rsidRPr="006D1742">
              <w:rPr>
                <w:rFonts w:ascii="Tahoma" w:hAnsi="Tahoma"/>
                <w:sz w:val="20"/>
                <w:lang w:val="lt-LT"/>
              </w:rPr>
              <w:t xml:space="preserve"> </w:t>
            </w:r>
            <w:proofErr w:type="spellStart"/>
            <w:r w:rsidRPr="006D1742">
              <w:rPr>
                <w:rFonts w:ascii="Tahoma" w:hAnsi="Tahoma"/>
                <w:sz w:val="20"/>
                <w:lang w:val="lt-LT"/>
              </w:rPr>
              <w:t>and</w:t>
            </w:r>
            <w:proofErr w:type="spellEnd"/>
            <w:r w:rsidRPr="006D1742">
              <w:rPr>
                <w:rFonts w:ascii="Tahoma" w:hAnsi="Tahoma"/>
                <w:sz w:val="20"/>
                <w:lang w:val="lt-LT"/>
              </w:rPr>
              <w:t>/</w:t>
            </w:r>
            <w:proofErr w:type="spellStart"/>
            <w:r w:rsidRPr="006D1742">
              <w:rPr>
                <w:rFonts w:ascii="Tahoma" w:hAnsi="Tahoma"/>
                <w:sz w:val="20"/>
                <w:lang w:val="lt-LT"/>
              </w:rPr>
              <w:t>or</w:t>
            </w:r>
            <w:proofErr w:type="spellEnd"/>
            <w:r w:rsidRPr="006D1742">
              <w:rPr>
                <w:rFonts w:ascii="Tahoma" w:hAnsi="Tahoma"/>
                <w:sz w:val="20"/>
                <w:lang w:val="lt-LT"/>
              </w:rPr>
              <w:t xml:space="preserve"> </w:t>
            </w:r>
            <w:proofErr w:type="spellStart"/>
            <w:r w:rsidRPr="006D1742">
              <w:rPr>
                <w:rFonts w:ascii="Tahoma" w:hAnsi="Tahoma"/>
                <w:sz w:val="20"/>
                <w:lang w:val="lt-LT"/>
              </w:rPr>
              <w:t>requirements</w:t>
            </w:r>
            <w:proofErr w:type="spellEnd"/>
            <w:r w:rsidRPr="006D1742">
              <w:rPr>
                <w:rFonts w:ascii="Tahoma" w:hAnsi="Tahoma"/>
                <w:sz w:val="20"/>
                <w:lang w:val="lt-LT"/>
              </w:rPr>
              <w:t xml:space="preserve"> </w:t>
            </w:r>
            <w:proofErr w:type="spellStart"/>
            <w:r w:rsidRPr="006D1742">
              <w:rPr>
                <w:rFonts w:ascii="Tahoma" w:hAnsi="Tahoma"/>
                <w:sz w:val="20"/>
                <w:lang w:val="lt-LT"/>
              </w:rPr>
              <w:t>of</w:t>
            </w:r>
            <w:proofErr w:type="spellEnd"/>
            <w:r w:rsidRPr="006D1742">
              <w:rPr>
                <w:rFonts w:ascii="Tahoma" w:hAnsi="Tahoma"/>
                <w:sz w:val="20"/>
                <w:lang w:val="lt-LT"/>
              </w:rPr>
              <w:t xml:space="preserve"> </w:t>
            </w:r>
            <w:proofErr w:type="spellStart"/>
            <w:r w:rsidRPr="006D1742">
              <w:rPr>
                <w:rFonts w:ascii="Tahoma" w:hAnsi="Tahoma"/>
                <w:sz w:val="20"/>
                <w:lang w:val="lt-LT"/>
              </w:rPr>
              <w:t>healthcare</w:t>
            </w:r>
            <w:proofErr w:type="spellEnd"/>
            <w:r w:rsidRPr="006D1742">
              <w:rPr>
                <w:rFonts w:ascii="Tahoma" w:hAnsi="Tahoma"/>
                <w:sz w:val="20"/>
                <w:lang w:val="lt-LT"/>
              </w:rPr>
              <w:t xml:space="preserve"> </w:t>
            </w:r>
            <w:proofErr w:type="spellStart"/>
            <w:r w:rsidRPr="006D1742">
              <w:rPr>
                <w:rFonts w:ascii="Tahoma" w:hAnsi="Tahoma"/>
                <w:sz w:val="20"/>
                <w:lang w:val="lt-LT"/>
              </w:rPr>
              <w:t>sector</w:t>
            </w:r>
            <w:proofErr w:type="spellEnd"/>
            <w:r w:rsidRPr="006D1742">
              <w:rPr>
                <w:rFonts w:ascii="Tahoma" w:hAnsi="Tahoma"/>
                <w:sz w:val="20"/>
                <w:lang w:val="lt-LT"/>
              </w:rPr>
              <w:t xml:space="preserve"> </w:t>
            </w:r>
            <w:proofErr w:type="spellStart"/>
            <w:r w:rsidRPr="006D1742">
              <w:rPr>
                <w:rFonts w:ascii="Tahoma" w:hAnsi="Tahoma"/>
                <w:sz w:val="20"/>
                <w:lang w:val="lt-LT"/>
              </w:rPr>
              <w:t>information</w:t>
            </w:r>
            <w:proofErr w:type="spellEnd"/>
            <w:r w:rsidRPr="006D1742">
              <w:rPr>
                <w:rFonts w:ascii="Tahoma" w:hAnsi="Tahoma"/>
                <w:sz w:val="20"/>
                <w:lang w:val="lt-LT"/>
              </w:rPr>
              <w:t xml:space="preserve"> </w:t>
            </w:r>
            <w:proofErr w:type="spellStart"/>
            <w:r w:rsidRPr="006D1742">
              <w:rPr>
                <w:rFonts w:ascii="Tahoma" w:hAnsi="Tahoma"/>
                <w:sz w:val="20"/>
                <w:lang w:val="lt-LT"/>
              </w:rPr>
              <w:t>systems</w:t>
            </w:r>
            <w:proofErr w:type="spellEnd"/>
            <w:r w:rsidRPr="006D1742">
              <w:rPr>
                <w:rFonts w:ascii="Tahoma" w:hAnsi="Tahoma"/>
                <w:sz w:val="20"/>
                <w:lang w:val="lt-LT"/>
              </w:rPr>
              <w:t xml:space="preserve"> </w:t>
            </w:r>
            <w:proofErr w:type="spellStart"/>
            <w:r w:rsidRPr="006D1742">
              <w:rPr>
                <w:rFonts w:ascii="Tahoma" w:hAnsi="Tahoma"/>
                <w:sz w:val="20"/>
                <w:lang w:val="lt-LT"/>
              </w:rPr>
              <w:t>were</w:t>
            </w:r>
            <w:proofErr w:type="spellEnd"/>
            <w:r w:rsidRPr="006D1742">
              <w:rPr>
                <w:rFonts w:ascii="Tahoma" w:hAnsi="Tahoma"/>
                <w:sz w:val="20"/>
                <w:lang w:val="lt-LT"/>
              </w:rPr>
              <w:t xml:space="preserve"> </w:t>
            </w:r>
            <w:proofErr w:type="spellStart"/>
            <w:r w:rsidRPr="006D1742">
              <w:rPr>
                <w:rFonts w:ascii="Tahoma" w:hAnsi="Tahoma"/>
                <w:sz w:val="20"/>
                <w:lang w:val="lt-LT"/>
              </w:rPr>
              <w:t>analysed</w:t>
            </w:r>
            <w:proofErr w:type="spellEnd"/>
            <w:r w:rsidRPr="006D1742">
              <w:rPr>
                <w:rFonts w:ascii="Tahoma" w:hAnsi="Tahoma"/>
                <w:sz w:val="20"/>
                <w:lang w:val="lt-LT"/>
              </w:rPr>
              <w:t>.</w:t>
            </w:r>
          </w:p>
          <w:p w14:paraId="1F58986A" w14:textId="77777777" w:rsidR="00F4057F" w:rsidRPr="00396C7D" w:rsidDel="003B7DB7" w:rsidRDefault="00F4057F">
            <w:pPr>
              <w:spacing w:after="0" w:line="240" w:lineRule="auto"/>
              <w:jc w:val="both"/>
              <w:rPr>
                <w:rFonts w:ascii="Tahoma" w:eastAsia="Times New Roman" w:hAnsi="Tahoma" w:cs="Tahoma"/>
                <w:b/>
                <w:iCs/>
                <w:sz w:val="20"/>
                <w:szCs w:val="20"/>
              </w:rPr>
            </w:pPr>
          </w:p>
        </w:tc>
        <w:tc>
          <w:tcPr>
            <w:tcW w:w="4961" w:type="dxa"/>
            <w:tcBorders>
              <w:bottom w:val="single" w:sz="4" w:space="0" w:color="auto"/>
            </w:tcBorders>
          </w:tcPr>
          <w:p w14:paraId="24DBF061" w14:textId="3B6BA3BA" w:rsidR="00F4057F" w:rsidRDefault="00F4057F">
            <w:pPr>
              <w:widowControl w:val="0"/>
              <w:tabs>
                <w:tab w:val="left" w:pos="851"/>
              </w:tabs>
              <w:spacing w:after="0"/>
              <w:jc w:val="both"/>
              <w:rPr>
                <w:rFonts w:ascii="Tahoma" w:hAnsi="Tahoma" w:cs="Tahoma"/>
                <w:sz w:val="20"/>
                <w:szCs w:val="20"/>
              </w:rPr>
            </w:pPr>
            <w:r>
              <w:rPr>
                <w:rFonts w:ascii="Tahoma" w:hAnsi="Tahoma"/>
                <w:sz w:val="20"/>
              </w:rPr>
              <w:t xml:space="preserve">The tenderer shall score the maximum number of points when it proposes a specialist who has the specified additional experience proved by the </w:t>
            </w:r>
            <w:r>
              <w:rPr>
                <w:rFonts w:ascii="Tahoma" w:hAnsi="Tahoma"/>
                <w:b/>
                <w:bCs/>
                <w:sz w:val="20"/>
              </w:rPr>
              <w:t>testimonial from the customer (Annex 16 to the Special Conditions of Procurement)</w:t>
            </w:r>
            <w:r>
              <w:rPr>
                <w:rFonts w:ascii="Tahoma" w:hAnsi="Tahoma"/>
                <w:sz w:val="20"/>
              </w:rPr>
              <w:t xml:space="preserve"> provided by the tenderer to prove conformity of the qualification to the qualification requirements set out in the Procurement Conditions</w:t>
            </w:r>
            <w:r w:rsidRPr="00396C7D">
              <w:rPr>
                <w:rStyle w:val="FootnoteReference"/>
                <w:rFonts w:ascii="Tahoma" w:hAnsi="Tahoma" w:cs="Tahoma"/>
                <w:sz w:val="20"/>
                <w:szCs w:val="20"/>
              </w:rPr>
              <w:footnoteReference w:id="4"/>
            </w:r>
            <w:r>
              <w:rPr>
                <w:rFonts w:ascii="Tahoma" w:hAnsi="Tahoma"/>
                <w:sz w:val="20"/>
              </w:rPr>
              <w:t>.</w:t>
            </w:r>
          </w:p>
          <w:p w14:paraId="24A172DC" w14:textId="1ABC6B65" w:rsidR="00F4057F" w:rsidRPr="00396C7D" w:rsidDel="002211EA" w:rsidRDefault="00F4057F">
            <w:pPr>
              <w:widowControl w:val="0"/>
              <w:tabs>
                <w:tab w:val="left" w:pos="851"/>
              </w:tabs>
              <w:spacing w:before="240" w:after="0"/>
              <w:jc w:val="both"/>
              <w:rPr>
                <w:rFonts w:ascii="Tahoma" w:eastAsia="Times New Roman" w:hAnsi="Tahoma" w:cs="Tahoma"/>
                <w:sz w:val="20"/>
                <w:szCs w:val="20"/>
              </w:rPr>
            </w:pPr>
            <w:r>
              <w:rPr>
                <w:rFonts w:ascii="Tahoma" w:hAnsi="Tahoma"/>
                <w:b/>
                <w:sz w:val="20"/>
              </w:rPr>
              <w:t>NOTE:</w:t>
            </w:r>
            <w:r>
              <w:rPr>
                <w:rFonts w:ascii="Tahoma" w:hAnsi="Tahoma"/>
                <w:sz w:val="20"/>
              </w:rPr>
              <w:t xml:space="preserve"> This criterion must be met by the tenderer or at least one member of the group of economic operators if the specialist of a member of this group of economic operators is going in fact to provide Services under the Contract. The tenderer may also involve another economic operator to comply with this criterion; however, this is possible only in case the Services under the Contract are provided in fact by the specialist of the economic operator involved. If, to comply with this criterion, the tenderer provides: 1) documents of the sub-provider involved; or 2) documents of the economic operator whose qualification it does not rely on, or 3) documents of the economic operator whose qualification it relies on, or documents of a member of the group of economic operators but the specialist of these economic operators will not be responsible for the performance of the Contract and/or will not actually provide Services under the Contract, then they will score 0 points.</w:t>
            </w:r>
          </w:p>
        </w:tc>
        <w:tc>
          <w:tcPr>
            <w:tcW w:w="1559" w:type="dxa"/>
            <w:tcBorders>
              <w:bottom w:val="single" w:sz="4" w:space="0" w:color="auto"/>
            </w:tcBorders>
          </w:tcPr>
          <w:p w14:paraId="60C02F8C" w14:textId="77777777" w:rsidR="00F4057F" w:rsidRPr="00342D99" w:rsidRDefault="00F4057F">
            <w:pPr>
              <w:widowControl w:val="0"/>
              <w:tabs>
                <w:tab w:val="left" w:pos="851"/>
              </w:tabs>
              <w:spacing w:after="0" w:line="240" w:lineRule="auto"/>
              <w:jc w:val="center"/>
              <w:rPr>
                <w:rFonts w:ascii="Tahoma" w:eastAsia="Times New Roman" w:hAnsi="Tahoma" w:cs="Tahoma"/>
                <w:b/>
                <w:bCs/>
                <w:color w:val="FF0000"/>
                <w:sz w:val="20"/>
                <w:szCs w:val="20"/>
              </w:rPr>
            </w:pPr>
            <w:r>
              <w:rPr>
                <w:rFonts w:ascii="Tahoma" w:hAnsi="Tahoma"/>
                <w:b/>
                <w:sz w:val="20"/>
              </w:rPr>
              <w:t>10</w:t>
            </w:r>
          </w:p>
        </w:tc>
        <w:tc>
          <w:tcPr>
            <w:tcW w:w="3686" w:type="dxa"/>
            <w:tcBorders>
              <w:bottom w:val="single" w:sz="4" w:space="0" w:color="auto"/>
            </w:tcBorders>
          </w:tcPr>
          <w:p w14:paraId="47ECEE97" w14:textId="2B74E40C" w:rsidR="00F4057F" w:rsidRDefault="00F4057F">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0"/>
                <w:szCs w:val="20"/>
              </w:rPr>
            </w:pPr>
            <w:r>
              <w:rPr>
                <w:rFonts w:ascii="Tahoma" w:hAnsi="Tahoma"/>
                <w:sz w:val="20"/>
              </w:rPr>
              <w:t>Tender bid template (Annex 5 to the Procurement Conditions)</w:t>
            </w:r>
          </w:p>
          <w:p w14:paraId="678A03CD" w14:textId="3E5D7328" w:rsidR="00F4057F" w:rsidRPr="004C2F98" w:rsidRDefault="00F4057F">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0"/>
                <w:szCs w:val="20"/>
              </w:rPr>
            </w:pPr>
            <w:r>
              <w:rPr>
                <w:rFonts w:ascii="Tahoma" w:hAnsi="Tahoma"/>
                <w:sz w:val="20"/>
              </w:rPr>
              <w:t>List of specialists and a certificate of conformity to qualitative evaluation criteria (</w:t>
            </w:r>
            <w:r w:rsidRPr="00BA2756">
              <w:rPr>
                <w:rFonts w:ascii="Tahoma" w:hAnsi="Tahoma"/>
                <w:sz w:val="20"/>
              </w:rPr>
              <w:t>Annex 15 to the Procurement Conditions</w:t>
            </w:r>
            <w:r>
              <w:rPr>
                <w:rFonts w:ascii="Tahoma" w:hAnsi="Tahoma"/>
                <w:sz w:val="20"/>
              </w:rPr>
              <w:t>)</w:t>
            </w:r>
          </w:p>
          <w:p w14:paraId="34C0AD5C" w14:textId="2217945C" w:rsidR="00F4057F" w:rsidRPr="00F24960" w:rsidRDefault="00F4057F">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0"/>
                <w:szCs w:val="20"/>
              </w:rPr>
            </w:pPr>
            <w:r w:rsidRPr="00BA2756">
              <w:rPr>
                <w:rFonts w:ascii="Tahoma" w:hAnsi="Tahoma"/>
                <w:sz w:val="20"/>
              </w:rPr>
              <w:t xml:space="preserve">Testimonial from the customer (Annex 16 </w:t>
            </w:r>
            <w:r>
              <w:rPr>
                <w:rFonts w:ascii="Tahoma" w:hAnsi="Tahoma"/>
                <w:sz w:val="20"/>
              </w:rPr>
              <w:t>to the Procurement Conditions)</w:t>
            </w:r>
          </w:p>
        </w:tc>
      </w:tr>
      <w:tr w:rsidR="00A63822" w:rsidRPr="002C7913" w14:paraId="1D0802C9" w14:textId="77777777">
        <w:tc>
          <w:tcPr>
            <w:tcW w:w="562" w:type="dxa"/>
            <w:tcBorders>
              <w:bottom w:val="single" w:sz="4" w:space="0" w:color="auto"/>
            </w:tcBorders>
          </w:tcPr>
          <w:p w14:paraId="724DC2D9" w14:textId="77777777" w:rsidR="00A63822" w:rsidRPr="00396C7D" w:rsidRDefault="00A63822">
            <w:pPr>
              <w:pStyle w:val="ListParagraph"/>
              <w:widowControl w:val="0"/>
              <w:numPr>
                <w:ilvl w:val="0"/>
                <w:numId w:val="6"/>
              </w:numPr>
              <w:tabs>
                <w:tab w:val="left" w:pos="22"/>
              </w:tabs>
              <w:spacing w:after="0" w:line="240" w:lineRule="auto"/>
              <w:ind w:left="22" w:right="36" w:firstLine="0"/>
              <w:jc w:val="both"/>
              <w:rPr>
                <w:rFonts w:ascii="Tahoma" w:eastAsia="Times New Roman" w:hAnsi="Tahoma" w:cs="Tahoma"/>
                <w:b/>
                <w:iCs/>
                <w:sz w:val="20"/>
                <w:szCs w:val="20"/>
              </w:rPr>
            </w:pPr>
          </w:p>
        </w:tc>
        <w:tc>
          <w:tcPr>
            <w:tcW w:w="14459" w:type="dxa"/>
            <w:gridSpan w:val="4"/>
            <w:tcBorders>
              <w:bottom w:val="single" w:sz="4" w:space="0" w:color="auto"/>
            </w:tcBorders>
          </w:tcPr>
          <w:p w14:paraId="2C38E077" w14:textId="0817E50D" w:rsidR="00A63822" w:rsidRPr="007E040D" w:rsidRDefault="00F4057F">
            <w:pPr>
              <w:pStyle w:val="ListParagraph"/>
              <w:widowControl w:val="0"/>
              <w:tabs>
                <w:tab w:val="left" w:pos="346"/>
                <w:tab w:val="left" w:pos="851"/>
              </w:tabs>
              <w:spacing w:after="0"/>
              <w:ind w:left="0"/>
              <w:jc w:val="both"/>
              <w:rPr>
                <w:rFonts w:ascii="Tahoma" w:eastAsia="Times New Roman" w:hAnsi="Tahoma" w:cs="Tahoma"/>
                <w:b/>
                <w:bCs/>
                <w:sz w:val="20"/>
                <w:szCs w:val="20"/>
              </w:rPr>
            </w:pPr>
            <w:r>
              <w:rPr>
                <w:rFonts w:ascii="Tahoma" w:hAnsi="Tahoma"/>
                <w:b/>
                <w:sz w:val="20"/>
              </w:rPr>
              <w:t>Criterion 3: Qualification of the project manager proposed by the tenderer</w:t>
            </w:r>
          </w:p>
        </w:tc>
      </w:tr>
      <w:tr w:rsidR="00A63822" w:rsidRPr="002C7913" w14:paraId="0CF02731" w14:textId="77777777">
        <w:tc>
          <w:tcPr>
            <w:tcW w:w="562" w:type="dxa"/>
            <w:tcBorders>
              <w:bottom w:val="single" w:sz="4" w:space="0" w:color="auto"/>
            </w:tcBorders>
          </w:tcPr>
          <w:p w14:paraId="575F8C6B" w14:textId="77777777" w:rsidR="00A63822" w:rsidRPr="00396C7D" w:rsidRDefault="00A63822">
            <w:pPr>
              <w:pStyle w:val="ListParagraph"/>
              <w:widowControl w:val="0"/>
              <w:tabs>
                <w:tab w:val="left" w:pos="22"/>
              </w:tabs>
              <w:spacing w:after="0" w:line="240" w:lineRule="auto"/>
              <w:ind w:left="0" w:right="36"/>
              <w:jc w:val="both"/>
              <w:rPr>
                <w:rFonts w:ascii="Tahoma" w:eastAsia="Times New Roman" w:hAnsi="Tahoma" w:cs="Tahoma"/>
                <w:b/>
                <w:iCs/>
                <w:sz w:val="20"/>
                <w:szCs w:val="20"/>
              </w:rPr>
            </w:pPr>
          </w:p>
        </w:tc>
        <w:tc>
          <w:tcPr>
            <w:tcW w:w="4253" w:type="dxa"/>
            <w:tcBorders>
              <w:bottom w:val="single" w:sz="4" w:space="0" w:color="auto"/>
            </w:tcBorders>
          </w:tcPr>
          <w:p w14:paraId="079AD5F1" w14:textId="77777777" w:rsidR="00A63822" w:rsidRPr="000C66C3" w:rsidRDefault="00A63822">
            <w:pPr>
              <w:tabs>
                <w:tab w:val="left" w:pos="227"/>
              </w:tabs>
              <w:spacing w:after="0"/>
              <w:jc w:val="both"/>
              <w:rPr>
                <w:rFonts w:ascii="Tahoma" w:eastAsia="Tahoma" w:hAnsi="Tahoma" w:cs="Tahoma"/>
                <w:b/>
                <w:bCs/>
                <w:sz w:val="20"/>
                <w:szCs w:val="20"/>
              </w:rPr>
            </w:pPr>
            <w:r>
              <w:rPr>
                <w:rFonts w:ascii="Tahoma" w:hAnsi="Tahoma"/>
                <w:b/>
                <w:sz w:val="20"/>
              </w:rPr>
              <w:t>Internationally recognised qualification of the project manager</w:t>
            </w:r>
            <w:r w:rsidRPr="007E040D">
              <w:rPr>
                <w:rStyle w:val="FootnoteReference"/>
                <w:rFonts w:ascii="Tahoma" w:hAnsi="Tahoma" w:cs="Tahoma"/>
                <w:bCs/>
                <w:sz w:val="20"/>
                <w:szCs w:val="20"/>
              </w:rPr>
              <w:footnoteReference w:id="5"/>
            </w:r>
            <w:r>
              <w:rPr>
                <w:rFonts w:ascii="Tahoma" w:hAnsi="Tahoma"/>
                <w:b/>
                <w:sz w:val="20"/>
              </w:rPr>
              <w:t>.</w:t>
            </w:r>
          </w:p>
          <w:p w14:paraId="5A0E35B2" w14:textId="77777777" w:rsidR="00A63822" w:rsidRPr="000C66C3" w:rsidRDefault="00A63822">
            <w:pPr>
              <w:tabs>
                <w:tab w:val="left" w:pos="227"/>
              </w:tabs>
              <w:spacing w:after="0"/>
              <w:jc w:val="both"/>
              <w:rPr>
                <w:rFonts w:ascii="Tahoma" w:eastAsia="Tahoma" w:hAnsi="Tahoma" w:cs="Tahoma"/>
                <w:b/>
                <w:bCs/>
                <w:sz w:val="20"/>
                <w:szCs w:val="20"/>
                <w:lang w:eastAsia="en-US"/>
              </w:rPr>
            </w:pPr>
          </w:p>
          <w:p w14:paraId="7B6EEFEF" w14:textId="588C2B20" w:rsidR="007660C8" w:rsidRPr="008B5624" w:rsidRDefault="00F4057F" w:rsidP="007660C8">
            <w:pPr>
              <w:tabs>
                <w:tab w:val="left" w:pos="227"/>
              </w:tabs>
              <w:spacing w:after="0"/>
              <w:jc w:val="both"/>
              <w:rPr>
                <w:rFonts w:ascii="Tahoma" w:hAnsi="Tahoma"/>
                <w:sz w:val="20"/>
                <w:lang w:val="lt-LT"/>
              </w:rPr>
            </w:pPr>
            <w:r>
              <w:rPr>
                <w:rFonts w:ascii="Tahoma" w:hAnsi="Tahoma"/>
                <w:sz w:val="20"/>
              </w:rPr>
              <w:t xml:space="preserve">The project manager proposed by the tenderer </w:t>
            </w:r>
            <w:hyperlink w:anchor="_ftn1" w:history="1">
              <w:proofErr w:type="spellStart"/>
              <w:r w:rsidR="007660C8" w:rsidRPr="00B84308">
                <w:rPr>
                  <w:rStyle w:val="Hyperlink"/>
                  <w:rFonts w:ascii="Tahoma" w:hAnsi="Tahoma"/>
                  <w:sz w:val="20"/>
                  <w:lang w:val="lt-LT"/>
                </w:rPr>
                <w:t>shall</w:t>
              </w:r>
              <w:proofErr w:type="spellEnd"/>
              <w:r w:rsidR="007660C8" w:rsidRPr="00B84308">
                <w:rPr>
                  <w:rStyle w:val="Hyperlink"/>
                  <w:rFonts w:ascii="Tahoma" w:hAnsi="Tahoma"/>
                  <w:sz w:val="20"/>
                  <w:lang w:val="lt-LT"/>
                </w:rPr>
                <w:t xml:space="preserve"> </w:t>
              </w:r>
              <w:proofErr w:type="spellStart"/>
              <w:r w:rsidR="007660C8" w:rsidRPr="00B84308">
                <w:rPr>
                  <w:rStyle w:val="Hyperlink"/>
                  <w:rFonts w:ascii="Tahoma" w:hAnsi="Tahoma"/>
                  <w:sz w:val="20"/>
                  <w:lang w:val="lt-LT"/>
                </w:rPr>
                <w:t>have</w:t>
              </w:r>
              <w:proofErr w:type="spellEnd"/>
            </w:hyperlink>
            <w:r w:rsidR="007660C8" w:rsidRPr="00B84308">
              <w:rPr>
                <w:rFonts w:ascii="Tahoma" w:hAnsi="Tahoma"/>
                <w:sz w:val="20"/>
                <w:lang w:val="lt-LT"/>
              </w:rPr>
              <w:t xml:space="preserve"> </w:t>
            </w:r>
            <w:proofErr w:type="spellStart"/>
            <w:r w:rsidR="007660C8" w:rsidRPr="00B84308">
              <w:rPr>
                <w:rFonts w:ascii="Tahoma" w:hAnsi="Tahoma"/>
                <w:sz w:val="20"/>
                <w:lang w:val="lt-LT"/>
              </w:rPr>
              <w:t>an</w:t>
            </w:r>
            <w:proofErr w:type="spellEnd"/>
            <w:r w:rsidR="007660C8" w:rsidRPr="00B84308">
              <w:rPr>
                <w:rFonts w:ascii="Tahoma" w:hAnsi="Tahoma"/>
                <w:sz w:val="20"/>
                <w:lang w:val="lt-LT"/>
              </w:rPr>
              <w:fldChar w:fldCharType="begin"/>
            </w:r>
            <w:r w:rsidR="007660C8" w:rsidRPr="00B84308">
              <w:rPr>
                <w:rFonts w:ascii="Tahoma" w:hAnsi="Tahoma"/>
                <w:sz w:val="20"/>
                <w:lang w:val="lt-LT"/>
              </w:rPr>
              <w:instrText>HYPERLINK "" \l "_ftn1"</w:instrText>
            </w:r>
            <w:r w:rsidR="007660C8" w:rsidRPr="00B84308">
              <w:rPr>
                <w:rFonts w:ascii="Tahoma" w:hAnsi="Tahoma"/>
                <w:sz w:val="20"/>
                <w:lang w:val="lt-LT"/>
              </w:rPr>
            </w:r>
            <w:r w:rsidR="007660C8" w:rsidRPr="00B84308">
              <w:rPr>
                <w:rFonts w:ascii="Tahoma" w:hAnsi="Tahoma"/>
                <w:sz w:val="20"/>
                <w:lang w:val="lt-LT"/>
              </w:rPr>
              <w:fldChar w:fldCharType="separate"/>
            </w:r>
            <w:r w:rsidR="007660C8" w:rsidRPr="00B84308">
              <w:rPr>
                <w:rStyle w:val="Hyperlink"/>
                <w:rFonts w:ascii="Tahoma" w:hAnsi="Tahoma"/>
                <w:sz w:val="20"/>
                <w:lang w:val="lt-LT"/>
              </w:rPr>
              <w:t xml:space="preserve"> </w:t>
            </w:r>
            <w:proofErr w:type="spellStart"/>
            <w:r w:rsidR="007660C8" w:rsidRPr="00B84308">
              <w:rPr>
                <w:rStyle w:val="Hyperlink"/>
                <w:rFonts w:ascii="Tahoma" w:hAnsi="Tahoma"/>
                <w:sz w:val="20"/>
                <w:lang w:val="lt-LT"/>
              </w:rPr>
              <w:t>internationally</w:t>
            </w:r>
            <w:proofErr w:type="spellEnd"/>
            <w:r w:rsidR="007660C8" w:rsidRPr="00B84308">
              <w:rPr>
                <w:rFonts w:ascii="Tahoma" w:hAnsi="Tahoma"/>
                <w:sz w:val="20"/>
              </w:rPr>
              <w:fldChar w:fldCharType="end"/>
            </w:r>
            <w:r w:rsidR="007660C8" w:rsidRPr="00B84308">
              <w:rPr>
                <w:rFonts w:ascii="Tahoma" w:hAnsi="Tahoma"/>
                <w:sz w:val="20"/>
                <w:lang w:val="lt-LT"/>
              </w:rPr>
              <w:t xml:space="preserve"> </w:t>
            </w:r>
            <w:proofErr w:type="spellStart"/>
            <w:r w:rsidR="007660C8" w:rsidRPr="00B84308">
              <w:rPr>
                <w:rFonts w:ascii="Tahoma" w:hAnsi="Tahoma"/>
                <w:sz w:val="20"/>
                <w:lang w:val="lt-LT"/>
              </w:rPr>
              <w:t>recognised</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project</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management</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qualification</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as</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evidenced</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by</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one</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of</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the</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following</w:t>
            </w:r>
            <w:proofErr w:type="spellEnd"/>
            <w:r w:rsidR="007660C8" w:rsidRPr="00B84308">
              <w:rPr>
                <w:rFonts w:ascii="Tahoma" w:hAnsi="Tahoma"/>
                <w:sz w:val="20"/>
                <w:lang w:val="lt-LT"/>
              </w:rPr>
              <w:t xml:space="preserve"> </w:t>
            </w:r>
            <w:proofErr w:type="spellStart"/>
            <w:r w:rsidR="007660C8" w:rsidRPr="00B84308">
              <w:rPr>
                <w:rFonts w:ascii="Tahoma" w:hAnsi="Tahoma"/>
                <w:sz w:val="20"/>
                <w:lang w:val="lt-LT"/>
              </w:rPr>
              <w:t>documents</w:t>
            </w:r>
            <w:proofErr w:type="spellEnd"/>
            <w:r w:rsidR="007660C8">
              <w:rPr>
                <w:rFonts w:ascii="Tahoma" w:hAnsi="Tahoma"/>
                <w:sz w:val="20"/>
                <w:lang w:val="lt-LT"/>
              </w:rPr>
              <w:t>:</w:t>
            </w:r>
          </w:p>
          <w:p w14:paraId="69F7AFDD" w14:textId="77777777" w:rsidR="007660C8" w:rsidRPr="00167AB3" w:rsidRDefault="007660C8" w:rsidP="007660C8">
            <w:pPr>
              <w:tabs>
                <w:tab w:val="left" w:pos="227"/>
              </w:tabs>
              <w:spacing w:after="0"/>
              <w:jc w:val="both"/>
              <w:rPr>
                <w:rFonts w:ascii="Tahoma" w:hAnsi="Tahoma"/>
                <w:sz w:val="20"/>
              </w:rPr>
            </w:pPr>
            <w:r w:rsidRPr="00167AB3">
              <w:rPr>
                <w:rFonts w:ascii="Tahoma" w:hAnsi="Tahoma"/>
                <w:sz w:val="20"/>
              </w:rPr>
              <w:t>(a) PMI Project Management Professional (PMP) certification or equivalent</w:t>
            </w:r>
            <w:proofErr w:type="gramStart"/>
            <w:r w:rsidRPr="00167AB3">
              <w:rPr>
                <w:rFonts w:ascii="Tahoma" w:hAnsi="Tahoma"/>
                <w:sz w:val="20"/>
              </w:rPr>
              <w:t>);</w:t>
            </w:r>
            <w:proofErr w:type="gramEnd"/>
          </w:p>
          <w:p w14:paraId="5E229DDB" w14:textId="77777777" w:rsidR="007660C8" w:rsidRPr="00167AB3" w:rsidRDefault="007660C8" w:rsidP="007660C8">
            <w:pPr>
              <w:tabs>
                <w:tab w:val="left" w:pos="227"/>
              </w:tabs>
              <w:spacing w:after="0"/>
              <w:jc w:val="both"/>
              <w:rPr>
                <w:rFonts w:ascii="Tahoma" w:hAnsi="Tahoma"/>
                <w:sz w:val="20"/>
              </w:rPr>
            </w:pPr>
            <w:r w:rsidRPr="00167AB3">
              <w:rPr>
                <w:rFonts w:ascii="Tahoma" w:hAnsi="Tahoma"/>
                <w:sz w:val="20"/>
              </w:rPr>
              <w:t xml:space="preserve">(b) PRINCE2 Practitioner certificate or </w:t>
            </w:r>
            <w:proofErr w:type="gramStart"/>
            <w:r w:rsidRPr="00167AB3">
              <w:rPr>
                <w:rFonts w:ascii="Tahoma" w:hAnsi="Tahoma"/>
                <w:sz w:val="20"/>
              </w:rPr>
              <w:t>equivalent;</w:t>
            </w:r>
            <w:proofErr w:type="gramEnd"/>
          </w:p>
          <w:p w14:paraId="710EBBF6" w14:textId="77777777" w:rsidR="007660C8" w:rsidRPr="00167AB3" w:rsidRDefault="007660C8" w:rsidP="007660C8">
            <w:pPr>
              <w:tabs>
                <w:tab w:val="left" w:pos="227"/>
              </w:tabs>
              <w:spacing w:after="0"/>
              <w:jc w:val="both"/>
              <w:rPr>
                <w:rFonts w:ascii="Tahoma" w:hAnsi="Tahoma"/>
                <w:sz w:val="20"/>
              </w:rPr>
            </w:pPr>
            <w:r w:rsidRPr="00167AB3">
              <w:rPr>
                <w:rFonts w:ascii="Tahoma" w:hAnsi="Tahoma"/>
                <w:sz w:val="20"/>
              </w:rPr>
              <w:t xml:space="preserve">c) CompTIA Project+ certificate or </w:t>
            </w:r>
            <w:proofErr w:type="gramStart"/>
            <w:r w:rsidRPr="00167AB3">
              <w:rPr>
                <w:rFonts w:ascii="Tahoma" w:hAnsi="Tahoma"/>
                <w:sz w:val="20"/>
              </w:rPr>
              <w:t>equivalent;</w:t>
            </w:r>
            <w:proofErr w:type="gramEnd"/>
          </w:p>
          <w:p w14:paraId="2483FCD3" w14:textId="678D5632" w:rsidR="00F4057F" w:rsidRDefault="007660C8" w:rsidP="00F4057F">
            <w:pPr>
              <w:tabs>
                <w:tab w:val="left" w:pos="227"/>
              </w:tabs>
              <w:spacing w:after="0"/>
              <w:jc w:val="both"/>
              <w:rPr>
                <w:rFonts w:ascii="Tahoma" w:hAnsi="Tahoma"/>
                <w:sz w:val="20"/>
              </w:rPr>
            </w:pPr>
            <w:r w:rsidRPr="00167AB3">
              <w:rPr>
                <w:rFonts w:ascii="Tahoma" w:hAnsi="Tahoma"/>
                <w:sz w:val="20"/>
              </w:rPr>
              <w:t>(d) IPMA C certificate or equivalent.</w:t>
            </w:r>
          </w:p>
          <w:p w14:paraId="51E693C0" w14:textId="77777777" w:rsidR="008B5624" w:rsidRPr="00F4057F" w:rsidRDefault="008B5624" w:rsidP="00F4057F">
            <w:pPr>
              <w:tabs>
                <w:tab w:val="left" w:pos="227"/>
              </w:tabs>
              <w:spacing w:after="0"/>
              <w:jc w:val="both"/>
              <w:rPr>
                <w:rFonts w:ascii="Tahoma" w:eastAsia="Tahoma" w:hAnsi="Tahoma" w:cs="Tahoma"/>
                <w:sz w:val="20"/>
                <w:szCs w:val="20"/>
                <w:lang w:eastAsia="en-US"/>
              </w:rPr>
            </w:pPr>
          </w:p>
          <w:p w14:paraId="768701A4" w14:textId="77777777" w:rsidR="00F4057F" w:rsidRPr="00F4057F" w:rsidRDefault="00F4057F" w:rsidP="00F4057F">
            <w:pPr>
              <w:shd w:val="clear" w:color="auto" w:fill="FFFFFF" w:themeFill="background1"/>
              <w:tabs>
                <w:tab w:val="left" w:pos="601"/>
              </w:tabs>
              <w:spacing w:after="120"/>
              <w:jc w:val="both"/>
              <w:rPr>
                <w:rFonts w:ascii="Tahoma" w:eastAsia="Tahoma" w:hAnsi="Tahoma" w:cs="Tahoma"/>
                <w:b/>
                <w:bCs/>
                <w:color w:val="000000" w:themeColor="text1"/>
                <w:sz w:val="20"/>
                <w:szCs w:val="20"/>
              </w:rPr>
            </w:pPr>
            <w:r>
              <w:rPr>
                <w:rFonts w:ascii="Tahoma" w:hAnsi="Tahoma"/>
                <w:b/>
                <w:color w:val="000000" w:themeColor="text1"/>
                <w:sz w:val="20"/>
                <w:u w:val="single"/>
              </w:rPr>
              <w:t xml:space="preserve">NOTES: </w:t>
            </w:r>
          </w:p>
          <w:p w14:paraId="3A39965C" w14:textId="77777777" w:rsidR="007660C8" w:rsidRPr="000C66C3" w:rsidRDefault="007660C8" w:rsidP="007660C8">
            <w:pPr>
              <w:shd w:val="clear" w:color="auto" w:fill="FFFFFF" w:themeFill="background1"/>
              <w:spacing w:after="0"/>
              <w:jc w:val="both"/>
              <w:rPr>
                <w:rFonts w:ascii="Tahoma" w:eastAsia="Tahoma" w:hAnsi="Tahoma" w:cs="Tahoma"/>
                <w:color w:val="000000" w:themeColor="text1"/>
                <w:sz w:val="20"/>
                <w:szCs w:val="20"/>
              </w:rPr>
            </w:pPr>
            <w:r>
              <w:rPr>
                <w:rFonts w:ascii="Tahoma" w:hAnsi="Tahoma"/>
                <w:color w:val="000000" w:themeColor="text1"/>
                <w:sz w:val="20"/>
              </w:rPr>
              <w:t xml:space="preserve">1.Equivalent certificate (or document) shall be: </w:t>
            </w:r>
          </w:p>
          <w:p w14:paraId="06A05E3E" w14:textId="77777777" w:rsidR="007660C8" w:rsidRDefault="007660C8" w:rsidP="007660C8">
            <w:pPr>
              <w:numPr>
                <w:ilvl w:val="0"/>
                <w:numId w:val="20"/>
              </w:numPr>
              <w:shd w:val="clear" w:color="auto" w:fill="FFFFFF" w:themeFill="background1"/>
              <w:spacing w:after="0" w:line="240" w:lineRule="auto"/>
              <w:jc w:val="both"/>
              <w:rPr>
                <w:rFonts w:ascii="Tahoma" w:eastAsia="Tahoma" w:hAnsi="Tahoma" w:cs="Tahoma"/>
                <w:color w:val="000000" w:themeColor="text1"/>
                <w:sz w:val="20"/>
                <w:szCs w:val="20"/>
              </w:rPr>
            </w:pPr>
            <w:r>
              <w:rPr>
                <w:rFonts w:ascii="Tahoma" w:hAnsi="Tahoma"/>
                <w:color w:val="000000" w:themeColor="text1"/>
                <w:sz w:val="20"/>
              </w:rPr>
              <w:t xml:space="preserve">A certificate (or other document) of a higher level (than the specified one) and issued by the same </w:t>
            </w:r>
            <w:proofErr w:type="gramStart"/>
            <w:r>
              <w:rPr>
                <w:rFonts w:ascii="Tahoma" w:hAnsi="Tahoma"/>
                <w:color w:val="000000" w:themeColor="text1"/>
                <w:sz w:val="20"/>
              </w:rPr>
              <w:t>body;</w:t>
            </w:r>
            <w:proofErr w:type="gramEnd"/>
          </w:p>
          <w:p w14:paraId="2E0431E0" w14:textId="250BDE0E" w:rsidR="007660C8" w:rsidRPr="008B5624" w:rsidRDefault="007660C8" w:rsidP="007660C8">
            <w:pPr>
              <w:numPr>
                <w:ilvl w:val="0"/>
                <w:numId w:val="20"/>
              </w:numPr>
              <w:shd w:val="clear" w:color="auto" w:fill="FFFFFF" w:themeFill="background1"/>
              <w:spacing w:after="0" w:line="240" w:lineRule="auto"/>
              <w:jc w:val="both"/>
              <w:rPr>
                <w:rFonts w:ascii="Tahoma" w:eastAsia="Tahoma" w:hAnsi="Tahoma" w:cs="Tahoma"/>
                <w:color w:val="000000" w:themeColor="text1"/>
                <w:sz w:val="20"/>
                <w:szCs w:val="20"/>
              </w:rPr>
            </w:pPr>
            <w:r w:rsidRPr="007660C8">
              <w:rPr>
                <w:rFonts w:ascii="Tahoma" w:hAnsi="Tahoma"/>
                <w:color w:val="000000" w:themeColor="text1"/>
                <w:sz w:val="20"/>
              </w:rPr>
              <w:t>A certificate (or other document) attesting to an internationally recognised qualification in project management obtained on completion of a relevant training programme, including the passing of an identity test</w:t>
            </w:r>
            <w:r>
              <w:rPr>
                <w:rFonts w:ascii="Tahoma" w:hAnsi="Tahoma"/>
                <w:color w:val="000000" w:themeColor="text1"/>
                <w:sz w:val="20"/>
              </w:rPr>
              <w:t>.</w:t>
            </w:r>
          </w:p>
          <w:p w14:paraId="2C4C38F4" w14:textId="5134D6C5" w:rsidR="00A63822" w:rsidRPr="0052557E" w:rsidRDefault="007660C8">
            <w:pPr>
              <w:tabs>
                <w:tab w:val="left" w:pos="227"/>
              </w:tabs>
              <w:spacing w:after="0"/>
              <w:jc w:val="both"/>
              <w:rPr>
                <w:rFonts w:ascii="Tahoma" w:hAnsi="Tahoma" w:cs="Tahoma"/>
                <w:sz w:val="20"/>
                <w:szCs w:val="20"/>
                <w:shd w:val="clear" w:color="auto" w:fill="FFFFFF"/>
              </w:rPr>
            </w:pPr>
            <w:r w:rsidRPr="007660C8">
              <w:rPr>
                <w:rFonts w:ascii="Tahoma" w:hAnsi="Tahoma"/>
                <w:color w:val="000000" w:themeColor="text1"/>
                <w:sz w:val="20"/>
              </w:rPr>
              <w:t xml:space="preserve">2. Evidence of completion of courses, seminars, training programmes alone is not considered equivalent to </w:t>
            </w:r>
            <w:r w:rsidRPr="007660C8">
              <w:rPr>
                <w:rFonts w:ascii="Tahoma" w:hAnsi="Tahoma"/>
                <w:color w:val="000000" w:themeColor="text1"/>
                <w:sz w:val="20"/>
              </w:rPr>
              <w:lastRenderedPageBreak/>
              <w:t>certificates/documents of internationally recognised qualifications.</w:t>
            </w:r>
          </w:p>
        </w:tc>
        <w:tc>
          <w:tcPr>
            <w:tcW w:w="4961" w:type="dxa"/>
            <w:tcBorders>
              <w:bottom w:val="single" w:sz="4" w:space="0" w:color="auto"/>
            </w:tcBorders>
          </w:tcPr>
          <w:p w14:paraId="0331A4BD" w14:textId="77777777" w:rsidR="00A63822" w:rsidRDefault="00A63822">
            <w:pPr>
              <w:widowControl w:val="0"/>
              <w:tabs>
                <w:tab w:val="left" w:pos="851"/>
              </w:tabs>
              <w:jc w:val="both"/>
              <w:rPr>
                <w:rFonts w:ascii="Tahoma" w:hAnsi="Tahoma" w:cs="Tahoma"/>
                <w:sz w:val="20"/>
                <w:szCs w:val="20"/>
              </w:rPr>
            </w:pPr>
            <w:r>
              <w:rPr>
                <w:rFonts w:ascii="Tahoma" w:hAnsi="Tahoma"/>
                <w:sz w:val="20"/>
              </w:rPr>
              <w:lastRenderedPageBreak/>
              <w:t>The tenderer who has submitted the eligible document proving the qualification of the proposed specialist will score a maximum number of points.</w:t>
            </w:r>
          </w:p>
          <w:p w14:paraId="22898DB3" w14:textId="7229BE1C" w:rsidR="00A63822" w:rsidRPr="00396C7D" w:rsidRDefault="00A63822">
            <w:pPr>
              <w:widowControl w:val="0"/>
              <w:tabs>
                <w:tab w:val="left" w:pos="851"/>
              </w:tabs>
              <w:spacing w:after="0"/>
              <w:jc w:val="both"/>
              <w:rPr>
                <w:rFonts w:ascii="Tahoma" w:eastAsia="Times New Roman" w:hAnsi="Tahoma" w:cs="Tahoma"/>
                <w:sz w:val="20"/>
                <w:szCs w:val="20"/>
              </w:rPr>
            </w:pPr>
            <w:r>
              <w:rPr>
                <w:rFonts w:ascii="Tahoma" w:hAnsi="Tahoma"/>
                <w:b/>
                <w:sz w:val="20"/>
              </w:rPr>
              <w:t>NOTE:</w:t>
            </w:r>
            <w:r>
              <w:rPr>
                <w:rFonts w:ascii="Tahoma" w:hAnsi="Tahoma"/>
                <w:sz w:val="20"/>
              </w:rPr>
              <w:t xml:space="preserve"> This criterion must be met by the tenderer or at least one member of the group of economic operators if the specialist of a member of this group of economic operators is going in fact to provide Services under the Contract. The tenderer may also involve another economic operator to comply with this criterion; however, this is possible only in case the Services under the Contract are provided in fact by the specialist of the economic operator involved. If, to comply with this criterion, the tenderer provides: 1) documents of the sub-provider involved; or 2) documents of the economic operator whose qualification it does not rely on, or 3) documents of the economic operator whose qualification it relies on, or documents of a member of the group of economic operators but the specialist of these economic operators will not be responsible for the performance of the Contract and/or will not actually provide Services under the Contract, then they will score 0 points.</w:t>
            </w:r>
          </w:p>
        </w:tc>
        <w:tc>
          <w:tcPr>
            <w:tcW w:w="1559" w:type="dxa"/>
            <w:tcBorders>
              <w:bottom w:val="single" w:sz="4" w:space="0" w:color="auto"/>
            </w:tcBorders>
          </w:tcPr>
          <w:p w14:paraId="120DD7DC" w14:textId="250E6914" w:rsidR="00A63822" w:rsidRPr="00396C7D" w:rsidRDefault="00033114">
            <w:pPr>
              <w:widowControl w:val="0"/>
              <w:tabs>
                <w:tab w:val="left" w:pos="851"/>
              </w:tabs>
              <w:spacing w:after="0" w:line="240" w:lineRule="auto"/>
              <w:jc w:val="center"/>
              <w:rPr>
                <w:rFonts w:ascii="Tahoma" w:eastAsia="Times New Roman" w:hAnsi="Tahoma" w:cs="Tahoma"/>
                <w:b/>
                <w:bCs/>
                <w:color w:val="FF0000"/>
                <w:sz w:val="20"/>
                <w:szCs w:val="20"/>
              </w:rPr>
            </w:pPr>
            <w:r>
              <w:rPr>
                <w:rFonts w:ascii="Tahoma" w:hAnsi="Tahoma"/>
                <w:b/>
                <w:sz w:val="20"/>
              </w:rPr>
              <w:t>4</w:t>
            </w:r>
          </w:p>
        </w:tc>
        <w:tc>
          <w:tcPr>
            <w:tcW w:w="3686" w:type="dxa"/>
            <w:tcBorders>
              <w:bottom w:val="single" w:sz="4" w:space="0" w:color="auto"/>
            </w:tcBorders>
          </w:tcPr>
          <w:p w14:paraId="381ED682" w14:textId="466F24D1" w:rsidR="00A63822" w:rsidRDefault="00A63822">
            <w:pPr>
              <w:pStyle w:val="ListParagraph"/>
              <w:widowControl w:val="0"/>
              <w:numPr>
                <w:ilvl w:val="0"/>
                <w:numId w:val="19"/>
              </w:numPr>
              <w:tabs>
                <w:tab w:val="left" w:pos="346"/>
                <w:tab w:val="left" w:pos="851"/>
              </w:tabs>
              <w:spacing w:after="0"/>
              <w:ind w:left="0" w:firstLine="0"/>
              <w:jc w:val="both"/>
              <w:rPr>
                <w:rFonts w:ascii="Tahoma" w:eastAsia="Times New Roman" w:hAnsi="Tahoma" w:cs="Tahoma"/>
                <w:sz w:val="20"/>
                <w:szCs w:val="20"/>
              </w:rPr>
            </w:pPr>
            <w:r>
              <w:rPr>
                <w:rFonts w:ascii="Tahoma" w:hAnsi="Tahoma"/>
                <w:sz w:val="20"/>
              </w:rPr>
              <w:t>Tender bid template (Annex 5 to the Procurement Conditions)</w:t>
            </w:r>
          </w:p>
          <w:p w14:paraId="12180CED" w14:textId="30E44E74" w:rsidR="00A63822" w:rsidRDefault="00A63822">
            <w:pPr>
              <w:pStyle w:val="ListParagraph"/>
              <w:widowControl w:val="0"/>
              <w:numPr>
                <w:ilvl w:val="0"/>
                <w:numId w:val="19"/>
              </w:numPr>
              <w:tabs>
                <w:tab w:val="left" w:pos="346"/>
                <w:tab w:val="left" w:pos="851"/>
              </w:tabs>
              <w:spacing w:after="0"/>
              <w:ind w:left="0" w:firstLine="0"/>
              <w:jc w:val="both"/>
              <w:rPr>
                <w:rFonts w:ascii="Tahoma" w:eastAsia="Times New Roman" w:hAnsi="Tahoma" w:cs="Tahoma"/>
                <w:sz w:val="20"/>
                <w:szCs w:val="20"/>
              </w:rPr>
            </w:pPr>
            <w:r>
              <w:rPr>
                <w:rFonts w:ascii="Tahoma" w:hAnsi="Tahoma"/>
                <w:sz w:val="20"/>
              </w:rPr>
              <w:t>List of specialists and a certificate of conformity to qualitative evaluation criteria (</w:t>
            </w:r>
            <w:r w:rsidRPr="00BA2756">
              <w:rPr>
                <w:rFonts w:ascii="Tahoma" w:hAnsi="Tahoma"/>
                <w:sz w:val="20"/>
              </w:rPr>
              <w:t>Annex 15 to the Procurement Conditions</w:t>
            </w:r>
            <w:r>
              <w:rPr>
                <w:rFonts w:ascii="Tahoma" w:hAnsi="Tahoma"/>
                <w:sz w:val="20"/>
              </w:rPr>
              <w:t>)</w:t>
            </w:r>
          </w:p>
          <w:p w14:paraId="3FB48F74" w14:textId="41A27A87" w:rsidR="00A63822" w:rsidRPr="0052557E" w:rsidRDefault="00A63822">
            <w:pPr>
              <w:pStyle w:val="ListParagraph"/>
              <w:widowControl w:val="0"/>
              <w:numPr>
                <w:ilvl w:val="0"/>
                <w:numId w:val="19"/>
              </w:numPr>
              <w:tabs>
                <w:tab w:val="left" w:pos="346"/>
                <w:tab w:val="left" w:pos="851"/>
              </w:tabs>
              <w:spacing w:after="0"/>
              <w:ind w:left="0" w:firstLine="0"/>
              <w:jc w:val="both"/>
              <w:rPr>
                <w:rFonts w:ascii="Tahoma" w:eastAsia="Times New Roman" w:hAnsi="Tahoma" w:cs="Tahoma"/>
                <w:sz w:val="20"/>
                <w:szCs w:val="20"/>
              </w:rPr>
            </w:pPr>
            <w:r>
              <w:rPr>
                <w:rFonts w:ascii="Tahoma" w:hAnsi="Tahoma"/>
                <w:sz w:val="20"/>
              </w:rPr>
              <w:t>Document certifying the qualification of the proposed specialist</w:t>
            </w:r>
          </w:p>
        </w:tc>
      </w:tr>
      <w:tr w:rsidR="00931CF8" w:rsidRPr="00BE31C9" w14:paraId="03292AC9" w14:textId="77777777" w:rsidTr="005255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5021" w:type="dxa"/>
            <w:gridSpan w:val="5"/>
            <w:tcBorders>
              <w:top w:val="single" w:sz="4" w:space="0" w:color="auto"/>
              <w:left w:val="single" w:sz="4" w:space="0" w:color="auto"/>
              <w:bottom w:val="single" w:sz="4" w:space="0" w:color="auto"/>
              <w:right w:val="single" w:sz="4" w:space="0" w:color="auto"/>
            </w:tcBorders>
            <w:shd w:val="clear" w:color="auto" w:fill="FFC000"/>
          </w:tcPr>
          <w:p w14:paraId="3C886A08" w14:textId="77777777" w:rsidR="00931CF8" w:rsidRPr="00F44FC3" w:rsidRDefault="00931CF8" w:rsidP="00931CF8">
            <w:pPr>
              <w:tabs>
                <w:tab w:val="left" w:pos="22"/>
                <w:tab w:val="left" w:pos="316"/>
              </w:tabs>
              <w:ind w:left="22"/>
              <w:contextualSpacing/>
              <w:jc w:val="both"/>
              <w:rPr>
                <w:rFonts w:ascii="Tahoma" w:eastAsia="Calibri" w:hAnsi="Tahoma" w:cs="Tahoma"/>
                <w:sz w:val="22"/>
                <w:szCs w:val="22"/>
              </w:rPr>
            </w:pPr>
            <w:r>
              <w:rPr>
                <w:rFonts w:ascii="Tahoma" w:hAnsi="Tahoma"/>
                <w:b/>
                <w:sz w:val="22"/>
              </w:rPr>
              <w:t>NOTES:</w:t>
            </w:r>
          </w:p>
          <w:p w14:paraId="58589A6F" w14:textId="77777777" w:rsidR="00931CF8" w:rsidRPr="00471E1A" w:rsidRDefault="00931CF8" w:rsidP="00931CF8">
            <w:pPr>
              <w:tabs>
                <w:tab w:val="left" w:pos="316"/>
                <w:tab w:val="left" w:pos="447"/>
              </w:tabs>
              <w:ind w:left="22" w:right="132"/>
              <w:contextualSpacing/>
              <w:jc w:val="both"/>
              <w:rPr>
                <w:rFonts w:ascii="Tahoma" w:eastAsia="Calibri" w:hAnsi="Tahoma" w:cs="Tahoma"/>
                <w:color w:val="0070C0"/>
                <w:sz w:val="22"/>
                <w:szCs w:val="22"/>
              </w:rPr>
            </w:pPr>
            <w:r>
              <w:rPr>
                <w:rFonts w:ascii="Tahoma" w:hAnsi="Tahoma"/>
                <w:color w:val="0070C0"/>
                <w:sz w:val="22"/>
              </w:rPr>
              <w:t>1) The development of information system shall be considered to include the creation of a new information system or a new register, or the upgrading/development/expansion of an existing information system or an existing register when it is necessary to create new functionalities of the information system or register, or to replace the information processing processes implemented, except for the maintenance and support of the information system or register, which includes only the correction of errors and the elimination of malfunctions;</w:t>
            </w:r>
          </w:p>
          <w:p w14:paraId="5A2972E2" w14:textId="3782145B" w:rsidR="00931CF8" w:rsidRPr="00F44FC3" w:rsidRDefault="00931CF8" w:rsidP="00931CF8">
            <w:pPr>
              <w:tabs>
                <w:tab w:val="left" w:pos="447"/>
              </w:tabs>
              <w:spacing w:after="0" w:line="240" w:lineRule="auto"/>
              <w:ind w:left="22" w:right="132"/>
              <w:jc w:val="both"/>
              <w:rPr>
                <w:rFonts w:ascii="Tahoma" w:eastAsia="Times New Roman" w:hAnsi="Tahoma" w:cs="Tahoma"/>
                <w:sz w:val="22"/>
                <w:szCs w:val="22"/>
              </w:rPr>
            </w:pPr>
            <w:r>
              <w:rPr>
                <w:rFonts w:ascii="Tahoma" w:hAnsi="Tahoma"/>
                <w:color w:val="0070C0"/>
                <w:sz w:val="22"/>
              </w:rPr>
              <w:t>2) The Contract/project may have commenced earlier than 5 or 7 years ago (subject to a specific requirement) with reference to the deadline for submission of tender bids; however, the completion date of the contract/project must fall within the specified period of 5 or 7 years (subject to a specific requirement) preceding the deadline for submission of tenders.</w:t>
            </w:r>
          </w:p>
        </w:tc>
      </w:tr>
    </w:tbl>
    <w:p w14:paraId="1A2332A5" w14:textId="63DB6DE9" w:rsidR="00330D8D" w:rsidRPr="00BE6E00" w:rsidRDefault="00C23778" w:rsidP="00BE6E00">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Pr>
          <w:rFonts w:ascii="Tahoma" w:hAnsi="Tahoma"/>
          <w:sz w:val="22"/>
        </w:rPr>
        <w:t xml:space="preserve">The economic advantage shall be calculated using a spreadsheet prepared by the Public Procurement Office and partially completed by the Contracting Authority in accordance with the Procurement documents (formula: Telgen (absolute)) (the calculator is attached). According to this formula, a tender bid with the highest score shall be recognised as a winning bid. Tender bids where prices exceed </w:t>
      </w:r>
      <w:proofErr w:type="spellStart"/>
      <w:r>
        <w:rPr>
          <w:rFonts w:ascii="Tahoma" w:hAnsi="Tahoma"/>
          <w:sz w:val="22"/>
        </w:rPr>
        <w:t>PSetMax</w:t>
      </w:r>
      <w:proofErr w:type="spellEnd"/>
      <w:r>
        <w:rPr>
          <w:rFonts w:ascii="Tahoma" w:hAnsi="Tahoma"/>
          <w:sz w:val="22"/>
        </w:rPr>
        <w:t xml:space="preserve">, shall score negative point with reference to the price. If the bidding price is equal to </w:t>
      </w:r>
      <w:proofErr w:type="spellStart"/>
      <w:r>
        <w:rPr>
          <w:rFonts w:ascii="Tahoma" w:hAnsi="Tahoma"/>
          <w:sz w:val="22"/>
        </w:rPr>
        <w:t>PSetMax</w:t>
      </w:r>
      <w:proofErr w:type="spellEnd"/>
      <w:r>
        <w:rPr>
          <w:rFonts w:ascii="Tahoma" w:hAnsi="Tahoma"/>
          <w:sz w:val="22"/>
        </w:rPr>
        <w:t xml:space="preserve">, then the tender bid shall score 0 points, whereas tender bids with the prices approaching </w:t>
      </w:r>
      <w:proofErr w:type="spellStart"/>
      <w:r>
        <w:rPr>
          <w:rFonts w:ascii="Tahoma" w:hAnsi="Tahoma"/>
          <w:sz w:val="22"/>
        </w:rPr>
        <w:t>PSetMin</w:t>
      </w:r>
      <w:proofErr w:type="spellEnd"/>
      <w:r>
        <w:rPr>
          <w:rFonts w:ascii="Tahoma" w:hAnsi="Tahoma"/>
          <w:sz w:val="22"/>
        </w:rPr>
        <w:t xml:space="preserve"> shall score the higher positive point accordingly. Regarding the tender bids where the bidding price is lower than </w:t>
      </w:r>
      <w:proofErr w:type="spellStart"/>
      <w:r>
        <w:rPr>
          <w:rFonts w:ascii="Tahoma" w:hAnsi="Tahoma"/>
          <w:sz w:val="22"/>
        </w:rPr>
        <w:t>PSetMin</w:t>
      </w:r>
      <w:proofErr w:type="spellEnd"/>
      <w:r>
        <w:rPr>
          <w:rFonts w:ascii="Tahoma" w:hAnsi="Tahoma"/>
          <w:sz w:val="22"/>
        </w:rPr>
        <w:t xml:space="preserve">, the score given shall exceed weighting. The Contracting Authority shall establish that </w:t>
      </w:r>
      <w:proofErr w:type="spellStart"/>
      <w:r>
        <w:rPr>
          <w:rFonts w:ascii="Tahoma" w:hAnsi="Tahoma"/>
          <w:sz w:val="22"/>
        </w:rPr>
        <w:t>PsetMin</w:t>
      </w:r>
      <w:proofErr w:type="spellEnd"/>
      <w:r>
        <w:rPr>
          <w:rFonts w:ascii="Tahoma" w:hAnsi="Tahoma"/>
          <w:sz w:val="22"/>
        </w:rPr>
        <w:t xml:space="preserve"> is equal to 0, and </w:t>
      </w:r>
      <w:proofErr w:type="spellStart"/>
      <w:r>
        <w:rPr>
          <w:rFonts w:ascii="Tahoma" w:hAnsi="Tahoma"/>
          <w:sz w:val="22"/>
        </w:rPr>
        <w:t>PsetMax</w:t>
      </w:r>
      <w:proofErr w:type="spellEnd"/>
      <w:r>
        <w:rPr>
          <w:rFonts w:ascii="Tahoma" w:hAnsi="Tahoma"/>
          <w:sz w:val="22"/>
        </w:rPr>
        <w:t xml:space="preserve"> is equal to the planned value of the procurement in EUR including VAT.</w:t>
      </w:r>
    </w:p>
    <w:p w14:paraId="70521210" w14:textId="5319A6DC" w:rsidR="00C23778" w:rsidRPr="00330D8D" w:rsidRDefault="00C23778" w:rsidP="002A622A">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Pr>
          <w:rFonts w:ascii="Tahoma" w:hAnsi="Tahoma"/>
          <w:sz w:val="22"/>
        </w:rPr>
        <w:t>Tender bids shall be evaluated in euro. If tender bid prices or fees are quoted in foreign currency, they shall be converted into euro according to the euro foreign exchange reference rates published by the European Central Bank. In cases where the European Central Bank does not publish the euro foreign exchange reference rates, they shall be converted into euro according to the euro and foreign exchange reference rate set and published by the Bank of Lithuania on the last day for the submission of tender bids.</w:t>
      </w:r>
    </w:p>
    <w:p w14:paraId="178BD412" w14:textId="492544D6" w:rsidR="00C23778" w:rsidRPr="002C7913" w:rsidRDefault="00C23778" w:rsidP="00C23778">
      <w:pPr>
        <w:pStyle w:val="paragrafesrasas2lygis"/>
        <w:ind w:firstLine="397"/>
        <w:jc w:val="left"/>
        <w:rPr>
          <w:rFonts w:ascii="Tahoma" w:hAnsi="Tahoma" w:cs="Tahoma"/>
          <w:color w:val="7030A0"/>
        </w:rPr>
      </w:pPr>
      <w:r>
        <w:rPr>
          <w:rFonts w:ascii="Tahoma" w:hAnsi="Tahoma"/>
          <w:color w:val="7030A0"/>
        </w:rPr>
        <w:t xml:space="preserve"> </w:t>
      </w:r>
    </w:p>
    <w:p w14:paraId="39D60466" w14:textId="77777777" w:rsidR="002A7375" w:rsidRPr="002C7913" w:rsidRDefault="002A7375">
      <w:pPr>
        <w:rPr>
          <w:rFonts w:ascii="Tahoma" w:hAnsi="Tahoma" w:cs="Tahoma"/>
          <w:sz w:val="22"/>
          <w:szCs w:val="22"/>
        </w:rPr>
      </w:pPr>
    </w:p>
    <w:sectPr w:rsidR="002A7375" w:rsidRPr="002C7913" w:rsidSect="00396C7D">
      <w:headerReference w:type="default" r:id="rId11"/>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2677" w14:textId="77777777" w:rsidR="009E4C58" w:rsidRDefault="009E4C58" w:rsidP="00DD3A79">
      <w:pPr>
        <w:spacing w:line="240" w:lineRule="auto"/>
      </w:pPr>
      <w:r>
        <w:separator/>
      </w:r>
    </w:p>
  </w:endnote>
  <w:endnote w:type="continuationSeparator" w:id="0">
    <w:p w14:paraId="5EB391E2" w14:textId="77777777" w:rsidR="009E4C58" w:rsidRDefault="009E4C58" w:rsidP="00DD3A79">
      <w:pPr>
        <w:spacing w:line="240" w:lineRule="auto"/>
      </w:pPr>
      <w:r>
        <w:continuationSeparator/>
      </w:r>
    </w:p>
  </w:endnote>
  <w:endnote w:type="continuationNotice" w:id="1">
    <w:p w14:paraId="06886149" w14:textId="77777777" w:rsidR="009E4C58" w:rsidRDefault="009E4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210C" w14:textId="77777777" w:rsidR="009E4C58" w:rsidRDefault="009E4C58" w:rsidP="00DD3A79">
      <w:pPr>
        <w:spacing w:line="240" w:lineRule="auto"/>
      </w:pPr>
      <w:r>
        <w:separator/>
      </w:r>
    </w:p>
  </w:footnote>
  <w:footnote w:type="continuationSeparator" w:id="0">
    <w:p w14:paraId="386D12A6" w14:textId="77777777" w:rsidR="009E4C58" w:rsidRDefault="009E4C58" w:rsidP="00DD3A79">
      <w:pPr>
        <w:spacing w:line="240" w:lineRule="auto"/>
      </w:pPr>
      <w:r>
        <w:continuationSeparator/>
      </w:r>
    </w:p>
  </w:footnote>
  <w:footnote w:type="continuationNotice" w:id="1">
    <w:p w14:paraId="517006B6" w14:textId="77777777" w:rsidR="009E4C58" w:rsidRDefault="009E4C58">
      <w:pPr>
        <w:spacing w:after="0" w:line="240" w:lineRule="auto"/>
      </w:pPr>
    </w:p>
  </w:footnote>
  <w:footnote w:id="2">
    <w:p w14:paraId="1F358FC6" w14:textId="77777777" w:rsidR="001B2687" w:rsidRPr="005E71E5" w:rsidRDefault="001B2687" w:rsidP="001B2687">
      <w:pPr>
        <w:pStyle w:val="FootnoteText"/>
        <w:spacing w:line="240" w:lineRule="auto"/>
        <w:jc w:val="both"/>
        <w:rPr>
          <w:rFonts w:ascii="Times New Roman" w:hAnsi="Times New Roman" w:cs="Times New Roman"/>
        </w:rPr>
      </w:pPr>
      <w:r>
        <w:rPr>
          <w:rStyle w:val="FootnoteReference"/>
        </w:rPr>
        <w:footnoteRef/>
      </w:r>
      <w:r>
        <w:rPr>
          <w:rFonts w:ascii="Times New Roman" w:hAnsi="Times New Roman"/>
        </w:rPr>
        <w:t xml:space="preserve">The specialist specified </w:t>
      </w:r>
      <w:r>
        <w:rPr>
          <w:rFonts w:ascii="Times New Roman" w:hAnsi="Times New Roman"/>
          <w:b/>
          <w:color w:val="FF0000"/>
          <w:u w:val="single"/>
        </w:rPr>
        <w:t>must</w:t>
      </w:r>
      <w:r>
        <w:rPr>
          <w:rFonts w:ascii="Times New Roman" w:hAnsi="Times New Roman"/>
          <w:b/>
          <w:color w:val="FF0000"/>
        </w:rPr>
        <w:t xml:space="preserve"> be the same person</w:t>
      </w:r>
      <w:r>
        <w:rPr>
          <w:rFonts w:ascii="Times New Roman" w:hAnsi="Times New Roman"/>
        </w:rPr>
        <w:t xml:space="preserve"> whom the tenderer involves (or will involve) to prove conformity of the qualification with the qualification requirements set out in the Procurement Conditions.</w:t>
      </w:r>
    </w:p>
  </w:footnote>
  <w:footnote w:id="3">
    <w:p w14:paraId="2BBF1721" w14:textId="77777777" w:rsidR="00342D99" w:rsidRPr="005E71E5" w:rsidRDefault="00342D99" w:rsidP="00342D99">
      <w:pPr>
        <w:pStyle w:val="FootnoteText"/>
        <w:rPr>
          <w:rFonts w:ascii="Times New Roman" w:hAnsi="Times New Roman" w:cs="Times New Roman"/>
        </w:rPr>
      </w:pPr>
      <w:r>
        <w:rPr>
          <w:rStyle w:val="FootnoteReference"/>
        </w:rPr>
        <w:footnoteRef/>
      </w:r>
      <w:r>
        <w:rPr>
          <w:rFonts w:ascii="Times New Roman" w:hAnsi="Times New Roman"/>
        </w:rPr>
        <w:t xml:space="preserve"> If the tenderer refers to the same contract to conform to the qualification requirements and to prove additional experience, such a contract shall not be considered as a proof of additional experience and no economic advantage points shall be awarded.</w:t>
      </w:r>
    </w:p>
  </w:footnote>
  <w:footnote w:id="4">
    <w:p w14:paraId="613FF51C" w14:textId="77777777" w:rsidR="00F4057F" w:rsidRPr="005E71E5" w:rsidRDefault="00F4057F" w:rsidP="00F4057F">
      <w:pPr>
        <w:pStyle w:val="FootnoteText"/>
        <w:rPr>
          <w:rFonts w:ascii="Times New Roman" w:hAnsi="Times New Roman" w:cs="Times New Roman"/>
        </w:rPr>
      </w:pPr>
      <w:r>
        <w:rPr>
          <w:rStyle w:val="FootnoteReference"/>
        </w:rPr>
        <w:footnoteRef/>
      </w:r>
      <w:r>
        <w:rPr>
          <w:rFonts w:ascii="Times New Roman" w:hAnsi="Times New Roman"/>
        </w:rPr>
        <w:t xml:space="preserve"> If the tenderer refers to the same contract to conform to the qualification requirements and to prove additional experience, such a contract shall not be considered as a proof of additional experience and no economic advantage points shall be awarded.</w:t>
      </w:r>
    </w:p>
  </w:footnote>
  <w:footnote w:id="5">
    <w:p w14:paraId="741C324D" w14:textId="77777777" w:rsidR="00A63822" w:rsidRPr="005E71E5" w:rsidRDefault="00A63822" w:rsidP="00A63822">
      <w:pPr>
        <w:pStyle w:val="FootnoteText"/>
        <w:spacing w:line="240" w:lineRule="auto"/>
        <w:jc w:val="both"/>
        <w:rPr>
          <w:rFonts w:ascii="Times New Roman" w:hAnsi="Times New Roman" w:cs="Times New Roman"/>
        </w:rPr>
      </w:pPr>
      <w:r>
        <w:rPr>
          <w:rStyle w:val="FootnoteReference"/>
        </w:rPr>
        <w:footnoteRef/>
      </w:r>
      <w:r>
        <w:rPr>
          <w:rFonts w:ascii="Times New Roman" w:hAnsi="Times New Roman"/>
        </w:rPr>
        <w:t xml:space="preserve">The specialist specified </w:t>
      </w:r>
      <w:r>
        <w:rPr>
          <w:rFonts w:ascii="Times New Roman" w:hAnsi="Times New Roman"/>
          <w:b/>
          <w:color w:val="FF0000"/>
          <w:u w:val="single"/>
        </w:rPr>
        <w:t>must</w:t>
      </w:r>
      <w:r>
        <w:rPr>
          <w:rFonts w:ascii="Times New Roman" w:hAnsi="Times New Roman"/>
          <w:b/>
          <w:color w:val="FF0000"/>
        </w:rPr>
        <w:t xml:space="preserve"> be the same person</w:t>
      </w:r>
      <w:r>
        <w:rPr>
          <w:rFonts w:ascii="Times New Roman" w:hAnsi="Times New Roman"/>
        </w:rPr>
        <w:t xml:space="preserve"> whom the tenderer involves (or will involve) to prove conformity of the qualification with the qualification requirements set out in the Procurement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8D18C1B"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69F8AF5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7A01F9"/>
    <w:multiLevelType w:val="hybridMultilevel"/>
    <w:tmpl w:val="7ED4FD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040C5"/>
    <w:multiLevelType w:val="hybridMultilevel"/>
    <w:tmpl w:val="FCC23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6F1D74"/>
    <w:multiLevelType w:val="hybridMultilevel"/>
    <w:tmpl w:val="4938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30002CE9"/>
    <w:multiLevelType w:val="hybridMultilevel"/>
    <w:tmpl w:val="5542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3E4A65E3"/>
    <w:multiLevelType w:val="hybridMultilevel"/>
    <w:tmpl w:val="7ED4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71FD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0E33FC"/>
    <w:multiLevelType w:val="hybridMultilevel"/>
    <w:tmpl w:val="155822D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634650A2"/>
    <w:multiLevelType w:val="hybridMultilevel"/>
    <w:tmpl w:val="79E6E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8317024"/>
    <w:multiLevelType w:val="hybridMultilevel"/>
    <w:tmpl w:val="066E2A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9F3D29"/>
    <w:multiLevelType w:val="hybridMultilevel"/>
    <w:tmpl w:val="C3B8D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23" w15:restartNumberingAfterBreak="0">
    <w:nsid w:val="7E2D5BA1"/>
    <w:multiLevelType w:val="hybridMultilevel"/>
    <w:tmpl w:val="39A287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952473">
    <w:abstractNumId w:val="1"/>
  </w:num>
  <w:num w:numId="2" w16cid:durableId="1013066889">
    <w:abstractNumId w:val="3"/>
  </w:num>
  <w:num w:numId="3" w16cid:durableId="1947074619">
    <w:abstractNumId w:val="17"/>
  </w:num>
  <w:num w:numId="4" w16cid:durableId="1593123153">
    <w:abstractNumId w:val="21"/>
  </w:num>
  <w:num w:numId="5" w16cid:durableId="30959526">
    <w:abstractNumId w:val="23"/>
  </w:num>
  <w:num w:numId="6" w16cid:durableId="1988901249">
    <w:abstractNumId w:val="16"/>
  </w:num>
  <w:num w:numId="7" w16cid:durableId="2110007114">
    <w:abstractNumId w:val="14"/>
  </w:num>
  <w:num w:numId="8" w16cid:durableId="2117480476">
    <w:abstractNumId w:val="11"/>
  </w:num>
  <w:num w:numId="9" w16cid:durableId="1450121386">
    <w:abstractNumId w:val="22"/>
  </w:num>
  <w:num w:numId="10" w16cid:durableId="1922983362">
    <w:abstractNumId w:val="4"/>
  </w:num>
  <w:num w:numId="11" w16cid:durableId="304433515">
    <w:abstractNumId w:val="13"/>
  </w:num>
  <w:num w:numId="12" w16cid:durableId="13113715">
    <w:abstractNumId w:val="18"/>
  </w:num>
  <w:num w:numId="13" w16cid:durableId="1016005787">
    <w:abstractNumId w:val="19"/>
  </w:num>
  <w:num w:numId="14" w16cid:durableId="1165437819">
    <w:abstractNumId w:val="2"/>
  </w:num>
  <w:num w:numId="15" w16cid:durableId="299573470">
    <w:abstractNumId w:val="9"/>
  </w:num>
  <w:num w:numId="16" w16cid:durableId="2136873199">
    <w:abstractNumId w:val="6"/>
  </w:num>
  <w:num w:numId="17" w16cid:durableId="1109275492">
    <w:abstractNumId w:val="0"/>
  </w:num>
  <w:num w:numId="18" w16cid:durableId="2079787315">
    <w:abstractNumId w:val="8"/>
  </w:num>
  <w:num w:numId="19" w16cid:durableId="1028068816">
    <w:abstractNumId w:val="20"/>
  </w:num>
  <w:num w:numId="20" w16cid:durableId="909656455">
    <w:abstractNumId w:val="5"/>
  </w:num>
  <w:num w:numId="21" w16cid:durableId="1475878181">
    <w:abstractNumId w:val="10"/>
  </w:num>
  <w:num w:numId="22" w16cid:durableId="1832599767">
    <w:abstractNumId w:val="12"/>
  </w:num>
  <w:num w:numId="23" w16cid:durableId="1936598499">
    <w:abstractNumId w:val="7"/>
  </w:num>
  <w:num w:numId="24" w16cid:durableId="570045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33114"/>
    <w:rsid w:val="00035E7D"/>
    <w:rsid w:val="000602D4"/>
    <w:rsid w:val="00074FBD"/>
    <w:rsid w:val="0008343E"/>
    <w:rsid w:val="00096F4C"/>
    <w:rsid w:val="000C0F13"/>
    <w:rsid w:val="000C66C3"/>
    <w:rsid w:val="000F707C"/>
    <w:rsid w:val="00111E70"/>
    <w:rsid w:val="00141474"/>
    <w:rsid w:val="0014645B"/>
    <w:rsid w:val="00152057"/>
    <w:rsid w:val="001813F9"/>
    <w:rsid w:val="001965B7"/>
    <w:rsid w:val="001A71AB"/>
    <w:rsid w:val="001B02C8"/>
    <w:rsid w:val="001B2687"/>
    <w:rsid w:val="001C5BFF"/>
    <w:rsid w:val="001C70D5"/>
    <w:rsid w:val="001E223C"/>
    <w:rsid w:val="001E603F"/>
    <w:rsid w:val="001F27FB"/>
    <w:rsid w:val="001F29C6"/>
    <w:rsid w:val="0021524B"/>
    <w:rsid w:val="002211EA"/>
    <w:rsid w:val="00225531"/>
    <w:rsid w:val="00295939"/>
    <w:rsid w:val="002964A9"/>
    <w:rsid w:val="002A56C7"/>
    <w:rsid w:val="002A622A"/>
    <w:rsid w:val="002A7375"/>
    <w:rsid w:val="002C7913"/>
    <w:rsid w:val="002E30C1"/>
    <w:rsid w:val="00330D8D"/>
    <w:rsid w:val="00337FD2"/>
    <w:rsid w:val="00342D99"/>
    <w:rsid w:val="003574A2"/>
    <w:rsid w:val="0036363D"/>
    <w:rsid w:val="00396C7D"/>
    <w:rsid w:val="003B7DB7"/>
    <w:rsid w:val="003C2905"/>
    <w:rsid w:val="003C4FEA"/>
    <w:rsid w:val="003E48E6"/>
    <w:rsid w:val="00414F15"/>
    <w:rsid w:val="0043576F"/>
    <w:rsid w:val="00471E1A"/>
    <w:rsid w:val="004B2086"/>
    <w:rsid w:val="004C2F98"/>
    <w:rsid w:val="005037E4"/>
    <w:rsid w:val="00507DCF"/>
    <w:rsid w:val="00524D1D"/>
    <w:rsid w:val="0052557E"/>
    <w:rsid w:val="00540F11"/>
    <w:rsid w:val="005544DE"/>
    <w:rsid w:val="005A30D5"/>
    <w:rsid w:val="005B6EAF"/>
    <w:rsid w:val="005C06A4"/>
    <w:rsid w:val="005E3A3E"/>
    <w:rsid w:val="0060307B"/>
    <w:rsid w:val="006209A8"/>
    <w:rsid w:val="00627A25"/>
    <w:rsid w:val="00661C66"/>
    <w:rsid w:val="00672D56"/>
    <w:rsid w:val="00676866"/>
    <w:rsid w:val="00693F5D"/>
    <w:rsid w:val="00696408"/>
    <w:rsid w:val="006D1742"/>
    <w:rsid w:val="006E019D"/>
    <w:rsid w:val="006F78A0"/>
    <w:rsid w:val="00700211"/>
    <w:rsid w:val="00705712"/>
    <w:rsid w:val="0071030F"/>
    <w:rsid w:val="007161B9"/>
    <w:rsid w:val="007177A6"/>
    <w:rsid w:val="00761423"/>
    <w:rsid w:val="007660C8"/>
    <w:rsid w:val="0078342E"/>
    <w:rsid w:val="007E040D"/>
    <w:rsid w:val="007E0785"/>
    <w:rsid w:val="007E189F"/>
    <w:rsid w:val="007E4BAA"/>
    <w:rsid w:val="007F35CD"/>
    <w:rsid w:val="007F6177"/>
    <w:rsid w:val="00830125"/>
    <w:rsid w:val="008435F7"/>
    <w:rsid w:val="00864700"/>
    <w:rsid w:val="00897D44"/>
    <w:rsid w:val="008B2686"/>
    <w:rsid w:val="008B5624"/>
    <w:rsid w:val="008E35C1"/>
    <w:rsid w:val="0090050D"/>
    <w:rsid w:val="00907A63"/>
    <w:rsid w:val="00922898"/>
    <w:rsid w:val="00926CB0"/>
    <w:rsid w:val="00930C01"/>
    <w:rsid w:val="00931CF8"/>
    <w:rsid w:val="00953CAF"/>
    <w:rsid w:val="00975E3C"/>
    <w:rsid w:val="009B1200"/>
    <w:rsid w:val="009B4447"/>
    <w:rsid w:val="009B47FF"/>
    <w:rsid w:val="009E00AC"/>
    <w:rsid w:val="009E4C58"/>
    <w:rsid w:val="00A142FB"/>
    <w:rsid w:val="00A524A5"/>
    <w:rsid w:val="00A63822"/>
    <w:rsid w:val="00A87BAE"/>
    <w:rsid w:val="00AB57A3"/>
    <w:rsid w:val="00AE5BF6"/>
    <w:rsid w:val="00AE7F9E"/>
    <w:rsid w:val="00AF63B8"/>
    <w:rsid w:val="00B60CB2"/>
    <w:rsid w:val="00B62B6D"/>
    <w:rsid w:val="00B7579A"/>
    <w:rsid w:val="00B76466"/>
    <w:rsid w:val="00BA2756"/>
    <w:rsid w:val="00BC519A"/>
    <w:rsid w:val="00BE6E00"/>
    <w:rsid w:val="00BF09FB"/>
    <w:rsid w:val="00C02293"/>
    <w:rsid w:val="00C23778"/>
    <w:rsid w:val="00CB7F7E"/>
    <w:rsid w:val="00CE5396"/>
    <w:rsid w:val="00CE7E74"/>
    <w:rsid w:val="00D02F77"/>
    <w:rsid w:val="00D25A72"/>
    <w:rsid w:val="00D36AE6"/>
    <w:rsid w:val="00DA7150"/>
    <w:rsid w:val="00DB6891"/>
    <w:rsid w:val="00DC30C3"/>
    <w:rsid w:val="00DC36D7"/>
    <w:rsid w:val="00DD3A79"/>
    <w:rsid w:val="00DE2CE1"/>
    <w:rsid w:val="00E17A95"/>
    <w:rsid w:val="00E24615"/>
    <w:rsid w:val="00E371F3"/>
    <w:rsid w:val="00E377C8"/>
    <w:rsid w:val="00E47FF2"/>
    <w:rsid w:val="00E71E7A"/>
    <w:rsid w:val="00E84092"/>
    <w:rsid w:val="00EF480D"/>
    <w:rsid w:val="00F24110"/>
    <w:rsid w:val="00F24960"/>
    <w:rsid w:val="00F350AC"/>
    <w:rsid w:val="00F4057F"/>
    <w:rsid w:val="00F54127"/>
    <w:rsid w:val="00F54AAC"/>
    <w:rsid w:val="00F57450"/>
    <w:rsid w:val="00F85553"/>
    <w:rsid w:val="00FB2CD2"/>
    <w:rsid w:val="00FC09D3"/>
    <w:rsid w:val="00FC1871"/>
    <w:rsid w:val="00FD1295"/>
    <w:rsid w:val="00FF5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EA39876D-E071-43FA-B4C6-7E31F7E7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 w:type="paragraph" w:customStyle="1" w:styleId="TekstasNr">
    <w:name w:val="TekstasNr"/>
    <w:basedOn w:val="ListParagraph"/>
    <w:link w:val="TekstasNrDiagrama"/>
    <w:qFormat/>
    <w:rsid w:val="00BF09FB"/>
    <w:pPr>
      <w:numPr>
        <w:numId w:val="21"/>
      </w:numPr>
      <w:tabs>
        <w:tab w:val="left" w:pos="1134"/>
      </w:tabs>
      <w:spacing w:line="259" w:lineRule="auto"/>
      <w:ind w:left="0" w:firstLine="567"/>
      <w:jc w:val="both"/>
    </w:pPr>
    <w:rPr>
      <w:rFonts w:ascii="Times New Roman" w:eastAsia="Times New Roman" w:hAnsi="Times New Roman" w:cs="Times New Roman"/>
      <w:sz w:val="24"/>
      <w:szCs w:val="24"/>
      <w:lang w:eastAsia="en-US"/>
    </w:rPr>
  </w:style>
  <w:style w:type="character" w:customStyle="1" w:styleId="TekstasNrDiagrama">
    <w:name w:val="TekstasNr Diagrama"/>
    <w:basedOn w:val="DefaultParagraphFont"/>
    <w:link w:val="TekstasNr"/>
    <w:rsid w:val="00BF09FB"/>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0602D4"/>
    <w:pPr>
      <w:spacing w:line="240" w:lineRule="auto"/>
    </w:pPr>
    <w:rPr>
      <w:b/>
      <w:bCs/>
    </w:rPr>
  </w:style>
  <w:style w:type="character" w:customStyle="1" w:styleId="CommentSubjectChar">
    <w:name w:val="Comment Subject Char"/>
    <w:basedOn w:val="CommentTextChar"/>
    <w:link w:val="CommentSubject"/>
    <w:uiPriority w:val="99"/>
    <w:semiHidden/>
    <w:rsid w:val="000602D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55692">
      <w:bodyDiv w:val="1"/>
      <w:marLeft w:val="0"/>
      <w:marRight w:val="0"/>
      <w:marTop w:val="0"/>
      <w:marBottom w:val="0"/>
      <w:divBdr>
        <w:top w:val="none" w:sz="0" w:space="0" w:color="auto"/>
        <w:left w:val="none" w:sz="0" w:space="0" w:color="auto"/>
        <w:bottom w:val="none" w:sz="0" w:space="0" w:color="auto"/>
        <w:right w:val="none" w:sz="0" w:space="0" w:color="auto"/>
      </w:divBdr>
    </w:div>
    <w:div w:id="144349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DB570-EB73-4404-BF34-CA1F778E1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36BECC84-1E7E-48EE-8413-1E8AB392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AA041-D6DB-4B3A-BA62-56C5D757B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6572</Words>
  <Characters>3747</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Rūta Lisauskienė</cp:lastModifiedBy>
  <cp:revision>3</cp:revision>
  <dcterms:created xsi:type="dcterms:W3CDTF">2025-03-21T14:29:00Z</dcterms:created>
  <dcterms:modified xsi:type="dcterms:W3CDTF">2025-03-25T12:33:00Z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ies>
</file>