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8EE78" w14:textId="512CA1C5" w:rsidR="00B92155" w:rsidRDefault="00B37C58" w:rsidP="00B37C58">
      <w:pPr>
        <w:jc w:val="right"/>
        <w:rPr>
          <w:rFonts w:ascii="Times New Roman" w:hAnsi="Times New Roman" w:cs="Times New Roman"/>
          <w:lang w:val="lt-LT"/>
        </w:rPr>
      </w:pPr>
      <w:r>
        <w:rPr>
          <w:rFonts w:ascii="Times New Roman" w:hAnsi="Times New Roman" w:cs="Times New Roman"/>
          <w:lang w:val="lt-LT"/>
        </w:rPr>
        <w:t>Techninės specifikacijos ir pasiūlymo kainos priedas Nr. 1</w:t>
      </w:r>
      <w:r w:rsidR="00F77AFD">
        <w:rPr>
          <w:rFonts w:ascii="Times New Roman" w:hAnsi="Times New Roman" w:cs="Times New Roman"/>
          <w:lang w:val="lt-LT"/>
        </w:rPr>
        <w:t>.1.</w:t>
      </w:r>
      <w:r>
        <w:rPr>
          <w:rFonts w:ascii="Times New Roman" w:hAnsi="Times New Roman" w:cs="Times New Roman"/>
          <w:lang w:val="lt-LT"/>
        </w:rPr>
        <w:t xml:space="preserve"> </w:t>
      </w:r>
    </w:p>
    <w:p w14:paraId="3CE759CD" w14:textId="655B3C00" w:rsidR="00AA448E" w:rsidRDefault="00B37C58" w:rsidP="00B37C58">
      <w:pPr>
        <w:jc w:val="center"/>
        <w:rPr>
          <w:rFonts w:ascii="Times New Roman" w:hAnsi="Times New Roman" w:cs="Times New Roman"/>
          <w:b/>
          <w:bCs/>
        </w:rPr>
      </w:pPr>
      <w:r>
        <w:rPr>
          <w:rFonts w:ascii="Times New Roman" w:hAnsi="Times New Roman" w:cs="Times New Roman"/>
          <w:b/>
          <w:bCs/>
        </w:rPr>
        <w:t>VIEŠAJ</w:t>
      </w:r>
      <w:r w:rsidR="007F6626">
        <w:rPr>
          <w:rFonts w:ascii="Times New Roman" w:hAnsi="Times New Roman" w:cs="Times New Roman"/>
          <w:b/>
          <w:bCs/>
        </w:rPr>
        <w:t>ASIS</w:t>
      </w:r>
      <w:r>
        <w:rPr>
          <w:rFonts w:ascii="Times New Roman" w:hAnsi="Times New Roman" w:cs="Times New Roman"/>
          <w:b/>
          <w:bCs/>
        </w:rPr>
        <w:t xml:space="preserve"> </w:t>
      </w:r>
      <w:r w:rsidRPr="00B37C58">
        <w:rPr>
          <w:rFonts w:ascii="Times New Roman" w:hAnsi="Times New Roman" w:cs="Times New Roman"/>
          <w:b/>
          <w:bCs/>
        </w:rPr>
        <w:t>PIRKIM</w:t>
      </w:r>
      <w:r w:rsidR="007F6626">
        <w:rPr>
          <w:rFonts w:ascii="Times New Roman" w:hAnsi="Times New Roman" w:cs="Times New Roman"/>
          <w:b/>
          <w:bCs/>
        </w:rPr>
        <w:t>AS</w:t>
      </w:r>
      <w:r w:rsidRPr="00B37C58">
        <w:rPr>
          <w:rFonts w:ascii="Times New Roman" w:hAnsi="Times New Roman" w:cs="Times New Roman"/>
          <w:b/>
          <w:bCs/>
        </w:rPr>
        <w:t xml:space="preserve"> </w:t>
      </w:r>
      <w:r>
        <w:rPr>
          <w:rFonts w:ascii="Times New Roman" w:hAnsi="Times New Roman" w:cs="Times New Roman"/>
          <w:b/>
          <w:bCs/>
          <w:lang w:val="lt-LT"/>
        </w:rPr>
        <w:t>„BALDAI (</w:t>
      </w:r>
      <w:r w:rsidRPr="00B37C58">
        <w:rPr>
          <w:rFonts w:ascii="Times New Roman" w:hAnsi="Times New Roman" w:cs="Times New Roman"/>
          <w:b/>
          <w:bCs/>
          <w:sz w:val="24"/>
          <w:szCs w:val="24"/>
          <w:lang w:val="lt-LT"/>
        </w:rPr>
        <w:t xml:space="preserve">NR. </w:t>
      </w:r>
      <w:r w:rsidR="00AA448E">
        <w:rPr>
          <w:rFonts w:ascii="Times New Roman" w:hAnsi="Times New Roman" w:cs="Times New Roman"/>
          <w:b/>
          <w:bCs/>
          <w:sz w:val="24"/>
          <w:szCs w:val="24"/>
        </w:rPr>
        <w:t>9721-2</w:t>
      </w:r>
      <w:r>
        <w:rPr>
          <w:rFonts w:cs="Times New Roman"/>
          <w:b/>
          <w:bCs/>
          <w:sz w:val="23"/>
          <w:szCs w:val="23"/>
        </w:rPr>
        <w:t>)</w:t>
      </w:r>
      <w:r w:rsidR="00AA448E">
        <w:rPr>
          <w:rFonts w:cs="Times New Roman"/>
          <w:b/>
          <w:bCs/>
          <w:sz w:val="23"/>
          <w:szCs w:val="23"/>
        </w:rPr>
        <w:t>”</w:t>
      </w:r>
      <w:r w:rsidRPr="00B37C58">
        <w:rPr>
          <w:rFonts w:ascii="Times New Roman" w:hAnsi="Times New Roman" w:cs="Times New Roman"/>
          <w:b/>
          <w:bCs/>
        </w:rPr>
        <w:t xml:space="preserve"> </w:t>
      </w:r>
    </w:p>
    <w:p w14:paraId="1CC4E9C9" w14:textId="126CD4F5" w:rsidR="00B37C58" w:rsidRDefault="00B37C58" w:rsidP="00B37C58">
      <w:pPr>
        <w:jc w:val="center"/>
        <w:rPr>
          <w:rFonts w:ascii="Times New Roman" w:hAnsi="Times New Roman" w:cs="Times New Roman"/>
          <w:b/>
          <w:bCs/>
        </w:rPr>
      </w:pPr>
      <w:r w:rsidRPr="00B37C58">
        <w:rPr>
          <w:rFonts w:ascii="Times New Roman" w:hAnsi="Times New Roman" w:cs="Times New Roman"/>
          <w:b/>
          <w:bCs/>
        </w:rPr>
        <w:t>MINIMALŪS APLINKOS APSAUGOS KRITERIJAI IR ATITIKTĮ JIEMS PAGRINDŽIANTYS DOKUMENTAI</w:t>
      </w:r>
    </w:p>
    <w:p w14:paraId="291E6ED1" w14:textId="34816E3A" w:rsidR="00B37C58" w:rsidRPr="00B37C58" w:rsidRDefault="00B37C58" w:rsidP="00B37C58">
      <w:pPr>
        <w:ind w:firstLine="720"/>
        <w:jc w:val="both"/>
        <w:rPr>
          <w:rFonts w:ascii="Times New Roman" w:hAnsi="Times New Roman" w:cs="Times New Roman"/>
          <w:lang w:val="lt-LT"/>
        </w:rPr>
      </w:pPr>
      <w:r w:rsidRPr="00B37C58">
        <w:rPr>
          <w:rFonts w:ascii="Times New Roman" w:hAnsi="Times New Roman" w:cs="Times New Roman"/>
          <w:lang w:val="lt-LT"/>
        </w:rPr>
        <w:t>Tiekėjas privalo vadovautis Lietuvos Respublikos aplinkos ministro 2011 m. birželio 28 d. įsakymu Nr. D1-508 „Dėl aplinkos apsaugos kriterijų taikymo, vykdant žaliuosius pirkimus, tvarkos aprašo patvirtinimo“ (aktuali redakcija) patvirtinto „Aplinkos apsaugos kriterijų taikymo, vykdant žaliuosius pirkimus, tvarkos aprašo“ (toliau – Tvarkos aprašas) VII skyriuje 7.1-7.4 papun</w:t>
      </w:r>
      <w:r w:rsidR="00E02EE5">
        <w:rPr>
          <w:rFonts w:ascii="Times New Roman" w:hAnsi="Times New Roman" w:cs="Times New Roman"/>
          <w:lang w:val="lt-LT"/>
        </w:rPr>
        <w:t>k</w:t>
      </w:r>
      <w:r w:rsidRPr="00B37C58">
        <w:rPr>
          <w:rFonts w:ascii="Times New Roman" w:hAnsi="Times New Roman" w:cs="Times New Roman"/>
          <w:lang w:val="lt-LT"/>
        </w:rPr>
        <w:t>čiuose pateiktais minimaliais aplinkos apsaugos kriterijais, kurie taikomi baldams:</w:t>
      </w:r>
    </w:p>
    <w:tbl>
      <w:tblPr>
        <w:tblStyle w:val="TableGrid"/>
        <w:tblW w:w="0" w:type="auto"/>
        <w:tblLook w:val="04A0" w:firstRow="1" w:lastRow="0" w:firstColumn="1" w:lastColumn="0" w:noHBand="0" w:noVBand="1"/>
      </w:tblPr>
      <w:tblGrid>
        <w:gridCol w:w="846"/>
        <w:gridCol w:w="8221"/>
        <w:gridCol w:w="4778"/>
      </w:tblGrid>
      <w:tr w:rsidR="00B37C58" w14:paraId="12AA4B74" w14:textId="77777777" w:rsidTr="00AA448E">
        <w:trPr>
          <w:trHeight w:val="923"/>
        </w:trPr>
        <w:tc>
          <w:tcPr>
            <w:tcW w:w="846" w:type="dxa"/>
          </w:tcPr>
          <w:p w14:paraId="35346E54" w14:textId="04A8D741" w:rsidR="00B37C58" w:rsidRDefault="00B37C58" w:rsidP="00B37C58">
            <w:pPr>
              <w:jc w:val="both"/>
              <w:rPr>
                <w:rFonts w:ascii="Times New Roman" w:hAnsi="Times New Roman" w:cs="Times New Roman"/>
                <w:b/>
                <w:bCs/>
                <w:lang w:val="lt-LT"/>
              </w:rPr>
            </w:pPr>
            <w:r>
              <w:rPr>
                <w:rFonts w:ascii="Times New Roman" w:hAnsi="Times New Roman" w:cs="Times New Roman"/>
                <w:b/>
                <w:bCs/>
                <w:lang w:val="lt-LT"/>
              </w:rPr>
              <w:t xml:space="preserve">Eil. Nr. </w:t>
            </w:r>
          </w:p>
        </w:tc>
        <w:tc>
          <w:tcPr>
            <w:tcW w:w="8221" w:type="dxa"/>
            <w:vAlign w:val="center"/>
          </w:tcPr>
          <w:p w14:paraId="37794ADB" w14:textId="3F23871D" w:rsidR="00B37C58" w:rsidRDefault="00B37C58" w:rsidP="00B37C58">
            <w:pPr>
              <w:jc w:val="center"/>
              <w:rPr>
                <w:rFonts w:ascii="Times New Roman" w:hAnsi="Times New Roman" w:cs="Times New Roman"/>
                <w:b/>
                <w:bCs/>
                <w:lang w:val="lt-LT"/>
              </w:rPr>
            </w:pPr>
            <w:r>
              <w:rPr>
                <w:rFonts w:ascii="Times New Roman" w:hAnsi="Times New Roman" w:cs="Times New Roman"/>
                <w:b/>
                <w:bCs/>
                <w:lang w:val="lt-LT"/>
              </w:rPr>
              <w:t>Minimalaus aplinkos apsaugos kriterijaus reikalavimas baldams</w:t>
            </w:r>
          </w:p>
        </w:tc>
        <w:tc>
          <w:tcPr>
            <w:tcW w:w="4778" w:type="dxa"/>
            <w:vAlign w:val="center"/>
          </w:tcPr>
          <w:p w14:paraId="43399231" w14:textId="46F9B1C4" w:rsidR="00B37C58" w:rsidRDefault="00A77AB0" w:rsidP="00A77AB0">
            <w:pPr>
              <w:jc w:val="center"/>
              <w:rPr>
                <w:rFonts w:ascii="Times New Roman" w:hAnsi="Times New Roman" w:cs="Times New Roman"/>
                <w:b/>
                <w:bCs/>
                <w:lang w:val="lt-LT"/>
              </w:rPr>
            </w:pPr>
            <w:r w:rsidRPr="00B37C58">
              <w:rPr>
                <w:rFonts w:ascii="Times New Roman" w:hAnsi="Times New Roman" w:cs="Times New Roman"/>
                <w:b/>
                <w:bCs/>
                <w:lang w:val="lt-LT"/>
              </w:rPr>
              <w:t>Atitiktį žaliojo pirkimo reikalavimams įrodantys dokumentai</w:t>
            </w:r>
            <w:r>
              <w:rPr>
                <w:rFonts w:ascii="Times New Roman" w:hAnsi="Times New Roman" w:cs="Times New Roman"/>
                <w:b/>
                <w:bCs/>
                <w:lang w:val="lt-LT"/>
              </w:rPr>
              <w:t xml:space="preserve">* </w:t>
            </w:r>
          </w:p>
        </w:tc>
      </w:tr>
      <w:tr w:rsidR="00563FAE" w14:paraId="785F7E72" w14:textId="77777777" w:rsidTr="00A77AB0">
        <w:tc>
          <w:tcPr>
            <w:tcW w:w="846" w:type="dxa"/>
          </w:tcPr>
          <w:p w14:paraId="2A1D58F7" w14:textId="466A12B5" w:rsidR="00563FAE" w:rsidRPr="00A77AB0" w:rsidRDefault="00563FAE" w:rsidP="00563FAE">
            <w:pPr>
              <w:jc w:val="both"/>
              <w:rPr>
                <w:rFonts w:ascii="Times New Roman" w:hAnsi="Times New Roman" w:cs="Times New Roman"/>
                <w:lang w:val="lt-LT"/>
              </w:rPr>
            </w:pPr>
            <w:r w:rsidRPr="00A77AB0">
              <w:rPr>
                <w:rFonts w:ascii="Times New Roman" w:hAnsi="Times New Roman" w:cs="Times New Roman"/>
                <w:lang w:val="lt-LT"/>
              </w:rPr>
              <w:t xml:space="preserve">7.1. </w:t>
            </w:r>
          </w:p>
        </w:tc>
        <w:tc>
          <w:tcPr>
            <w:tcW w:w="8221" w:type="dxa"/>
          </w:tcPr>
          <w:p w14:paraId="42EABB92" w14:textId="045B9F98" w:rsidR="00563FAE" w:rsidRPr="00A77AB0" w:rsidRDefault="00563FAE" w:rsidP="00563FAE">
            <w:pPr>
              <w:jc w:val="both"/>
              <w:rPr>
                <w:rFonts w:ascii="Times New Roman" w:hAnsi="Times New Roman" w:cs="Times New Roman"/>
                <w:lang w:val="lt-LT"/>
              </w:rPr>
            </w:pPr>
            <w:r w:rsidRPr="00B37C58">
              <w:rPr>
                <w:rFonts w:ascii="Times New Roman" w:hAnsi="Times New Roman" w:cs="Times New Roman"/>
                <w:lang w:val="lt-LT"/>
              </w:rPr>
              <w:t>ne mažiau kaip 80 proc. balduose naudojamos medienos, medienos medžiagų ir gaminių turi būti iš miškų, sertifikuotų naudojant FSC ar PEFC miškų sertifikavimo sistemas arba lygiavertes sertifikavimo sistemas</w:t>
            </w:r>
          </w:p>
        </w:tc>
        <w:tc>
          <w:tcPr>
            <w:tcW w:w="4778" w:type="dxa"/>
            <w:shd w:val="clear" w:color="auto" w:fill="CCFFFF"/>
          </w:tcPr>
          <w:p w14:paraId="422AA096" w14:textId="5AAD09AC" w:rsidR="00563FAE" w:rsidRPr="00A77AB0" w:rsidRDefault="00563FAE" w:rsidP="00563FAE">
            <w:pPr>
              <w:jc w:val="both"/>
              <w:rPr>
                <w:rFonts w:ascii="Times New Roman" w:hAnsi="Times New Roman" w:cs="Times New Roman"/>
                <w:b/>
                <w:bCs/>
                <w:highlight w:val="cyan"/>
                <w:lang w:val="lt-LT"/>
              </w:rPr>
            </w:pPr>
            <w:r>
              <w:rPr>
                <w:rFonts w:ascii="Times New Roman" w:hAnsi="Times New Roman" w:cs="Times New Roman"/>
                <w:b/>
                <w:bCs/>
                <w:highlight w:val="cyan"/>
                <w:lang w:val="lt-LT"/>
              </w:rPr>
              <w:t>FSC sertifikatas</w:t>
            </w:r>
          </w:p>
        </w:tc>
      </w:tr>
      <w:tr w:rsidR="00563FAE" w14:paraId="68488EE0" w14:textId="77777777" w:rsidTr="00A77AB0">
        <w:tc>
          <w:tcPr>
            <w:tcW w:w="846" w:type="dxa"/>
          </w:tcPr>
          <w:p w14:paraId="0282C119" w14:textId="6E81AC44" w:rsidR="00563FAE" w:rsidRPr="00A77AB0" w:rsidRDefault="00563FAE" w:rsidP="00563FAE">
            <w:pPr>
              <w:jc w:val="both"/>
              <w:rPr>
                <w:rFonts w:ascii="Times New Roman" w:hAnsi="Times New Roman" w:cs="Times New Roman"/>
                <w:lang w:val="lt-LT"/>
              </w:rPr>
            </w:pPr>
            <w:r w:rsidRPr="00A77AB0">
              <w:rPr>
                <w:rFonts w:ascii="Times New Roman" w:hAnsi="Times New Roman" w:cs="Times New Roman"/>
                <w:lang w:val="lt-LT"/>
              </w:rPr>
              <w:t xml:space="preserve">7.2. </w:t>
            </w:r>
          </w:p>
        </w:tc>
        <w:tc>
          <w:tcPr>
            <w:tcW w:w="8221" w:type="dxa"/>
          </w:tcPr>
          <w:p w14:paraId="6D367BED" w14:textId="27D8BD32" w:rsidR="00563FAE" w:rsidRPr="00A77AB0" w:rsidRDefault="00563FAE" w:rsidP="00563FAE">
            <w:pPr>
              <w:jc w:val="both"/>
              <w:rPr>
                <w:rFonts w:ascii="Times New Roman" w:hAnsi="Times New Roman" w:cs="Times New Roman"/>
                <w:lang w:val="lt-LT"/>
              </w:rPr>
            </w:pPr>
            <w:r w:rsidRPr="00B37C58">
              <w:rPr>
                <w:rFonts w:ascii="Times New Roman" w:hAnsi="Times New Roman" w:cs="Times New Roman"/>
                <w:lang w:val="lt-LT"/>
              </w:rPr>
              <w:t>visos plastikinės dalys, kurių masė ≥ 50 g, turi būti paženklintos kaip tinkamos perdirbti pagal LST EN ISO 11469 „Bendrasis plastikinių gaminių identifikavimas ir ženklinimas“ (toliau – LST EN ISO 11469) ar lygiavertį standartą</w:t>
            </w:r>
          </w:p>
        </w:tc>
        <w:tc>
          <w:tcPr>
            <w:tcW w:w="4778" w:type="dxa"/>
            <w:shd w:val="clear" w:color="auto" w:fill="CCFFFF"/>
          </w:tcPr>
          <w:p w14:paraId="5E3D1481" w14:textId="3B58DF08" w:rsidR="00563FAE" w:rsidRPr="00A77AB0" w:rsidRDefault="00563FAE" w:rsidP="00563FAE">
            <w:pPr>
              <w:jc w:val="both"/>
              <w:rPr>
                <w:rFonts w:ascii="Times New Roman" w:hAnsi="Times New Roman" w:cs="Times New Roman"/>
                <w:b/>
                <w:bCs/>
                <w:highlight w:val="cyan"/>
                <w:lang w:val="lt-LT"/>
              </w:rPr>
            </w:pPr>
            <w:r>
              <w:rPr>
                <w:rFonts w:ascii="Times New Roman" w:hAnsi="Times New Roman" w:cs="Times New Roman"/>
                <w:b/>
                <w:bCs/>
                <w:highlight w:val="cyan"/>
                <w:lang w:val="lt-LT"/>
              </w:rPr>
              <w:t>Gamintojo techniniai dokumentai</w:t>
            </w:r>
          </w:p>
        </w:tc>
      </w:tr>
      <w:tr w:rsidR="00563FAE" w14:paraId="365CB265" w14:textId="77777777" w:rsidTr="00A77AB0">
        <w:tc>
          <w:tcPr>
            <w:tcW w:w="846" w:type="dxa"/>
          </w:tcPr>
          <w:p w14:paraId="429E0470" w14:textId="7C7383F0" w:rsidR="00563FAE" w:rsidRPr="00A77AB0" w:rsidRDefault="00563FAE" w:rsidP="00563FAE">
            <w:pPr>
              <w:jc w:val="both"/>
              <w:rPr>
                <w:rFonts w:ascii="Times New Roman" w:hAnsi="Times New Roman" w:cs="Times New Roman"/>
                <w:lang w:val="lt-LT"/>
              </w:rPr>
            </w:pPr>
            <w:r w:rsidRPr="00A77AB0">
              <w:rPr>
                <w:rFonts w:ascii="Times New Roman" w:hAnsi="Times New Roman" w:cs="Times New Roman"/>
                <w:lang w:val="lt-LT"/>
              </w:rPr>
              <w:t>7.3.</w:t>
            </w:r>
          </w:p>
        </w:tc>
        <w:tc>
          <w:tcPr>
            <w:tcW w:w="8221" w:type="dxa"/>
          </w:tcPr>
          <w:p w14:paraId="431D0717" w14:textId="07F527DB" w:rsidR="00563FAE" w:rsidRPr="00A77AB0" w:rsidRDefault="00563FAE" w:rsidP="00563FAE">
            <w:pPr>
              <w:jc w:val="both"/>
              <w:rPr>
                <w:rFonts w:ascii="Times New Roman" w:hAnsi="Times New Roman" w:cs="Times New Roman"/>
                <w:lang w:val="lt-LT"/>
              </w:rPr>
            </w:pPr>
            <w:r w:rsidRPr="00B37C58">
              <w:rPr>
                <w:rFonts w:ascii="Times New Roman" w:hAnsi="Times New Roman" w:cs="Times New Roman"/>
                <w:lang w:val="lt-LT"/>
              </w:rPr>
              <w:t>jei baldo kamšalo sudėtyje naudojamos sintetinės poliesterio medžiagos, jų sudėtyje turi būti dalis perdirbtų medžiagų</w:t>
            </w:r>
          </w:p>
        </w:tc>
        <w:tc>
          <w:tcPr>
            <w:tcW w:w="4778" w:type="dxa"/>
            <w:shd w:val="clear" w:color="auto" w:fill="CCFFFF"/>
          </w:tcPr>
          <w:p w14:paraId="4BA5E55B" w14:textId="5B70FDB0" w:rsidR="00563FAE" w:rsidRPr="00A77AB0" w:rsidRDefault="00563FAE" w:rsidP="00563FAE">
            <w:pPr>
              <w:jc w:val="both"/>
              <w:rPr>
                <w:rFonts w:ascii="Times New Roman" w:hAnsi="Times New Roman" w:cs="Times New Roman"/>
                <w:b/>
                <w:bCs/>
                <w:highlight w:val="cyan"/>
                <w:lang w:val="lt-LT"/>
              </w:rPr>
            </w:pPr>
            <w:r>
              <w:rPr>
                <w:rFonts w:ascii="Times New Roman" w:hAnsi="Times New Roman" w:cs="Times New Roman"/>
                <w:b/>
                <w:bCs/>
                <w:highlight w:val="cyan"/>
                <w:lang w:val="lt-LT"/>
              </w:rPr>
              <w:t>Gamintojo techniniai dokumentai</w:t>
            </w:r>
          </w:p>
        </w:tc>
      </w:tr>
      <w:tr w:rsidR="00563FAE" w14:paraId="19684B9D" w14:textId="77777777" w:rsidTr="00EB365F">
        <w:tc>
          <w:tcPr>
            <w:tcW w:w="846" w:type="dxa"/>
          </w:tcPr>
          <w:p w14:paraId="1D349A78" w14:textId="27D10E12" w:rsidR="00563FAE" w:rsidRPr="00A77AB0" w:rsidRDefault="00563FAE" w:rsidP="00563FAE">
            <w:pPr>
              <w:jc w:val="both"/>
              <w:rPr>
                <w:rFonts w:ascii="Times New Roman" w:hAnsi="Times New Roman" w:cs="Times New Roman"/>
                <w:lang w:val="lt-LT"/>
              </w:rPr>
            </w:pPr>
            <w:r w:rsidRPr="00A77AB0">
              <w:rPr>
                <w:rFonts w:ascii="Times New Roman" w:hAnsi="Times New Roman" w:cs="Times New Roman"/>
                <w:lang w:val="lt-LT"/>
              </w:rPr>
              <w:t xml:space="preserve">7.4. </w:t>
            </w:r>
          </w:p>
        </w:tc>
        <w:tc>
          <w:tcPr>
            <w:tcW w:w="12999" w:type="dxa"/>
            <w:gridSpan w:val="2"/>
          </w:tcPr>
          <w:p w14:paraId="304D1D42" w14:textId="1A4058D0" w:rsidR="00563FAE" w:rsidRDefault="00563FAE" w:rsidP="00563FAE">
            <w:pPr>
              <w:jc w:val="both"/>
              <w:rPr>
                <w:rFonts w:ascii="Times New Roman" w:hAnsi="Times New Roman" w:cs="Times New Roman"/>
                <w:b/>
                <w:bCs/>
                <w:lang w:val="lt-LT"/>
              </w:rPr>
            </w:pPr>
            <w:r w:rsidRPr="00B37C58">
              <w:rPr>
                <w:rFonts w:ascii="Times New Roman" w:hAnsi="Times New Roman" w:cs="Times New Roman"/>
                <w:lang w:val="lt-LT"/>
              </w:rPr>
              <w:t>paviršiams dengti naudojamuose produktuose</w:t>
            </w:r>
            <w:r w:rsidRPr="00A77AB0">
              <w:rPr>
                <w:rFonts w:ascii="Times New Roman" w:hAnsi="Times New Roman" w:cs="Times New Roman"/>
                <w:lang w:val="lt-LT"/>
              </w:rPr>
              <w:t>:</w:t>
            </w:r>
          </w:p>
        </w:tc>
      </w:tr>
      <w:tr w:rsidR="00563FAE" w14:paraId="55CA0DF1" w14:textId="77777777" w:rsidTr="00A77AB0">
        <w:tc>
          <w:tcPr>
            <w:tcW w:w="846" w:type="dxa"/>
          </w:tcPr>
          <w:p w14:paraId="51298952" w14:textId="7EB3CC72" w:rsidR="00563FAE" w:rsidRPr="00A77AB0" w:rsidRDefault="00563FAE" w:rsidP="00563FAE">
            <w:pPr>
              <w:jc w:val="both"/>
              <w:rPr>
                <w:rFonts w:ascii="Times New Roman" w:hAnsi="Times New Roman" w:cs="Times New Roman"/>
                <w:lang w:val="lt-LT"/>
              </w:rPr>
            </w:pPr>
            <w:r w:rsidRPr="00A77AB0">
              <w:rPr>
                <w:rFonts w:ascii="Times New Roman" w:hAnsi="Times New Roman" w:cs="Times New Roman"/>
                <w:lang w:val="lt-LT"/>
              </w:rPr>
              <w:t>7.4.1.</w:t>
            </w:r>
          </w:p>
        </w:tc>
        <w:tc>
          <w:tcPr>
            <w:tcW w:w="8221" w:type="dxa"/>
          </w:tcPr>
          <w:p w14:paraId="4185ECF9" w14:textId="18321F0E" w:rsidR="00563FAE" w:rsidRPr="00A77AB0" w:rsidRDefault="00563FAE" w:rsidP="00563FAE">
            <w:pPr>
              <w:jc w:val="both"/>
              <w:rPr>
                <w:rFonts w:ascii="Times New Roman" w:hAnsi="Times New Roman" w:cs="Times New Roman"/>
                <w:lang w:val="lt-LT"/>
              </w:rPr>
            </w:pPr>
            <w:r w:rsidRPr="00B37C58">
              <w:rPr>
                <w:rFonts w:ascii="Times New Roman" w:hAnsi="Times New Roman" w:cs="Times New Roman"/>
                <w:lang w:val="lt-LT"/>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tc>
        <w:tc>
          <w:tcPr>
            <w:tcW w:w="4778" w:type="dxa"/>
            <w:shd w:val="clear" w:color="auto" w:fill="CCFFFF"/>
          </w:tcPr>
          <w:p w14:paraId="49E0F2A9" w14:textId="18C1233B" w:rsidR="00563FAE" w:rsidRDefault="00563FAE" w:rsidP="00563FAE">
            <w:pPr>
              <w:jc w:val="both"/>
              <w:rPr>
                <w:rFonts w:ascii="Times New Roman" w:hAnsi="Times New Roman" w:cs="Times New Roman"/>
                <w:b/>
                <w:bCs/>
                <w:lang w:val="lt-LT"/>
              </w:rPr>
            </w:pPr>
            <w:r>
              <w:rPr>
                <w:rFonts w:ascii="Times New Roman" w:hAnsi="Times New Roman" w:cs="Times New Roman"/>
                <w:b/>
                <w:bCs/>
                <w:highlight w:val="cyan"/>
                <w:lang w:val="lt-LT"/>
              </w:rPr>
              <w:t>Gamintojo techniniai dokumentai</w:t>
            </w:r>
          </w:p>
        </w:tc>
      </w:tr>
      <w:tr w:rsidR="00563FAE" w14:paraId="694218ED" w14:textId="77777777" w:rsidTr="00A77AB0">
        <w:tc>
          <w:tcPr>
            <w:tcW w:w="846" w:type="dxa"/>
          </w:tcPr>
          <w:p w14:paraId="4385BA81" w14:textId="4F298548" w:rsidR="00563FAE" w:rsidRPr="00A77AB0" w:rsidRDefault="00563FAE" w:rsidP="00563FAE">
            <w:pPr>
              <w:jc w:val="both"/>
              <w:rPr>
                <w:rFonts w:ascii="Times New Roman" w:hAnsi="Times New Roman" w:cs="Times New Roman"/>
                <w:lang w:val="lt-LT"/>
              </w:rPr>
            </w:pPr>
            <w:r w:rsidRPr="00A77AB0">
              <w:rPr>
                <w:rFonts w:ascii="Times New Roman" w:hAnsi="Times New Roman" w:cs="Times New Roman"/>
                <w:lang w:val="lt-LT"/>
              </w:rPr>
              <w:t>7.4.2.</w:t>
            </w:r>
          </w:p>
        </w:tc>
        <w:tc>
          <w:tcPr>
            <w:tcW w:w="8221" w:type="dxa"/>
          </w:tcPr>
          <w:p w14:paraId="7C50CC8A" w14:textId="47184A50" w:rsidR="00563FAE" w:rsidRPr="00A77AB0" w:rsidRDefault="00563FAE" w:rsidP="00563FAE">
            <w:pPr>
              <w:jc w:val="both"/>
              <w:rPr>
                <w:rFonts w:ascii="Times New Roman" w:hAnsi="Times New Roman" w:cs="Times New Roman"/>
                <w:lang w:val="lt-LT"/>
              </w:rPr>
            </w:pPr>
            <w:r w:rsidRPr="00B37C58">
              <w:rPr>
                <w:rFonts w:ascii="Times New Roman" w:hAnsi="Times New Roman" w:cs="Times New Roman"/>
                <w:lang w:val="lt-LT"/>
              </w:rPr>
              <w:t>neturi būti daugiau kaip 5 proc. masės lakiųjų organinių junginių (LOJ)</w:t>
            </w:r>
          </w:p>
        </w:tc>
        <w:tc>
          <w:tcPr>
            <w:tcW w:w="4778" w:type="dxa"/>
            <w:shd w:val="clear" w:color="auto" w:fill="CCFFFF"/>
          </w:tcPr>
          <w:p w14:paraId="42C3B6A1" w14:textId="44713D30" w:rsidR="00563FAE" w:rsidRDefault="00563FAE" w:rsidP="00563FAE">
            <w:pPr>
              <w:jc w:val="both"/>
              <w:rPr>
                <w:rFonts w:ascii="Times New Roman" w:hAnsi="Times New Roman" w:cs="Times New Roman"/>
                <w:b/>
                <w:bCs/>
                <w:lang w:val="lt-LT"/>
              </w:rPr>
            </w:pPr>
            <w:r>
              <w:rPr>
                <w:rFonts w:ascii="Times New Roman" w:hAnsi="Times New Roman" w:cs="Times New Roman"/>
                <w:b/>
                <w:bCs/>
                <w:highlight w:val="cyan"/>
                <w:lang w:val="lt-LT"/>
              </w:rPr>
              <w:t>Gamintojo techniniai dokumentai</w:t>
            </w:r>
          </w:p>
        </w:tc>
      </w:tr>
      <w:tr w:rsidR="00563FAE" w14:paraId="709AB23A" w14:textId="77777777" w:rsidTr="00A77AB0">
        <w:tc>
          <w:tcPr>
            <w:tcW w:w="846" w:type="dxa"/>
          </w:tcPr>
          <w:p w14:paraId="27C31F28" w14:textId="10652F21" w:rsidR="00563FAE" w:rsidRPr="00A77AB0" w:rsidRDefault="00563FAE" w:rsidP="00563FAE">
            <w:pPr>
              <w:jc w:val="both"/>
              <w:rPr>
                <w:rFonts w:ascii="Times New Roman" w:hAnsi="Times New Roman" w:cs="Times New Roman"/>
                <w:lang w:val="lt-LT"/>
              </w:rPr>
            </w:pPr>
            <w:r w:rsidRPr="00A77AB0">
              <w:rPr>
                <w:rFonts w:ascii="Times New Roman" w:hAnsi="Times New Roman" w:cs="Times New Roman"/>
                <w:lang w:val="lt-LT"/>
              </w:rPr>
              <w:t xml:space="preserve">7.4.3. </w:t>
            </w:r>
          </w:p>
        </w:tc>
        <w:tc>
          <w:tcPr>
            <w:tcW w:w="8221" w:type="dxa"/>
          </w:tcPr>
          <w:p w14:paraId="038EF9F5" w14:textId="05C6E4A3" w:rsidR="00563FAE" w:rsidRPr="00A77AB0" w:rsidRDefault="00563FAE" w:rsidP="00563FAE">
            <w:pPr>
              <w:jc w:val="both"/>
              <w:rPr>
                <w:rFonts w:ascii="Times New Roman" w:hAnsi="Times New Roman" w:cs="Times New Roman"/>
                <w:lang w:val="lt-LT"/>
              </w:rPr>
            </w:pPr>
            <w:r w:rsidRPr="00B37C58">
              <w:rPr>
                <w:rFonts w:ascii="Times New Roman" w:hAnsi="Times New Roman" w:cs="Times New Roman"/>
                <w:lang w:val="lt-LT"/>
              </w:rPr>
              <w:t>neturi būti chromo (VI) junginių</w:t>
            </w:r>
            <w:r w:rsidRPr="00A77AB0">
              <w:rPr>
                <w:rFonts w:ascii="Times New Roman" w:hAnsi="Times New Roman" w:cs="Times New Roman"/>
                <w:lang w:val="lt-LT"/>
              </w:rPr>
              <w:t>.</w:t>
            </w:r>
          </w:p>
        </w:tc>
        <w:tc>
          <w:tcPr>
            <w:tcW w:w="4778" w:type="dxa"/>
            <w:shd w:val="clear" w:color="auto" w:fill="CCFFFF"/>
          </w:tcPr>
          <w:p w14:paraId="1F17D6DD" w14:textId="47454177" w:rsidR="00563FAE" w:rsidRDefault="00563FAE" w:rsidP="00563FAE">
            <w:pPr>
              <w:jc w:val="both"/>
              <w:rPr>
                <w:rFonts w:ascii="Times New Roman" w:hAnsi="Times New Roman" w:cs="Times New Roman"/>
                <w:b/>
                <w:bCs/>
                <w:lang w:val="lt-LT"/>
              </w:rPr>
            </w:pPr>
            <w:r>
              <w:rPr>
                <w:rFonts w:ascii="Times New Roman" w:hAnsi="Times New Roman" w:cs="Times New Roman"/>
                <w:b/>
                <w:bCs/>
                <w:highlight w:val="cyan"/>
                <w:lang w:val="lt-LT"/>
              </w:rPr>
              <w:t>Gamintojo techniniai dokumentai</w:t>
            </w:r>
          </w:p>
        </w:tc>
      </w:tr>
      <w:tr w:rsidR="00563FAE" w14:paraId="25CDD34A" w14:textId="77777777" w:rsidTr="00A77AB0">
        <w:tc>
          <w:tcPr>
            <w:tcW w:w="846" w:type="dxa"/>
          </w:tcPr>
          <w:p w14:paraId="79B44205" w14:textId="5FE4EDEB" w:rsidR="00563FAE" w:rsidRPr="00A77AB0" w:rsidRDefault="00563FAE" w:rsidP="00563FAE">
            <w:pPr>
              <w:jc w:val="both"/>
              <w:rPr>
                <w:rFonts w:ascii="Times New Roman" w:hAnsi="Times New Roman" w:cs="Times New Roman"/>
                <w:lang w:val="lt-LT"/>
              </w:rPr>
            </w:pPr>
            <w:r w:rsidRPr="00A77AB0">
              <w:rPr>
                <w:rFonts w:ascii="Times New Roman" w:hAnsi="Times New Roman" w:cs="Times New Roman"/>
                <w:lang w:val="lt-LT"/>
              </w:rPr>
              <w:t>7.4.4.</w:t>
            </w:r>
          </w:p>
        </w:tc>
        <w:tc>
          <w:tcPr>
            <w:tcW w:w="8221" w:type="dxa"/>
          </w:tcPr>
          <w:p w14:paraId="1355A9D6" w14:textId="0AA64CB4" w:rsidR="00563FAE" w:rsidRPr="00A77AB0" w:rsidRDefault="00563FAE" w:rsidP="00563FAE">
            <w:pPr>
              <w:jc w:val="both"/>
              <w:rPr>
                <w:rFonts w:ascii="Times New Roman" w:hAnsi="Times New Roman" w:cs="Times New Roman"/>
                <w:lang w:val="lt-LT"/>
              </w:rPr>
            </w:pPr>
            <w:r w:rsidRPr="00B37C58">
              <w:rPr>
                <w:rFonts w:ascii="Times New Roman" w:hAnsi="Times New Roman" w:cs="Times New Roman"/>
                <w:lang w:val="lt-LT"/>
              </w:rPr>
              <w:t>formaldehido išmetamieji teršalai neturi viršyti 0,05 ppm</w:t>
            </w:r>
            <w:r w:rsidRPr="00A77AB0">
              <w:rPr>
                <w:rFonts w:ascii="Times New Roman" w:hAnsi="Times New Roman" w:cs="Times New Roman"/>
                <w:lang w:val="lt-LT"/>
              </w:rPr>
              <w:t>.</w:t>
            </w:r>
          </w:p>
        </w:tc>
        <w:tc>
          <w:tcPr>
            <w:tcW w:w="4778" w:type="dxa"/>
            <w:shd w:val="clear" w:color="auto" w:fill="CCFFFF"/>
          </w:tcPr>
          <w:p w14:paraId="58613F7F" w14:textId="46ED42B4" w:rsidR="00563FAE" w:rsidRDefault="00563FAE" w:rsidP="00563FAE">
            <w:pPr>
              <w:jc w:val="both"/>
              <w:rPr>
                <w:rFonts w:ascii="Times New Roman" w:hAnsi="Times New Roman" w:cs="Times New Roman"/>
                <w:b/>
                <w:bCs/>
                <w:lang w:val="lt-LT"/>
              </w:rPr>
            </w:pPr>
            <w:r>
              <w:rPr>
                <w:rFonts w:ascii="Times New Roman" w:hAnsi="Times New Roman" w:cs="Times New Roman"/>
                <w:b/>
                <w:bCs/>
                <w:highlight w:val="cyan"/>
                <w:lang w:val="lt-LT"/>
              </w:rPr>
              <w:t>Gamintojo techniniai dokumentai</w:t>
            </w:r>
          </w:p>
        </w:tc>
      </w:tr>
    </w:tbl>
    <w:p w14:paraId="71B13F3A" w14:textId="77777777" w:rsidR="00B37C58" w:rsidRDefault="00B37C58" w:rsidP="00B37C58">
      <w:pPr>
        <w:jc w:val="both"/>
        <w:rPr>
          <w:rFonts w:ascii="Times New Roman" w:hAnsi="Times New Roman" w:cs="Times New Roman"/>
          <w:b/>
          <w:bCs/>
          <w:lang w:val="lt-LT"/>
        </w:rPr>
      </w:pPr>
    </w:p>
    <w:p w14:paraId="4BAC5A57" w14:textId="5C3E4091" w:rsidR="00B37C58" w:rsidRDefault="00A77AB0" w:rsidP="00A77AB0">
      <w:pPr>
        <w:spacing w:after="0" w:line="240" w:lineRule="auto"/>
        <w:jc w:val="both"/>
        <w:rPr>
          <w:rFonts w:ascii="Times New Roman" w:hAnsi="Times New Roman" w:cs="Times New Roman"/>
          <w:b/>
          <w:bCs/>
          <w:lang w:val="lt-LT"/>
        </w:rPr>
      </w:pPr>
      <w:r w:rsidRPr="00A77AB0">
        <w:rPr>
          <w:rFonts w:ascii="Times New Roman" w:hAnsi="Times New Roman" w:cs="Times New Roman"/>
          <w:b/>
          <w:bCs/>
          <w:lang w:val="lt-LT"/>
        </w:rPr>
        <w:t>*</w:t>
      </w:r>
      <w:r w:rsidR="00B37C58" w:rsidRPr="00A77AB0">
        <w:rPr>
          <w:rFonts w:ascii="Times New Roman" w:hAnsi="Times New Roman" w:cs="Times New Roman"/>
          <w:b/>
          <w:bCs/>
          <w:lang w:val="lt-LT"/>
        </w:rPr>
        <w:t>ATITIKTĮ ŽALIOJO PIRKIMO REIKALAVIMAMS ĮRODANTYS DOKUMENTAI</w:t>
      </w:r>
      <w:r w:rsidRPr="00A77AB0">
        <w:rPr>
          <w:rFonts w:ascii="Times New Roman" w:hAnsi="Times New Roman" w:cs="Times New Roman"/>
          <w:b/>
          <w:bCs/>
          <w:lang w:val="lt-LT"/>
        </w:rPr>
        <w:t>:</w:t>
      </w:r>
    </w:p>
    <w:p w14:paraId="0DA2DD46" w14:textId="77777777" w:rsidR="00A77AB0" w:rsidRPr="00A77AB0" w:rsidRDefault="00A77AB0" w:rsidP="00A77AB0">
      <w:pPr>
        <w:spacing w:after="0" w:line="240" w:lineRule="auto"/>
        <w:jc w:val="both"/>
        <w:rPr>
          <w:rFonts w:ascii="Times New Roman" w:hAnsi="Times New Roman" w:cs="Times New Roman"/>
          <w:b/>
          <w:bCs/>
          <w:lang w:val="lt-LT"/>
        </w:rPr>
      </w:pPr>
    </w:p>
    <w:p w14:paraId="3685A5E1" w14:textId="77777777" w:rsidR="00A77AB0" w:rsidRDefault="00A77AB0" w:rsidP="00A77AB0">
      <w:pPr>
        <w:spacing w:after="0" w:line="240" w:lineRule="auto"/>
        <w:jc w:val="both"/>
        <w:rPr>
          <w:rFonts w:ascii="Times New Roman" w:hAnsi="Times New Roman" w:cs="Times New Roman"/>
          <w:lang w:val="lt-LT"/>
        </w:rPr>
      </w:pPr>
      <w:r w:rsidRPr="00A77AB0">
        <w:rPr>
          <w:rFonts w:ascii="Times New Roman" w:hAnsi="Times New Roman" w:cs="Times New Roman"/>
          <w:lang w:val="lt-LT"/>
        </w:rPr>
        <w:t>9. Galimi atitiktį žaliojo pirkimo reikalavimams įrodantys dokumentai, jeigu prie produktų minimalių aplinkos apsaugos kriterijų nenurodyta kitaip:</w:t>
      </w:r>
    </w:p>
    <w:p w14:paraId="359B480C" w14:textId="77777777" w:rsidR="00A77AB0" w:rsidRPr="00A77AB0" w:rsidRDefault="00A77AB0" w:rsidP="00A77AB0">
      <w:pPr>
        <w:spacing w:after="0" w:line="240" w:lineRule="auto"/>
        <w:jc w:val="both"/>
        <w:rPr>
          <w:rFonts w:ascii="Times New Roman" w:hAnsi="Times New Roman" w:cs="Times New Roman"/>
        </w:rPr>
      </w:pPr>
    </w:p>
    <w:p w14:paraId="4039717E" w14:textId="77777777" w:rsidR="00A77AB0" w:rsidRPr="00A77AB0" w:rsidRDefault="00A77AB0" w:rsidP="00A77AB0">
      <w:pPr>
        <w:spacing w:after="0" w:line="240" w:lineRule="auto"/>
        <w:jc w:val="both"/>
        <w:rPr>
          <w:rFonts w:ascii="Times New Roman" w:hAnsi="Times New Roman" w:cs="Times New Roman"/>
        </w:rPr>
      </w:pPr>
      <w:bookmarkStart w:id="0" w:name="part_2a8280b86e08449ba44e38eff07661be"/>
      <w:bookmarkEnd w:id="0"/>
      <w:r w:rsidRPr="00A77AB0">
        <w:rPr>
          <w:rFonts w:ascii="Times New Roman" w:hAnsi="Times New Roman" w:cs="Times New Roman"/>
          <w:lang w:val="lt-LT"/>
        </w:rPr>
        <w:t xml:space="preserve">9.1.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A77AB0">
        <w:rPr>
          <w:rFonts w:ascii="Times New Roman" w:hAnsi="Times New Roman" w:cs="Times New Roman"/>
          <w:lang w:val="lt-LT"/>
        </w:rPr>
        <w:lastRenderedPageBreak/>
        <w:t xml:space="preserve">produktų, kurie bus naudojami atlikti paslaugą ar darbą, sąrašas ir dokumentai, įrodantys, kad priemonės ir (ar) produktai atitinka nustatytus reikalavimus, arba kiti lygiaverčiai įrodymai; </w:t>
      </w:r>
    </w:p>
    <w:p w14:paraId="3F805C81" w14:textId="77777777" w:rsidR="00A77AB0" w:rsidRPr="00A77AB0" w:rsidRDefault="00A77AB0" w:rsidP="00A77AB0">
      <w:pPr>
        <w:spacing w:after="0" w:line="240" w:lineRule="auto"/>
        <w:jc w:val="both"/>
        <w:rPr>
          <w:rFonts w:ascii="Times New Roman" w:hAnsi="Times New Roman" w:cs="Times New Roman"/>
        </w:rPr>
      </w:pPr>
      <w:bookmarkStart w:id="1" w:name="part_239e3ab9a7b341499419e37afb5fac37"/>
      <w:bookmarkStart w:id="2" w:name="part_4b99e1b585c848ee958acf97229e534b"/>
      <w:bookmarkEnd w:id="1"/>
      <w:bookmarkEnd w:id="2"/>
      <w:r w:rsidRPr="00A77AB0">
        <w:rPr>
          <w:rFonts w:ascii="Times New Roman" w:hAnsi="Times New Roman" w:cs="Times New Roman"/>
          <w:lang w:val="lt-LT"/>
        </w:rPr>
        <w:t>9.2. nepriklausomos šalies išduotas sertifikatas ar kitas lygiavertis dokumentas, kuriuo įrodoma atitiktis taikomiems standartams.</w:t>
      </w:r>
    </w:p>
    <w:p w14:paraId="39BBBFD5" w14:textId="77777777" w:rsidR="00A77AB0" w:rsidRDefault="00A77AB0" w:rsidP="00A77AB0">
      <w:pPr>
        <w:spacing w:after="0" w:line="240" w:lineRule="auto"/>
        <w:jc w:val="both"/>
        <w:rPr>
          <w:rFonts w:ascii="Times New Roman" w:hAnsi="Times New Roman" w:cs="Times New Roman"/>
          <w:lang w:val="lt-LT"/>
        </w:rPr>
      </w:pPr>
      <w:bookmarkStart w:id="3" w:name="part_4b35b89b2f9347a7976bfc4943497536"/>
      <w:bookmarkEnd w:id="3"/>
    </w:p>
    <w:p w14:paraId="3A699AB4" w14:textId="3C0F805A" w:rsidR="00A77AB0" w:rsidRPr="00A77AB0" w:rsidRDefault="00A77AB0" w:rsidP="00A77AB0">
      <w:pPr>
        <w:spacing w:after="0" w:line="240" w:lineRule="auto"/>
        <w:jc w:val="both"/>
        <w:rPr>
          <w:rFonts w:ascii="Times New Roman" w:hAnsi="Times New Roman" w:cs="Times New Roman"/>
        </w:rPr>
      </w:pPr>
      <w:r w:rsidRPr="00A77AB0">
        <w:rPr>
          <w:rFonts w:ascii="Times New Roman" w:hAnsi="Times New Roman" w:cs="Times New Roman"/>
          <w:lang w:val="lt-LT"/>
        </w:rPr>
        <w:t xml:space="preserve">10. Kiti lygiaverčiai aplinkos apsaugos vadybos užtikrinimo priemonių įrodymai gali būti tiekėjo taikomų aplinkos apsaugos vadybos priemonių aprašymas, atitinkantis visus šiuos reikalavimus: </w:t>
      </w:r>
    </w:p>
    <w:p w14:paraId="0060BD11" w14:textId="77777777" w:rsidR="00A77AB0" w:rsidRPr="00A77AB0" w:rsidRDefault="00A77AB0" w:rsidP="00A77AB0">
      <w:pPr>
        <w:spacing w:after="0" w:line="240" w:lineRule="auto"/>
        <w:jc w:val="both"/>
        <w:rPr>
          <w:rFonts w:ascii="Times New Roman" w:hAnsi="Times New Roman" w:cs="Times New Roman"/>
        </w:rPr>
      </w:pPr>
      <w:bookmarkStart w:id="4" w:name="part_4258c8ff17ce467f928464d78b74da3b"/>
      <w:bookmarkEnd w:id="4"/>
      <w:r w:rsidRPr="00A77AB0">
        <w:rPr>
          <w:rFonts w:ascii="Times New Roman" w:hAnsi="Times New Roman" w:cs="Times New Roman"/>
          <w:lang w:val="lt-LT"/>
        </w:rPr>
        <w:t>10.1. apibrėžta įmonės ar įstaigos vadovybės patvirtinta aplinkos apsaugos politika ir atitiktis aplinkos apsaugos reikalavimams teikiant paslaugas ir vykdant darbus;</w:t>
      </w:r>
    </w:p>
    <w:p w14:paraId="1A41E834" w14:textId="77777777" w:rsidR="00A77AB0" w:rsidRPr="00A77AB0" w:rsidRDefault="00A77AB0" w:rsidP="00A77AB0">
      <w:pPr>
        <w:spacing w:after="0" w:line="240" w:lineRule="auto"/>
        <w:jc w:val="both"/>
        <w:rPr>
          <w:rFonts w:ascii="Times New Roman" w:hAnsi="Times New Roman" w:cs="Times New Roman"/>
        </w:rPr>
      </w:pPr>
      <w:bookmarkStart w:id="5" w:name="part_8026e1f0188d4e0c9e4ac34a3a1f42f5"/>
      <w:bookmarkEnd w:id="5"/>
      <w:r w:rsidRPr="00A77AB0">
        <w:rPr>
          <w:rFonts w:ascii="Times New Roman" w:hAnsi="Times New Roman" w:cs="Times New Roman"/>
          <w:lang w:val="lt-LT"/>
        </w:rPr>
        <w:t xml:space="preserve">10.2. nustatyti reikšmingiausi aplinkos apsaugos aspektai, kuriems poveikį daro arba gali daryti įmonės ar įstaigos vykdoma veikla, ir šiuos aplinkos apsaugos aspektus reglamentuojantys teisės aktai; </w:t>
      </w:r>
    </w:p>
    <w:p w14:paraId="6D75E11D" w14:textId="77777777" w:rsidR="00A77AB0" w:rsidRPr="00A77AB0" w:rsidRDefault="00A77AB0" w:rsidP="00A77AB0">
      <w:pPr>
        <w:spacing w:after="0" w:line="240" w:lineRule="auto"/>
        <w:jc w:val="both"/>
        <w:rPr>
          <w:rFonts w:ascii="Times New Roman" w:hAnsi="Times New Roman" w:cs="Times New Roman"/>
        </w:rPr>
      </w:pPr>
      <w:bookmarkStart w:id="6" w:name="part_eea496f4af8d4a59a1f585ef669fec99"/>
      <w:bookmarkEnd w:id="6"/>
      <w:r w:rsidRPr="00A77AB0">
        <w:rPr>
          <w:rFonts w:ascii="Times New Roman" w:hAnsi="Times New Roman" w:cs="Times New Roman"/>
          <w:lang w:val="lt-LT"/>
        </w:rPr>
        <w:t xml:space="preserve">10.3. nustatyti aplinkosauginiai tikslai, uždaviniai ir priemonės šiems tikslams pasiekti; </w:t>
      </w:r>
    </w:p>
    <w:p w14:paraId="5E4A1604" w14:textId="77777777" w:rsidR="00A77AB0" w:rsidRPr="00A77AB0" w:rsidRDefault="00A77AB0" w:rsidP="00A77AB0">
      <w:pPr>
        <w:spacing w:after="0" w:line="240" w:lineRule="auto"/>
        <w:jc w:val="both"/>
        <w:rPr>
          <w:rFonts w:ascii="Times New Roman" w:hAnsi="Times New Roman" w:cs="Times New Roman"/>
        </w:rPr>
      </w:pPr>
      <w:bookmarkStart w:id="7" w:name="part_884d25f267d34edbaca7bff2aec1e922"/>
      <w:bookmarkEnd w:id="7"/>
      <w:r w:rsidRPr="00A77AB0">
        <w:rPr>
          <w:rFonts w:ascii="Times New Roman" w:hAnsi="Times New Roman" w:cs="Times New Roman"/>
          <w:lang w:val="lt-LT"/>
        </w:rPr>
        <w:t xml:space="preserve">10.4. numatyta aplinkosauginių tikslų įgyvendinimo stebėsena – paskirti atsakingi asmenys, nustatyta jų atsakomybė, pareigos ir priemonių įgyvendinimo terminai; </w:t>
      </w:r>
    </w:p>
    <w:p w14:paraId="5B3B8CDD" w14:textId="77777777" w:rsidR="00A77AB0" w:rsidRPr="00A77AB0" w:rsidRDefault="00A77AB0" w:rsidP="00A77AB0">
      <w:pPr>
        <w:spacing w:after="0" w:line="240" w:lineRule="auto"/>
        <w:jc w:val="both"/>
        <w:rPr>
          <w:rFonts w:ascii="Times New Roman" w:hAnsi="Times New Roman" w:cs="Times New Roman"/>
        </w:rPr>
      </w:pPr>
      <w:bookmarkStart w:id="8" w:name="part_eeac4a3a30eb4da4a7bec81f1b0e78c5"/>
      <w:bookmarkEnd w:id="8"/>
      <w:r w:rsidRPr="00A77AB0">
        <w:rPr>
          <w:rFonts w:ascii="Times New Roman" w:hAnsi="Times New Roman" w:cs="Times New Roman"/>
          <w:lang w:val="lt-LT"/>
        </w:rPr>
        <w:t xml:space="preserve">10.5. parengtas aplinkosauginių ir avarinių situacijų valdymo planas; </w:t>
      </w:r>
    </w:p>
    <w:p w14:paraId="1697EC54" w14:textId="77777777" w:rsidR="00A77AB0" w:rsidRPr="00A77AB0" w:rsidRDefault="00A77AB0" w:rsidP="00A77AB0">
      <w:pPr>
        <w:spacing w:after="0" w:line="240" w:lineRule="auto"/>
        <w:jc w:val="both"/>
        <w:rPr>
          <w:rFonts w:ascii="Times New Roman" w:hAnsi="Times New Roman" w:cs="Times New Roman"/>
        </w:rPr>
      </w:pPr>
      <w:bookmarkStart w:id="9" w:name="part_c7208e43bc4543e5a565beaeab113763"/>
      <w:bookmarkEnd w:id="9"/>
      <w:r w:rsidRPr="00A77AB0">
        <w:rPr>
          <w:rFonts w:ascii="Times New Roman" w:hAnsi="Times New Roman" w:cs="Times New Roman"/>
          <w:lang w:val="lt-LT"/>
        </w:rPr>
        <w:t>10.6. vykdoma aplinkosauginio gerinimo veiklos kontrolė (pvz., parengiamos metinės ataskaitos, kurios pateikiamos ir pristatomos įmonės vadovybei).</w:t>
      </w:r>
    </w:p>
    <w:p w14:paraId="3CB70762" w14:textId="2BF31C73" w:rsidR="00A77AB0" w:rsidRDefault="00AA448E" w:rsidP="00B37C58">
      <w:pPr>
        <w:jc w:val="both"/>
        <w:rPr>
          <w:rFonts w:ascii="Times New Roman" w:hAnsi="Times New Roman" w:cs="Times New Roman"/>
          <w:b/>
          <w:bCs/>
          <w:lang w:val="lt-LT"/>
        </w:rPr>
      </w:pPr>
      <w:r>
        <w:rPr>
          <w:rFonts w:ascii="Times New Roman" w:hAnsi="Times New Roman" w:cs="Times New Roman"/>
          <w:b/>
          <w:bCs/>
          <w:lang w:val="lt-LT"/>
        </w:rPr>
        <w:tab/>
      </w:r>
      <w:r>
        <w:rPr>
          <w:rFonts w:ascii="Times New Roman" w:hAnsi="Times New Roman" w:cs="Times New Roman"/>
          <w:b/>
          <w:bCs/>
          <w:lang w:val="lt-LT"/>
        </w:rPr>
        <w:tab/>
      </w:r>
      <w:r>
        <w:rPr>
          <w:rFonts w:ascii="Times New Roman" w:hAnsi="Times New Roman" w:cs="Times New Roman"/>
          <w:b/>
          <w:bCs/>
          <w:lang w:val="lt-LT"/>
        </w:rPr>
        <w:tab/>
      </w:r>
      <w:r>
        <w:rPr>
          <w:rFonts w:ascii="Times New Roman" w:hAnsi="Times New Roman" w:cs="Times New Roman"/>
          <w:b/>
          <w:bCs/>
          <w:lang w:val="lt-LT"/>
        </w:rPr>
        <w:tab/>
      </w:r>
    </w:p>
    <w:p w14:paraId="28974178" w14:textId="423DE86C" w:rsidR="00AA448E" w:rsidRPr="00B37C58" w:rsidRDefault="00AA448E" w:rsidP="00AA448E">
      <w:pPr>
        <w:jc w:val="center"/>
        <w:rPr>
          <w:rFonts w:ascii="Times New Roman" w:hAnsi="Times New Roman" w:cs="Times New Roman"/>
          <w:b/>
          <w:bCs/>
          <w:lang w:val="lt-LT"/>
        </w:rPr>
      </w:pPr>
      <w:r>
        <w:rPr>
          <w:rFonts w:ascii="Times New Roman" w:hAnsi="Times New Roman" w:cs="Times New Roman"/>
          <w:b/>
          <w:bCs/>
          <w:lang w:val="lt-LT"/>
        </w:rPr>
        <w:t>____________________________________________________</w:t>
      </w:r>
    </w:p>
    <w:sectPr w:rsidR="00AA448E" w:rsidRPr="00B37C58" w:rsidSect="00AA448E">
      <w:headerReference w:type="default" r:id="rId7"/>
      <w:pgSz w:w="15840" w:h="12240" w:orient="landscape" w:code="1"/>
      <w:pgMar w:top="1135" w:right="851"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6183" w14:textId="77777777" w:rsidR="00850525" w:rsidRDefault="00850525" w:rsidP="00B37C58">
      <w:pPr>
        <w:spacing w:after="0" w:line="240" w:lineRule="auto"/>
      </w:pPr>
      <w:r>
        <w:separator/>
      </w:r>
    </w:p>
  </w:endnote>
  <w:endnote w:type="continuationSeparator" w:id="0">
    <w:p w14:paraId="5A900FCB" w14:textId="77777777" w:rsidR="00850525" w:rsidRDefault="00850525" w:rsidP="00B37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FFFF5" w14:textId="77777777" w:rsidR="00850525" w:rsidRDefault="00850525" w:rsidP="00B37C58">
      <w:pPr>
        <w:spacing w:after="0" w:line="240" w:lineRule="auto"/>
      </w:pPr>
      <w:r>
        <w:separator/>
      </w:r>
    </w:p>
  </w:footnote>
  <w:footnote w:type="continuationSeparator" w:id="0">
    <w:p w14:paraId="03B04711" w14:textId="77777777" w:rsidR="00850525" w:rsidRDefault="00850525" w:rsidP="00B37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4B34" w14:textId="2DF56DAC" w:rsidR="00B37C58" w:rsidRPr="00B37C58" w:rsidRDefault="00B37C58">
    <w:pPr>
      <w:pStyle w:val="Header"/>
      <w:rPr>
        <w:rFonts w:ascii="Times New Roman" w:hAnsi="Times New Roman" w:cs="Times New Roman"/>
      </w:rPr>
    </w:pPr>
    <w:r w:rsidRPr="00B37C58">
      <w:rPr>
        <w:rFonts w:ascii="Times New Roman" w:hAnsi="Times New Roman" w:cs="Times New Roman"/>
        <w:sz w:val="20"/>
        <w:szCs w:val="20"/>
      </w:rPr>
      <w:t xml:space="preserve">PASTABA. </w:t>
    </w:r>
    <w:proofErr w:type="spellStart"/>
    <w:r w:rsidRPr="00B37C58">
      <w:rPr>
        <w:rFonts w:ascii="Times New Roman" w:hAnsi="Times New Roman" w:cs="Times New Roman"/>
        <w:sz w:val="20"/>
        <w:szCs w:val="20"/>
      </w:rPr>
      <w:t>Melsva</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spalva</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pažymėtas</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sritis</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pildo</w:t>
    </w:r>
    <w:proofErr w:type="spellEnd"/>
    <w:r w:rsidRPr="00B37C58">
      <w:rPr>
        <w:rFonts w:ascii="Times New Roman" w:hAnsi="Times New Roman" w:cs="Times New Roman"/>
        <w:sz w:val="20"/>
        <w:szCs w:val="20"/>
      </w:rPr>
      <w:t xml:space="preserve"> </w:t>
    </w:r>
    <w:proofErr w:type="spellStart"/>
    <w:r w:rsidRPr="00B37C58">
      <w:rPr>
        <w:rFonts w:ascii="Times New Roman" w:hAnsi="Times New Roman" w:cs="Times New Roman"/>
        <w:sz w:val="20"/>
        <w:szCs w:val="20"/>
      </w:rPr>
      <w:t>tiekėjas</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58"/>
    <w:rsid w:val="000236F5"/>
    <w:rsid w:val="001B3926"/>
    <w:rsid w:val="00465B71"/>
    <w:rsid w:val="0054345A"/>
    <w:rsid w:val="00563FAE"/>
    <w:rsid w:val="007F6626"/>
    <w:rsid w:val="00815B55"/>
    <w:rsid w:val="00850525"/>
    <w:rsid w:val="00A77AB0"/>
    <w:rsid w:val="00AA448E"/>
    <w:rsid w:val="00B37C58"/>
    <w:rsid w:val="00B80334"/>
    <w:rsid w:val="00B92155"/>
    <w:rsid w:val="00BC087C"/>
    <w:rsid w:val="00E02EE5"/>
    <w:rsid w:val="00E111A3"/>
    <w:rsid w:val="00F77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AB18"/>
  <w15:docId w15:val="{9E575A54-3FC0-4C85-BD14-5566FE0F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7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7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7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7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7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7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7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7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7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7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7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C58"/>
    <w:rPr>
      <w:rFonts w:eastAsiaTheme="majorEastAsia" w:cstheme="majorBidi"/>
      <w:color w:val="272727" w:themeColor="text1" w:themeTint="D8"/>
    </w:rPr>
  </w:style>
  <w:style w:type="paragraph" w:styleId="Title">
    <w:name w:val="Title"/>
    <w:basedOn w:val="Normal"/>
    <w:next w:val="Normal"/>
    <w:link w:val="TitleChar"/>
    <w:uiPriority w:val="10"/>
    <w:qFormat/>
    <w:rsid w:val="00B37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C58"/>
    <w:pPr>
      <w:spacing w:before="160"/>
      <w:jc w:val="center"/>
    </w:pPr>
    <w:rPr>
      <w:i/>
      <w:iCs/>
      <w:color w:val="404040" w:themeColor="text1" w:themeTint="BF"/>
    </w:rPr>
  </w:style>
  <w:style w:type="character" w:customStyle="1" w:styleId="QuoteChar">
    <w:name w:val="Quote Char"/>
    <w:basedOn w:val="DefaultParagraphFont"/>
    <w:link w:val="Quote"/>
    <w:uiPriority w:val="29"/>
    <w:rsid w:val="00B37C58"/>
    <w:rPr>
      <w:i/>
      <w:iCs/>
      <w:color w:val="404040" w:themeColor="text1" w:themeTint="BF"/>
    </w:rPr>
  </w:style>
  <w:style w:type="paragraph" w:styleId="ListParagraph">
    <w:name w:val="List Paragraph"/>
    <w:basedOn w:val="Normal"/>
    <w:uiPriority w:val="34"/>
    <w:qFormat/>
    <w:rsid w:val="00B37C58"/>
    <w:pPr>
      <w:ind w:left="720"/>
      <w:contextualSpacing/>
    </w:pPr>
  </w:style>
  <w:style w:type="character" w:styleId="IntenseEmphasis">
    <w:name w:val="Intense Emphasis"/>
    <w:basedOn w:val="DefaultParagraphFont"/>
    <w:uiPriority w:val="21"/>
    <w:qFormat/>
    <w:rsid w:val="00B37C58"/>
    <w:rPr>
      <w:i/>
      <w:iCs/>
      <w:color w:val="2F5496" w:themeColor="accent1" w:themeShade="BF"/>
    </w:rPr>
  </w:style>
  <w:style w:type="paragraph" w:styleId="IntenseQuote">
    <w:name w:val="Intense Quote"/>
    <w:basedOn w:val="Normal"/>
    <w:next w:val="Normal"/>
    <w:link w:val="IntenseQuoteChar"/>
    <w:uiPriority w:val="30"/>
    <w:qFormat/>
    <w:rsid w:val="00B37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7C58"/>
    <w:rPr>
      <w:i/>
      <w:iCs/>
      <w:color w:val="2F5496" w:themeColor="accent1" w:themeShade="BF"/>
    </w:rPr>
  </w:style>
  <w:style w:type="character" w:styleId="IntenseReference">
    <w:name w:val="Intense Reference"/>
    <w:basedOn w:val="DefaultParagraphFont"/>
    <w:uiPriority w:val="32"/>
    <w:qFormat/>
    <w:rsid w:val="00B37C58"/>
    <w:rPr>
      <w:b/>
      <w:bCs/>
      <w:smallCaps/>
      <w:color w:val="2F5496" w:themeColor="accent1" w:themeShade="BF"/>
      <w:spacing w:val="5"/>
    </w:rPr>
  </w:style>
  <w:style w:type="table" w:styleId="TableGrid">
    <w:name w:val="Table Grid"/>
    <w:basedOn w:val="TableNormal"/>
    <w:uiPriority w:val="39"/>
    <w:rsid w:val="00B37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C58"/>
    <w:pPr>
      <w:tabs>
        <w:tab w:val="center" w:pos="4986"/>
        <w:tab w:val="right" w:pos="9972"/>
      </w:tabs>
      <w:spacing w:after="0" w:line="240" w:lineRule="auto"/>
    </w:pPr>
  </w:style>
  <w:style w:type="character" w:customStyle="1" w:styleId="HeaderChar">
    <w:name w:val="Header Char"/>
    <w:basedOn w:val="DefaultParagraphFont"/>
    <w:link w:val="Header"/>
    <w:uiPriority w:val="99"/>
    <w:rsid w:val="00B37C58"/>
  </w:style>
  <w:style w:type="paragraph" w:styleId="Footer">
    <w:name w:val="footer"/>
    <w:basedOn w:val="Normal"/>
    <w:link w:val="FooterChar"/>
    <w:uiPriority w:val="99"/>
    <w:unhideWhenUsed/>
    <w:rsid w:val="00B37C58"/>
    <w:pPr>
      <w:tabs>
        <w:tab w:val="center" w:pos="4986"/>
        <w:tab w:val="right" w:pos="9972"/>
      </w:tabs>
      <w:spacing w:after="0" w:line="240" w:lineRule="auto"/>
    </w:pPr>
  </w:style>
  <w:style w:type="character" w:customStyle="1" w:styleId="FooterChar">
    <w:name w:val="Footer Char"/>
    <w:basedOn w:val="DefaultParagraphFont"/>
    <w:link w:val="Footer"/>
    <w:uiPriority w:val="99"/>
    <w:rsid w:val="00B37C58"/>
  </w:style>
  <w:style w:type="character" w:styleId="Hyperlink">
    <w:name w:val="Hyperlink"/>
    <w:basedOn w:val="DefaultParagraphFont"/>
    <w:uiPriority w:val="99"/>
    <w:unhideWhenUsed/>
    <w:rsid w:val="00A77AB0"/>
    <w:rPr>
      <w:color w:val="0563C1" w:themeColor="hyperlink"/>
      <w:u w:val="single"/>
    </w:rPr>
  </w:style>
  <w:style w:type="character" w:customStyle="1" w:styleId="UnresolvedMention1">
    <w:name w:val="Unresolved Mention1"/>
    <w:basedOn w:val="DefaultParagraphFont"/>
    <w:uiPriority w:val="99"/>
    <w:semiHidden/>
    <w:unhideWhenUsed/>
    <w:rsid w:val="00A77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1394">
      <w:bodyDiv w:val="1"/>
      <w:marLeft w:val="0"/>
      <w:marRight w:val="0"/>
      <w:marTop w:val="0"/>
      <w:marBottom w:val="0"/>
      <w:divBdr>
        <w:top w:val="none" w:sz="0" w:space="0" w:color="auto"/>
        <w:left w:val="none" w:sz="0" w:space="0" w:color="auto"/>
        <w:bottom w:val="none" w:sz="0" w:space="0" w:color="auto"/>
        <w:right w:val="none" w:sz="0" w:space="0" w:color="auto"/>
      </w:divBdr>
      <w:divsChild>
        <w:div w:id="1319846052">
          <w:marLeft w:val="0"/>
          <w:marRight w:val="0"/>
          <w:marTop w:val="0"/>
          <w:marBottom w:val="0"/>
          <w:divBdr>
            <w:top w:val="none" w:sz="0" w:space="0" w:color="auto"/>
            <w:left w:val="none" w:sz="0" w:space="0" w:color="auto"/>
            <w:bottom w:val="none" w:sz="0" w:space="0" w:color="auto"/>
            <w:right w:val="none" w:sz="0" w:space="0" w:color="auto"/>
          </w:divBdr>
          <w:divsChild>
            <w:div w:id="1954632177">
              <w:marLeft w:val="0"/>
              <w:marRight w:val="0"/>
              <w:marTop w:val="0"/>
              <w:marBottom w:val="0"/>
              <w:divBdr>
                <w:top w:val="none" w:sz="0" w:space="0" w:color="auto"/>
                <w:left w:val="none" w:sz="0" w:space="0" w:color="auto"/>
                <w:bottom w:val="none" w:sz="0" w:space="0" w:color="auto"/>
                <w:right w:val="none" w:sz="0" w:space="0" w:color="auto"/>
              </w:divBdr>
            </w:div>
            <w:div w:id="1010720079">
              <w:marLeft w:val="0"/>
              <w:marRight w:val="0"/>
              <w:marTop w:val="0"/>
              <w:marBottom w:val="0"/>
              <w:divBdr>
                <w:top w:val="none" w:sz="0" w:space="0" w:color="auto"/>
                <w:left w:val="none" w:sz="0" w:space="0" w:color="auto"/>
                <w:bottom w:val="none" w:sz="0" w:space="0" w:color="auto"/>
                <w:right w:val="none" w:sz="0" w:space="0" w:color="auto"/>
              </w:divBdr>
            </w:div>
            <w:div w:id="1163471210">
              <w:marLeft w:val="0"/>
              <w:marRight w:val="0"/>
              <w:marTop w:val="0"/>
              <w:marBottom w:val="0"/>
              <w:divBdr>
                <w:top w:val="none" w:sz="0" w:space="0" w:color="auto"/>
                <w:left w:val="none" w:sz="0" w:space="0" w:color="auto"/>
                <w:bottom w:val="none" w:sz="0" w:space="0" w:color="auto"/>
                <w:right w:val="none" w:sz="0" w:space="0" w:color="auto"/>
              </w:divBdr>
            </w:div>
          </w:divsChild>
        </w:div>
        <w:div w:id="1301304149">
          <w:marLeft w:val="0"/>
          <w:marRight w:val="0"/>
          <w:marTop w:val="0"/>
          <w:marBottom w:val="0"/>
          <w:divBdr>
            <w:top w:val="none" w:sz="0" w:space="0" w:color="auto"/>
            <w:left w:val="none" w:sz="0" w:space="0" w:color="auto"/>
            <w:bottom w:val="none" w:sz="0" w:space="0" w:color="auto"/>
            <w:right w:val="none" w:sz="0" w:space="0" w:color="auto"/>
          </w:divBdr>
          <w:divsChild>
            <w:div w:id="2013873819">
              <w:marLeft w:val="0"/>
              <w:marRight w:val="0"/>
              <w:marTop w:val="0"/>
              <w:marBottom w:val="0"/>
              <w:divBdr>
                <w:top w:val="none" w:sz="0" w:space="0" w:color="auto"/>
                <w:left w:val="none" w:sz="0" w:space="0" w:color="auto"/>
                <w:bottom w:val="none" w:sz="0" w:space="0" w:color="auto"/>
                <w:right w:val="none" w:sz="0" w:space="0" w:color="auto"/>
              </w:divBdr>
            </w:div>
            <w:div w:id="1480001933">
              <w:marLeft w:val="0"/>
              <w:marRight w:val="0"/>
              <w:marTop w:val="0"/>
              <w:marBottom w:val="0"/>
              <w:divBdr>
                <w:top w:val="none" w:sz="0" w:space="0" w:color="auto"/>
                <w:left w:val="none" w:sz="0" w:space="0" w:color="auto"/>
                <w:bottom w:val="none" w:sz="0" w:space="0" w:color="auto"/>
                <w:right w:val="none" w:sz="0" w:space="0" w:color="auto"/>
              </w:divBdr>
            </w:div>
            <w:div w:id="1834832422">
              <w:marLeft w:val="0"/>
              <w:marRight w:val="0"/>
              <w:marTop w:val="0"/>
              <w:marBottom w:val="0"/>
              <w:divBdr>
                <w:top w:val="none" w:sz="0" w:space="0" w:color="auto"/>
                <w:left w:val="none" w:sz="0" w:space="0" w:color="auto"/>
                <w:bottom w:val="none" w:sz="0" w:space="0" w:color="auto"/>
                <w:right w:val="none" w:sz="0" w:space="0" w:color="auto"/>
              </w:divBdr>
            </w:div>
            <w:div w:id="497577742">
              <w:marLeft w:val="0"/>
              <w:marRight w:val="0"/>
              <w:marTop w:val="0"/>
              <w:marBottom w:val="0"/>
              <w:divBdr>
                <w:top w:val="none" w:sz="0" w:space="0" w:color="auto"/>
                <w:left w:val="none" w:sz="0" w:space="0" w:color="auto"/>
                <w:bottom w:val="none" w:sz="0" w:space="0" w:color="auto"/>
                <w:right w:val="none" w:sz="0" w:space="0" w:color="auto"/>
              </w:divBdr>
            </w:div>
            <w:div w:id="316963807">
              <w:marLeft w:val="0"/>
              <w:marRight w:val="0"/>
              <w:marTop w:val="0"/>
              <w:marBottom w:val="0"/>
              <w:divBdr>
                <w:top w:val="none" w:sz="0" w:space="0" w:color="auto"/>
                <w:left w:val="none" w:sz="0" w:space="0" w:color="auto"/>
                <w:bottom w:val="none" w:sz="0" w:space="0" w:color="auto"/>
                <w:right w:val="none" w:sz="0" w:space="0" w:color="auto"/>
              </w:divBdr>
            </w:div>
            <w:div w:id="14461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270308">
      <w:bodyDiv w:val="1"/>
      <w:marLeft w:val="0"/>
      <w:marRight w:val="0"/>
      <w:marTop w:val="0"/>
      <w:marBottom w:val="0"/>
      <w:divBdr>
        <w:top w:val="none" w:sz="0" w:space="0" w:color="auto"/>
        <w:left w:val="none" w:sz="0" w:space="0" w:color="auto"/>
        <w:bottom w:val="none" w:sz="0" w:space="0" w:color="auto"/>
        <w:right w:val="none" w:sz="0" w:space="0" w:color="auto"/>
      </w:divBdr>
      <w:divsChild>
        <w:div w:id="71582606">
          <w:marLeft w:val="0"/>
          <w:marRight w:val="0"/>
          <w:marTop w:val="0"/>
          <w:marBottom w:val="0"/>
          <w:divBdr>
            <w:top w:val="none" w:sz="0" w:space="0" w:color="auto"/>
            <w:left w:val="none" w:sz="0" w:space="0" w:color="auto"/>
            <w:bottom w:val="none" w:sz="0" w:space="0" w:color="auto"/>
            <w:right w:val="none" w:sz="0" w:space="0" w:color="auto"/>
          </w:divBdr>
        </w:div>
        <w:div w:id="735321936">
          <w:marLeft w:val="0"/>
          <w:marRight w:val="0"/>
          <w:marTop w:val="0"/>
          <w:marBottom w:val="0"/>
          <w:divBdr>
            <w:top w:val="none" w:sz="0" w:space="0" w:color="auto"/>
            <w:left w:val="none" w:sz="0" w:space="0" w:color="auto"/>
            <w:bottom w:val="none" w:sz="0" w:space="0" w:color="auto"/>
            <w:right w:val="none" w:sz="0" w:space="0" w:color="auto"/>
          </w:divBdr>
        </w:div>
        <w:div w:id="1644770086">
          <w:marLeft w:val="0"/>
          <w:marRight w:val="0"/>
          <w:marTop w:val="0"/>
          <w:marBottom w:val="0"/>
          <w:divBdr>
            <w:top w:val="none" w:sz="0" w:space="0" w:color="auto"/>
            <w:left w:val="none" w:sz="0" w:space="0" w:color="auto"/>
            <w:bottom w:val="none" w:sz="0" w:space="0" w:color="auto"/>
            <w:right w:val="none" w:sz="0" w:space="0" w:color="auto"/>
          </w:divBdr>
        </w:div>
        <w:div w:id="1369336226">
          <w:marLeft w:val="0"/>
          <w:marRight w:val="0"/>
          <w:marTop w:val="0"/>
          <w:marBottom w:val="0"/>
          <w:divBdr>
            <w:top w:val="none" w:sz="0" w:space="0" w:color="auto"/>
            <w:left w:val="none" w:sz="0" w:space="0" w:color="auto"/>
            <w:bottom w:val="none" w:sz="0" w:space="0" w:color="auto"/>
            <w:right w:val="none" w:sz="0" w:space="0" w:color="auto"/>
          </w:divBdr>
          <w:divsChild>
            <w:div w:id="1321419555">
              <w:marLeft w:val="0"/>
              <w:marRight w:val="0"/>
              <w:marTop w:val="0"/>
              <w:marBottom w:val="0"/>
              <w:divBdr>
                <w:top w:val="none" w:sz="0" w:space="0" w:color="auto"/>
                <w:left w:val="none" w:sz="0" w:space="0" w:color="auto"/>
                <w:bottom w:val="none" w:sz="0" w:space="0" w:color="auto"/>
                <w:right w:val="none" w:sz="0" w:space="0" w:color="auto"/>
              </w:divBdr>
            </w:div>
            <w:div w:id="1011107643">
              <w:marLeft w:val="0"/>
              <w:marRight w:val="0"/>
              <w:marTop w:val="0"/>
              <w:marBottom w:val="0"/>
              <w:divBdr>
                <w:top w:val="none" w:sz="0" w:space="0" w:color="auto"/>
                <w:left w:val="none" w:sz="0" w:space="0" w:color="auto"/>
                <w:bottom w:val="none" w:sz="0" w:space="0" w:color="auto"/>
                <w:right w:val="none" w:sz="0" w:space="0" w:color="auto"/>
              </w:divBdr>
            </w:div>
            <w:div w:id="1045446117">
              <w:marLeft w:val="0"/>
              <w:marRight w:val="0"/>
              <w:marTop w:val="0"/>
              <w:marBottom w:val="0"/>
              <w:divBdr>
                <w:top w:val="none" w:sz="0" w:space="0" w:color="auto"/>
                <w:left w:val="none" w:sz="0" w:space="0" w:color="auto"/>
                <w:bottom w:val="none" w:sz="0" w:space="0" w:color="auto"/>
                <w:right w:val="none" w:sz="0" w:space="0" w:color="auto"/>
              </w:divBdr>
            </w:div>
            <w:div w:id="290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80720">
      <w:bodyDiv w:val="1"/>
      <w:marLeft w:val="0"/>
      <w:marRight w:val="0"/>
      <w:marTop w:val="0"/>
      <w:marBottom w:val="0"/>
      <w:divBdr>
        <w:top w:val="none" w:sz="0" w:space="0" w:color="auto"/>
        <w:left w:val="none" w:sz="0" w:space="0" w:color="auto"/>
        <w:bottom w:val="none" w:sz="0" w:space="0" w:color="auto"/>
        <w:right w:val="none" w:sz="0" w:space="0" w:color="auto"/>
      </w:divBdr>
      <w:divsChild>
        <w:div w:id="883374018">
          <w:marLeft w:val="0"/>
          <w:marRight w:val="0"/>
          <w:marTop w:val="0"/>
          <w:marBottom w:val="0"/>
          <w:divBdr>
            <w:top w:val="none" w:sz="0" w:space="0" w:color="auto"/>
            <w:left w:val="none" w:sz="0" w:space="0" w:color="auto"/>
            <w:bottom w:val="none" w:sz="0" w:space="0" w:color="auto"/>
            <w:right w:val="none" w:sz="0" w:space="0" w:color="auto"/>
          </w:divBdr>
        </w:div>
        <w:div w:id="597252826">
          <w:marLeft w:val="0"/>
          <w:marRight w:val="0"/>
          <w:marTop w:val="0"/>
          <w:marBottom w:val="0"/>
          <w:divBdr>
            <w:top w:val="none" w:sz="0" w:space="0" w:color="auto"/>
            <w:left w:val="none" w:sz="0" w:space="0" w:color="auto"/>
            <w:bottom w:val="none" w:sz="0" w:space="0" w:color="auto"/>
            <w:right w:val="none" w:sz="0" w:space="0" w:color="auto"/>
          </w:divBdr>
        </w:div>
        <w:div w:id="252397143">
          <w:marLeft w:val="0"/>
          <w:marRight w:val="0"/>
          <w:marTop w:val="0"/>
          <w:marBottom w:val="0"/>
          <w:divBdr>
            <w:top w:val="none" w:sz="0" w:space="0" w:color="auto"/>
            <w:left w:val="none" w:sz="0" w:space="0" w:color="auto"/>
            <w:bottom w:val="none" w:sz="0" w:space="0" w:color="auto"/>
            <w:right w:val="none" w:sz="0" w:space="0" w:color="auto"/>
          </w:divBdr>
        </w:div>
        <w:div w:id="1898667079">
          <w:marLeft w:val="0"/>
          <w:marRight w:val="0"/>
          <w:marTop w:val="0"/>
          <w:marBottom w:val="0"/>
          <w:divBdr>
            <w:top w:val="none" w:sz="0" w:space="0" w:color="auto"/>
            <w:left w:val="none" w:sz="0" w:space="0" w:color="auto"/>
            <w:bottom w:val="none" w:sz="0" w:space="0" w:color="auto"/>
            <w:right w:val="none" w:sz="0" w:space="0" w:color="auto"/>
          </w:divBdr>
          <w:divsChild>
            <w:div w:id="75638916">
              <w:marLeft w:val="0"/>
              <w:marRight w:val="0"/>
              <w:marTop w:val="0"/>
              <w:marBottom w:val="0"/>
              <w:divBdr>
                <w:top w:val="none" w:sz="0" w:space="0" w:color="auto"/>
                <w:left w:val="none" w:sz="0" w:space="0" w:color="auto"/>
                <w:bottom w:val="none" w:sz="0" w:space="0" w:color="auto"/>
                <w:right w:val="none" w:sz="0" w:space="0" w:color="auto"/>
              </w:divBdr>
            </w:div>
            <w:div w:id="1993020879">
              <w:marLeft w:val="0"/>
              <w:marRight w:val="0"/>
              <w:marTop w:val="0"/>
              <w:marBottom w:val="0"/>
              <w:divBdr>
                <w:top w:val="none" w:sz="0" w:space="0" w:color="auto"/>
                <w:left w:val="none" w:sz="0" w:space="0" w:color="auto"/>
                <w:bottom w:val="none" w:sz="0" w:space="0" w:color="auto"/>
                <w:right w:val="none" w:sz="0" w:space="0" w:color="auto"/>
              </w:divBdr>
            </w:div>
            <w:div w:id="839780518">
              <w:marLeft w:val="0"/>
              <w:marRight w:val="0"/>
              <w:marTop w:val="0"/>
              <w:marBottom w:val="0"/>
              <w:divBdr>
                <w:top w:val="none" w:sz="0" w:space="0" w:color="auto"/>
                <w:left w:val="none" w:sz="0" w:space="0" w:color="auto"/>
                <w:bottom w:val="none" w:sz="0" w:space="0" w:color="auto"/>
                <w:right w:val="none" w:sz="0" w:space="0" w:color="auto"/>
              </w:divBdr>
            </w:div>
            <w:div w:id="15523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698373">
      <w:bodyDiv w:val="1"/>
      <w:marLeft w:val="0"/>
      <w:marRight w:val="0"/>
      <w:marTop w:val="0"/>
      <w:marBottom w:val="0"/>
      <w:divBdr>
        <w:top w:val="none" w:sz="0" w:space="0" w:color="auto"/>
        <w:left w:val="none" w:sz="0" w:space="0" w:color="auto"/>
        <w:bottom w:val="none" w:sz="0" w:space="0" w:color="auto"/>
        <w:right w:val="none" w:sz="0" w:space="0" w:color="auto"/>
      </w:divBdr>
      <w:divsChild>
        <w:div w:id="587269019">
          <w:marLeft w:val="0"/>
          <w:marRight w:val="0"/>
          <w:marTop w:val="0"/>
          <w:marBottom w:val="0"/>
          <w:divBdr>
            <w:top w:val="none" w:sz="0" w:space="0" w:color="auto"/>
            <w:left w:val="none" w:sz="0" w:space="0" w:color="auto"/>
            <w:bottom w:val="none" w:sz="0" w:space="0" w:color="auto"/>
            <w:right w:val="none" w:sz="0" w:space="0" w:color="auto"/>
          </w:divBdr>
          <w:divsChild>
            <w:div w:id="78870877">
              <w:marLeft w:val="0"/>
              <w:marRight w:val="0"/>
              <w:marTop w:val="0"/>
              <w:marBottom w:val="0"/>
              <w:divBdr>
                <w:top w:val="none" w:sz="0" w:space="0" w:color="auto"/>
                <w:left w:val="none" w:sz="0" w:space="0" w:color="auto"/>
                <w:bottom w:val="none" w:sz="0" w:space="0" w:color="auto"/>
                <w:right w:val="none" w:sz="0" w:space="0" w:color="auto"/>
              </w:divBdr>
            </w:div>
            <w:div w:id="510149896">
              <w:marLeft w:val="0"/>
              <w:marRight w:val="0"/>
              <w:marTop w:val="0"/>
              <w:marBottom w:val="0"/>
              <w:divBdr>
                <w:top w:val="none" w:sz="0" w:space="0" w:color="auto"/>
                <w:left w:val="none" w:sz="0" w:space="0" w:color="auto"/>
                <w:bottom w:val="none" w:sz="0" w:space="0" w:color="auto"/>
                <w:right w:val="none" w:sz="0" w:space="0" w:color="auto"/>
              </w:divBdr>
            </w:div>
            <w:div w:id="1364789676">
              <w:marLeft w:val="0"/>
              <w:marRight w:val="0"/>
              <w:marTop w:val="0"/>
              <w:marBottom w:val="0"/>
              <w:divBdr>
                <w:top w:val="none" w:sz="0" w:space="0" w:color="auto"/>
                <w:left w:val="none" w:sz="0" w:space="0" w:color="auto"/>
                <w:bottom w:val="none" w:sz="0" w:space="0" w:color="auto"/>
                <w:right w:val="none" w:sz="0" w:space="0" w:color="auto"/>
              </w:divBdr>
            </w:div>
          </w:divsChild>
        </w:div>
        <w:div w:id="46490480">
          <w:marLeft w:val="0"/>
          <w:marRight w:val="0"/>
          <w:marTop w:val="0"/>
          <w:marBottom w:val="0"/>
          <w:divBdr>
            <w:top w:val="none" w:sz="0" w:space="0" w:color="auto"/>
            <w:left w:val="none" w:sz="0" w:space="0" w:color="auto"/>
            <w:bottom w:val="none" w:sz="0" w:space="0" w:color="auto"/>
            <w:right w:val="none" w:sz="0" w:space="0" w:color="auto"/>
          </w:divBdr>
          <w:divsChild>
            <w:div w:id="1196385574">
              <w:marLeft w:val="0"/>
              <w:marRight w:val="0"/>
              <w:marTop w:val="0"/>
              <w:marBottom w:val="0"/>
              <w:divBdr>
                <w:top w:val="none" w:sz="0" w:space="0" w:color="auto"/>
                <w:left w:val="none" w:sz="0" w:space="0" w:color="auto"/>
                <w:bottom w:val="none" w:sz="0" w:space="0" w:color="auto"/>
                <w:right w:val="none" w:sz="0" w:space="0" w:color="auto"/>
              </w:divBdr>
            </w:div>
            <w:div w:id="115833011">
              <w:marLeft w:val="0"/>
              <w:marRight w:val="0"/>
              <w:marTop w:val="0"/>
              <w:marBottom w:val="0"/>
              <w:divBdr>
                <w:top w:val="none" w:sz="0" w:space="0" w:color="auto"/>
                <w:left w:val="none" w:sz="0" w:space="0" w:color="auto"/>
                <w:bottom w:val="none" w:sz="0" w:space="0" w:color="auto"/>
                <w:right w:val="none" w:sz="0" w:space="0" w:color="auto"/>
              </w:divBdr>
            </w:div>
            <w:div w:id="446239603">
              <w:marLeft w:val="0"/>
              <w:marRight w:val="0"/>
              <w:marTop w:val="0"/>
              <w:marBottom w:val="0"/>
              <w:divBdr>
                <w:top w:val="none" w:sz="0" w:space="0" w:color="auto"/>
                <w:left w:val="none" w:sz="0" w:space="0" w:color="auto"/>
                <w:bottom w:val="none" w:sz="0" w:space="0" w:color="auto"/>
                <w:right w:val="none" w:sz="0" w:space="0" w:color="auto"/>
              </w:divBdr>
            </w:div>
            <w:div w:id="855773040">
              <w:marLeft w:val="0"/>
              <w:marRight w:val="0"/>
              <w:marTop w:val="0"/>
              <w:marBottom w:val="0"/>
              <w:divBdr>
                <w:top w:val="none" w:sz="0" w:space="0" w:color="auto"/>
                <w:left w:val="none" w:sz="0" w:space="0" w:color="auto"/>
                <w:bottom w:val="none" w:sz="0" w:space="0" w:color="auto"/>
                <w:right w:val="none" w:sz="0" w:space="0" w:color="auto"/>
              </w:divBdr>
            </w:div>
            <w:div w:id="1310742441">
              <w:marLeft w:val="0"/>
              <w:marRight w:val="0"/>
              <w:marTop w:val="0"/>
              <w:marBottom w:val="0"/>
              <w:divBdr>
                <w:top w:val="none" w:sz="0" w:space="0" w:color="auto"/>
                <w:left w:val="none" w:sz="0" w:space="0" w:color="auto"/>
                <w:bottom w:val="none" w:sz="0" w:space="0" w:color="auto"/>
                <w:right w:val="none" w:sz="0" w:space="0" w:color="auto"/>
              </w:divBdr>
            </w:div>
            <w:div w:id="5403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9E731-163A-4369-A48D-45D395F4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2800</Words>
  <Characters>1597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Irmina Galdikienė</dc:creator>
  <cp:keywords/>
  <dc:description/>
  <cp:lastModifiedBy>Dainius Beliukevičius</cp:lastModifiedBy>
  <cp:revision>2</cp:revision>
  <dcterms:created xsi:type="dcterms:W3CDTF">2025-11-26T13:14:00Z</dcterms:created>
  <dcterms:modified xsi:type="dcterms:W3CDTF">2025-11-26T13:14:00Z</dcterms:modified>
</cp:coreProperties>
</file>