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5429" w14:textId="77777777" w:rsidR="00BB39E0" w:rsidRPr="00951926" w:rsidRDefault="00BB39E0" w:rsidP="00BB39E0">
      <w:pPr>
        <w:numPr>
          <w:ilvl w:val="0"/>
          <w:numId w:val="1"/>
        </w:numPr>
        <w:spacing w:before="120" w:after="120" w:line="259" w:lineRule="auto"/>
        <w:ind w:left="567" w:firstLine="0"/>
        <w:jc w:val="left"/>
        <w:rPr>
          <w:rFonts w:ascii="Arial" w:hAnsi="Arial" w:cs="Arial"/>
          <w:sz w:val="22"/>
          <w:szCs w:val="22"/>
        </w:rPr>
      </w:pPr>
      <w:r w:rsidRPr="00951926">
        <w:rPr>
          <w:rFonts w:ascii="Arial" w:hAnsi="Arial" w:cs="Arial"/>
          <w:b/>
          <w:sz w:val="22"/>
          <w:szCs w:val="22"/>
        </w:rPr>
        <w:t>REIKALAVIMAI STATYBINĖMS IR NEGRĄŽINOMOMS MEDŽIAGOMS BEI STATYBINĖMS ATLIEKOMS</w:t>
      </w:r>
    </w:p>
    <w:p w14:paraId="5163557A" w14:textId="77777777" w:rsidR="00BB39E0" w:rsidRPr="00951926" w:rsidRDefault="00BB39E0" w:rsidP="00BB39E0">
      <w:pPr>
        <w:numPr>
          <w:ilvl w:val="1"/>
          <w:numId w:val="1"/>
        </w:numPr>
        <w:spacing w:after="160" w:line="259" w:lineRule="auto"/>
        <w:ind w:left="567" w:firstLine="0"/>
        <w:contextualSpacing/>
        <w:rPr>
          <w:rFonts w:ascii="Arial" w:hAnsi="Arial" w:cs="Arial"/>
          <w:b/>
          <w:bCs/>
          <w:sz w:val="22"/>
          <w:szCs w:val="22"/>
        </w:rPr>
      </w:pPr>
      <w:r w:rsidRPr="00951926">
        <w:rPr>
          <w:rFonts w:ascii="Arial" w:hAnsi="Arial" w:cs="Arial"/>
          <w:b/>
          <w:bCs/>
          <w:sz w:val="22"/>
          <w:szCs w:val="22"/>
        </w:rPr>
        <w:t>Statybinės medžiagos</w:t>
      </w:r>
    </w:p>
    <w:p w14:paraId="6AD30615" w14:textId="77777777" w:rsidR="00BB39E0" w:rsidRPr="00951926" w:rsidRDefault="00BB39E0" w:rsidP="00BB39E0">
      <w:pPr>
        <w:ind w:left="567"/>
        <w:rPr>
          <w:rFonts w:ascii="Arial" w:hAnsi="Arial" w:cs="Arial"/>
          <w:sz w:val="22"/>
          <w:szCs w:val="22"/>
        </w:rPr>
      </w:pPr>
      <w:r w:rsidRPr="00951926">
        <w:rPr>
          <w:rFonts w:ascii="Arial" w:hAnsi="Arial" w:cs="Arial"/>
          <w:sz w:val="22"/>
          <w:szCs w:val="22"/>
        </w:rPr>
        <w:t xml:space="preserve">Projektavimo metu turi būti nurodoma, kad vykdant valstybinės reikšmės kelių rekonstravimo darbus: </w:t>
      </w:r>
    </w:p>
    <w:p w14:paraId="3C9D33FD" w14:textId="77777777" w:rsidR="00BB39E0" w:rsidRPr="00951926" w:rsidRDefault="00BB39E0" w:rsidP="00BB39E0">
      <w:pPr>
        <w:numPr>
          <w:ilvl w:val="0"/>
          <w:numId w:val="2"/>
        </w:numPr>
        <w:spacing w:after="160" w:line="259" w:lineRule="auto"/>
        <w:ind w:left="1276" w:hanging="425"/>
        <w:contextualSpacing/>
        <w:rPr>
          <w:rFonts w:ascii="Arial" w:hAnsi="Arial" w:cs="Arial"/>
          <w:sz w:val="22"/>
          <w:szCs w:val="22"/>
        </w:rPr>
      </w:pPr>
      <w:r w:rsidRPr="00951926">
        <w:rPr>
          <w:rFonts w:ascii="Arial" w:hAnsi="Arial" w:cs="Arial"/>
          <w:sz w:val="22"/>
          <w:szCs w:val="22"/>
        </w:rPr>
        <w:t>darbų metu nuardyti kelio elementai (toliau – medžiagos), įvertinus jų būklę, turi būti maksimaliai panaudojami pakartotinai tame pačiame projekte;</w:t>
      </w:r>
    </w:p>
    <w:p w14:paraId="75E03B29" w14:textId="32D184A6" w:rsidR="00BB39E0" w:rsidRPr="00951926" w:rsidRDefault="00BB39E0" w:rsidP="00BB39E0">
      <w:pPr>
        <w:numPr>
          <w:ilvl w:val="0"/>
          <w:numId w:val="2"/>
        </w:numPr>
        <w:spacing w:before="120" w:after="160" w:line="259" w:lineRule="auto"/>
        <w:ind w:left="1276" w:hanging="425"/>
        <w:contextualSpacing/>
        <w:rPr>
          <w:rFonts w:ascii="Arial" w:hAnsi="Arial" w:cs="Arial"/>
          <w:sz w:val="22"/>
          <w:szCs w:val="22"/>
        </w:rPr>
      </w:pPr>
      <w:r w:rsidRPr="00951926">
        <w:rPr>
          <w:rFonts w:ascii="Arial" w:hAnsi="Arial" w:cs="Arial"/>
          <w:sz w:val="22"/>
          <w:szCs w:val="22"/>
        </w:rPr>
        <w:t>susidarančios medžiagos, kurios nenaudojamos projekte ir nėra priskiriamos negr</w:t>
      </w:r>
      <w:r>
        <w:rPr>
          <w:rFonts w:ascii="Arial" w:hAnsi="Arial" w:cs="Arial"/>
          <w:sz w:val="22"/>
          <w:szCs w:val="22"/>
        </w:rPr>
        <w:t>ą</w:t>
      </w:r>
      <w:r w:rsidRPr="00951926">
        <w:rPr>
          <w:rFonts w:ascii="Arial" w:hAnsi="Arial" w:cs="Arial"/>
          <w:sz w:val="22"/>
          <w:szCs w:val="22"/>
        </w:rPr>
        <w:t>žinamoms medžiagoms transportuojamos į Užsakovo nurodytas sandėliavimo vietą (-</w:t>
      </w:r>
      <w:proofErr w:type="spellStart"/>
      <w:r w:rsidRPr="00951926">
        <w:rPr>
          <w:rFonts w:ascii="Arial" w:hAnsi="Arial" w:cs="Arial"/>
          <w:sz w:val="22"/>
          <w:szCs w:val="22"/>
        </w:rPr>
        <w:t>as</w:t>
      </w:r>
      <w:proofErr w:type="spellEnd"/>
      <w:r w:rsidRPr="00951926">
        <w:rPr>
          <w:rFonts w:ascii="Arial" w:hAnsi="Arial" w:cs="Arial"/>
          <w:sz w:val="22"/>
          <w:szCs w:val="22"/>
        </w:rPr>
        <w:t>), parenkant artimiausią atstumą:</w:t>
      </w:r>
    </w:p>
    <w:p w14:paraId="364A9453" w14:textId="77777777" w:rsidR="00BB39E0" w:rsidRPr="00951926" w:rsidRDefault="00BB39E0" w:rsidP="00BB39E0">
      <w:pPr>
        <w:numPr>
          <w:ilvl w:val="0"/>
          <w:numId w:val="3"/>
        </w:numPr>
        <w:spacing w:before="120" w:after="160" w:line="259" w:lineRule="auto"/>
        <w:ind w:left="1985" w:hanging="284"/>
        <w:contextualSpacing/>
        <w:rPr>
          <w:rFonts w:ascii="Arial" w:hAnsi="Arial" w:cs="Arial"/>
          <w:sz w:val="22"/>
          <w:szCs w:val="22"/>
        </w:rPr>
      </w:pPr>
      <w:r w:rsidRPr="00951926">
        <w:rPr>
          <w:rFonts w:ascii="Arial" w:hAnsi="Arial" w:cs="Arial"/>
          <w:sz w:val="22"/>
          <w:szCs w:val="22"/>
        </w:rPr>
        <w:t xml:space="preserve">AB „Kelių priežiūra“ Ukmergės kelių tarnybos Širvintų </w:t>
      </w:r>
      <w:proofErr w:type="spellStart"/>
      <w:r w:rsidRPr="00951926">
        <w:rPr>
          <w:rFonts w:ascii="Arial" w:hAnsi="Arial" w:cs="Arial"/>
          <w:sz w:val="22"/>
          <w:szCs w:val="22"/>
        </w:rPr>
        <w:t>meistrija</w:t>
      </w:r>
      <w:proofErr w:type="spellEnd"/>
      <w:r w:rsidRPr="00951926">
        <w:rPr>
          <w:rFonts w:ascii="Arial" w:hAnsi="Arial" w:cs="Arial"/>
          <w:sz w:val="22"/>
          <w:szCs w:val="22"/>
        </w:rPr>
        <w:t xml:space="preserve">, </w:t>
      </w:r>
      <w:proofErr w:type="spellStart"/>
      <w:r w:rsidRPr="00951926">
        <w:rPr>
          <w:rFonts w:ascii="Arial" w:hAnsi="Arial" w:cs="Arial"/>
          <w:sz w:val="22"/>
          <w:szCs w:val="22"/>
        </w:rPr>
        <w:t>Zibalų</w:t>
      </w:r>
      <w:proofErr w:type="spellEnd"/>
      <w:r w:rsidRPr="00951926">
        <w:rPr>
          <w:rFonts w:ascii="Arial" w:hAnsi="Arial" w:cs="Arial"/>
          <w:sz w:val="22"/>
          <w:szCs w:val="22"/>
        </w:rPr>
        <w:t xml:space="preserve"> g. 55, Širvintos;</w:t>
      </w:r>
    </w:p>
    <w:p w14:paraId="6628F484" w14:textId="77777777" w:rsidR="00BB39E0" w:rsidRPr="00951926" w:rsidRDefault="00BB39E0" w:rsidP="00BB39E0">
      <w:pPr>
        <w:numPr>
          <w:ilvl w:val="0"/>
          <w:numId w:val="3"/>
        </w:numPr>
        <w:spacing w:before="120" w:after="160" w:line="259" w:lineRule="auto"/>
        <w:ind w:left="1985" w:hanging="284"/>
        <w:contextualSpacing/>
        <w:rPr>
          <w:rFonts w:ascii="Arial" w:hAnsi="Arial" w:cs="Arial"/>
          <w:sz w:val="22"/>
          <w:szCs w:val="22"/>
        </w:rPr>
      </w:pPr>
      <w:r w:rsidRPr="00951926">
        <w:rPr>
          <w:rFonts w:ascii="Arial" w:hAnsi="Arial" w:cs="Arial"/>
          <w:sz w:val="22"/>
          <w:szCs w:val="22"/>
        </w:rPr>
        <w:t xml:space="preserve">AB „Kelių priežiūra“ Panevėžio kelių tarnybos Panevėžio </w:t>
      </w:r>
      <w:proofErr w:type="spellStart"/>
      <w:r w:rsidRPr="00951926">
        <w:rPr>
          <w:rFonts w:ascii="Arial" w:hAnsi="Arial" w:cs="Arial"/>
          <w:sz w:val="22"/>
          <w:szCs w:val="22"/>
        </w:rPr>
        <w:t>meistrijos</w:t>
      </w:r>
      <w:proofErr w:type="spellEnd"/>
      <w:r w:rsidRPr="00951926">
        <w:rPr>
          <w:rFonts w:ascii="Arial" w:hAnsi="Arial" w:cs="Arial"/>
          <w:sz w:val="22"/>
          <w:szCs w:val="22"/>
        </w:rPr>
        <w:t xml:space="preserve"> Karsakiškio gamybinė bazė, </w:t>
      </w:r>
      <w:proofErr w:type="spellStart"/>
      <w:r w:rsidRPr="00951926">
        <w:rPr>
          <w:rFonts w:ascii="Arial" w:hAnsi="Arial" w:cs="Arial"/>
          <w:sz w:val="22"/>
          <w:szCs w:val="22"/>
        </w:rPr>
        <w:t>Kakūnų</w:t>
      </w:r>
      <w:proofErr w:type="spellEnd"/>
      <w:r w:rsidRPr="00951926">
        <w:rPr>
          <w:rFonts w:ascii="Arial" w:hAnsi="Arial" w:cs="Arial"/>
          <w:sz w:val="22"/>
          <w:szCs w:val="22"/>
        </w:rPr>
        <w:t xml:space="preserve"> k., Karsakiškio sen., Panevėžio r.;</w:t>
      </w:r>
    </w:p>
    <w:p w14:paraId="4C3946EA" w14:textId="77777777" w:rsidR="00BB39E0" w:rsidRPr="00951926" w:rsidRDefault="00BB39E0" w:rsidP="00BB39E0">
      <w:pPr>
        <w:numPr>
          <w:ilvl w:val="0"/>
          <w:numId w:val="3"/>
        </w:numPr>
        <w:spacing w:before="120" w:after="160" w:line="259" w:lineRule="auto"/>
        <w:ind w:left="1985" w:hanging="284"/>
        <w:contextualSpacing/>
        <w:rPr>
          <w:rFonts w:ascii="Arial" w:hAnsi="Arial" w:cs="Arial"/>
          <w:sz w:val="22"/>
          <w:szCs w:val="22"/>
        </w:rPr>
      </w:pPr>
      <w:r w:rsidRPr="00951926">
        <w:rPr>
          <w:rFonts w:ascii="Arial" w:hAnsi="Arial" w:cs="Arial"/>
          <w:sz w:val="22"/>
          <w:szCs w:val="22"/>
        </w:rPr>
        <w:t xml:space="preserve">AB „Kelių priežiūra“ Kretingos kelių tarnybos Plungės </w:t>
      </w:r>
      <w:proofErr w:type="spellStart"/>
      <w:r w:rsidRPr="00951926">
        <w:rPr>
          <w:rFonts w:ascii="Arial" w:hAnsi="Arial" w:cs="Arial"/>
          <w:sz w:val="22"/>
          <w:szCs w:val="22"/>
        </w:rPr>
        <w:t>meistrija</w:t>
      </w:r>
      <w:proofErr w:type="spellEnd"/>
      <w:r w:rsidRPr="00951926">
        <w:rPr>
          <w:rFonts w:ascii="Arial" w:hAnsi="Arial" w:cs="Arial"/>
          <w:sz w:val="22"/>
          <w:szCs w:val="22"/>
        </w:rPr>
        <w:t>, Stoties g. 11a, Plungė;</w:t>
      </w:r>
    </w:p>
    <w:p w14:paraId="4C626C7A" w14:textId="77777777" w:rsidR="00BB39E0" w:rsidRPr="00951926" w:rsidRDefault="00BB39E0" w:rsidP="00BB39E0">
      <w:pPr>
        <w:numPr>
          <w:ilvl w:val="0"/>
          <w:numId w:val="3"/>
        </w:numPr>
        <w:spacing w:before="120" w:after="160" w:line="259" w:lineRule="auto"/>
        <w:ind w:left="1985" w:hanging="284"/>
        <w:contextualSpacing/>
        <w:rPr>
          <w:rFonts w:ascii="Arial" w:hAnsi="Arial" w:cs="Arial"/>
          <w:sz w:val="22"/>
          <w:szCs w:val="22"/>
        </w:rPr>
      </w:pPr>
      <w:r w:rsidRPr="00951926">
        <w:rPr>
          <w:rFonts w:ascii="Arial" w:hAnsi="Arial" w:cs="Arial"/>
          <w:sz w:val="22"/>
          <w:szCs w:val="22"/>
        </w:rPr>
        <w:t xml:space="preserve">AB „Kelių priežiūra“ Kėdainių kelių tarnybos Kėdainių </w:t>
      </w:r>
      <w:proofErr w:type="spellStart"/>
      <w:r w:rsidRPr="00951926">
        <w:rPr>
          <w:rFonts w:ascii="Arial" w:hAnsi="Arial" w:cs="Arial"/>
          <w:sz w:val="22"/>
          <w:szCs w:val="22"/>
        </w:rPr>
        <w:t>meistrija</w:t>
      </w:r>
      <w:proofErr w:type="spellEnd"/>
      <w:r w:rsidRPr="00951926">
        <w:rPr>
          <w:rFonts w:ascii="Arial" w:hAnsi="Arial" w:cs="Arial"/>
          <w:sz w:val="22"/>
          <w:szCs w:val="22"/>
        </w:rPr>
        <w:t>, Birutės g. 4, Kėdainiai;</w:t>
      </w:r>
    </w:p>
    <w:p w14:paraId="76E86C9E" w14:textId="77777777" w:rsidR="00BB39E0" w:rsidRPr="00951926" w:rsidRDefault="00BB39E0" w:rsidP="00BB39E0">
      <w:pPr>
        <w:numPr>
          <w:ilvl w:val="0"/>
          <w:numId w:val="3"/>
        </w:numPr>
        <w:spacing w:before="120" w:after="160" w:line="259" w:lineRule="auto"/>
        <w:ind w:left="1985" w:hanging="284"/>
        <w:contextualSpacing/>
        <w:rPr>
          <w:rFonts w:ascii="Arial" w:hAnsi="Arial" w:cs="Arial"/>
          <w:sz w:val="22"/>
          <w:szCs w:val="22"/>
        </w:rPr>
      </w:pPr>
      <w:r w:rsidRPr="00951926">
        <w:rPr>
          <w:rFonts w:ascii="Arial" w:hAnsi="Arial" w:cs="Arial"/>
          <w:sz w:val="22"/>
          <w:szCs w:val="22"/>
        </w:rPr>
        <w:t xml:space="preserve">AB „Kelių priežiūra“ Marijampolės kelių tarnybos Marijampolės </w:t>
      </w:r>
      <w:proofErr w:type="spellStart"/>
      <w:r w:rsidRPr="00951926">
        <w:rPr>
          <w:rFonts w:ascii="Arial" w:hAnsi="Arial" w:cs="Arial"/>
          <w:sz w:val="22"/>
          <w:szCs w:val="22"/>
        </w:rPr>
        <w:t>meistrija</w:t>
      </w:r>
      <w:proofErr w:type="spellEnd"/>
      <w:r w:rsidRPr="00951926">
        <w:rPr>
          <w:rFonts w:ascii="Arial" w:hAnsi="Arial" w:cs="Arial"/>
          <w:sz w:val="22"/>
          <w:szCs w:val="22"/>
        </w:rPr>
        <w:t>, Gamyklų g. 12, Marijampolė;</w:t>
      </w:r>
    </w:p>
    <w:p w14:paraId="4D9BE39B" w14:textId="77777777" w:rsidR="00BB39E0" w:rsidRPr="00951926" w:rsidRDefault="00BB39E0" w:rsidP="00BB39E0">
      <w:pPr>
        <w:numPr>
          <w:ilvl w:val="0"/>
          <w:numId w:val="3"/>
        </w:numPr>
        <w:spacing w:before="120" w:after="160" w:line="259" w:lineRule="auto"/>
        <w:ind w:left="1985" w:hanging="284"/>
        <w:contextualSpacing/>
        <w:jc w:val="left"/>
        <w:rPr>
          <w:rFonts w:ascii="Arial" w:hAnsi="Arial" w:cs="Arial"/>
          <w:sz w:val="22"/>
          <w:szCs w:val="22"/>
        </w:rPr>
      </w:pPr>
      <w:r w:rsidRPr="00951926">
        <w:rPr>
          <w:rFonts w:ascii="Arial" w:hAnsi="Arial" w:cs="Arial"/>
          <w:sz w:val="22"/>
          <w:szCs w:val="22"/>
        </w:rPr>
        <w:t xml:space="preserve">AB „Kelių priežiūra“ Trakų kelių tarnybos Vievio </w:t>
      </w:r>
      <w:proofErr w:type="spellStart"/>
      <w:r w:rsidRPr="00951926">
        <w:rPr>
          <w:rFonts w:ascii="Arial" w:hAnsi="Arial" w:cs="Arial"/>
          <w:sz w:val="22"/>
          <w:szCs w:val="22"/>
        </w:rPr>
        <w:t>meistrija</w:t>
      </w:r>
      <w:proofErr w:type="spellEnd"/>
      <w:r w:rsidRPr="00951926">
        <w:rPr>
          <w:rFonts w:ascii="Arial" w:hAnsi="Arial" w:cs="Arial"/>
          <w:sz w:val="22"/>
          <w:szCs w:val="22"/>
        </w:rPr>
        <w:t>, Statybininkų g. 16, Vievis.</w:t>
      </w:r>
    </w:p>
    <w:p w14:paraId="70779509" w14:textId="77777777" w:rsidR="00BB39E0" w:rsidRPr="00951926" w:rsidRDefault="00BB39E0" w:rsidP="00BB39E0">
      <w:pPr>
        <w:spacing w:before="120"/>
        <w:ind w:left="567"/>
        <w:rPr>
          <w:rFonts w:ascii="Arial" w:hAnsi="Arial" w:cs="Arial"/>
          <w:sz w:val="22"/>
          <w:szCs w:val="22"/>
        </w:rPr>
      </w:pPr>
      <w:r w:rsidRPr="00951926">
        <w:rPr>
          <w:rFonts w:ascii="Arial" w:hAnsi="Arial" w:cs="Arial"/>
          <w:sz w:val="22"/>
          <w:szCs w:val="22"/>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951926">
        <w:rPr>
          <w:rFonts w:ascii="Arial" w:hAnsi="Arial" w:cs="Arial"/>
          <w:sz w:val="22"/>
          <w:szCs w:val="22"/>
        </w:rPr>
        <w:t>spraustasienės</w:t>
      </w:r>
      <w:proofErr w:type="spellEnd"/>
      <w:r w:rsidRPr="00951926">
        <w:rPr>
          <w:rFonts w:ascii="Arial" w:hAnsi="Arial" w:cs="Arial"/>
          <w:sz w:val="22"/>
          <w:szCs w:val="22"/>
        </w:rPr>
        <w:t xml:space="preserve">, pralaidos ir kt. </w:t>
      </w:r>
    </w:p>
    <w:p w14:paraId="369D7168" w14:textId="77777777" w:rsidR="00BB39E0" w:rsidRPr="00951926" w:rsidRDefault="00BB39E0" w:rsidP="00BB39E0">
      <w:pPr>
        <w:ind w:left="567"/>
        <w:rPr>
          <w:rFonts w:ascii="Arial" w:hAnsi="Arial" w:cs="Arial"/>
          <w:sz w:val="22"/>
          <w:szCs w:val="22"/>
        </w:rPr>
      </w:pPr>
      <w:r w:rsidRPr="00951926">
        <w:rPr>
          <w:rFonts w:ascii="Arial" w:hAnsi="Arial" w:cs="Arial"/>
          <w:sz w:val="22"/>
          <w:szCs w:val="22"/>
        </w:rPr>
        <w:t>Kitos medžiagos, kurios gali būti panaudotos pakartotinai, gali būti gabenamos į sandėliavimo vietas tik suderinus su Užsakovu.</w:t>
      </w:r>
    </w:p>
    <w:p w14:paraId="5114756D" w14:textId="77777777" w:rsidR="00BB39E0" w:rsidRPr="00951926" w:rsidRDefault="00BB39E0" w:rsidP="00BB39E0">
      <w:pPr>
        <w:ind w:left="567"/>
        <w:rPr>
          <w:rFonts w:ascii="Arial" w:hAnsi="Arial" w:cs="Arial"/>
          <w:sz w:val="22"/>
          <w:szCs w:val="22"/>
        </w:rPr>
      </w:pPr>
      <w:r w:rsidRPr="00951926">
        <w:rPr>
          <w:rFonts w:ascii="Arial" w:hAnsi="Arial" w:cs="Arial"/>
          <w:sz w:val="22"/>
          <w:szCs w:val="22"/>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18E9BDDA" w14:textId="77777777" w:rsidR="00BB39E0" w:rsidRPr="00951926" w:rsidRDefault="00BB39E0" w:rsidP="00BB39E0">
      <w:pPr>
        <w:ind w:left="567"/>
        <w:rPr>
          <w:rFonts w:ascii="Arial" w:hAnsi="Arial" w:cs="Arial"/>
          <w:sz w:val="22"/>
          <w:szCs w:val="22"/>
        </w:rPr>
      </w:pPr>
      <w:r w:rsidRPr="00951926">
        <w:rPr>
          <w:rFonts w:ascii="Arial" w:hAnsi="Arial" w:cs="Arial"/>
          <w:sz w:val="22"/>
          <w:szCs w:val="22"/>
        </w:rPr>
        <w:t>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5A251335" w14:textId="77777777" w:rsidR="00BB39E0" w:rsidRPr="00951926" w:rsidRDefault="00BB39E0" w:rsidP="00BB39E0">
      <w:pPr>
        <w:numPr>
          <w:ilvl w:val="1"/>
          <w:numId w:val="1"/>
        </w:numPr>
        <w:suppressAutoHyphens/>
        <w:spacing w:line="259" w:lineRule="auto"/>
        <w:ind w:left="567" w:firstLine="0"/>
        <w:jc w:val="left"/>
        <w:rPr>
          <w:rFonts w:ascii="Arial" w:hAnsi="Arial" w:cs="Arial"/>
          <w:b/>
          <w:bCs/>
          <w:sz w:val="22"/>
          <w:szCs w:val="22"/>
        </w:rPr>
      </w:pPr>
      <w:bookmarkStart w:id="0" w:name="_Hlk191654065"/>
      <w:r w:rsidRPr="00951926">
        <w:rPr>
          <w:rFonts w:ascii="Arial" w:hAnsi="Arial" w:cs="Arial"/>
          <w:b/>
          <w:bCs/>
          <w:sz w:val="22"/>
          <w:szCs w:val="22"/>
        </w:rPr>
        <w:t>Negrąžinamos medžiagos</w:t>
      </w:r>
    </w:p>
    <w:bookmarkEnd w:id="0"/>
    <w:p w14:paraId="5B5ECF3D" w14:textId="77777777" w:rsidR="00BB39E0" w:rsidRPr="00951926" w:rsidRDefault="00BB39E0" w:rsidP="00BB39E0">
      <w:pPr>
        <w:ind w:left="567"/>
        <w:rPr>
          <w:rFonts w:ascii="Arial" w:hAnsi="Arial" w:cs="Arial"/>
          <w:sz w:val="22"/>
          <w:szCs w:val="22"/>
        </w:rPr>
      </w:pPr>
      <w:r w:rsidRPr="00951926">
        <w:rPr>
          <w:rFonts w:ascii="Arial" w:hAnsi="Arial" w:cs="Arial"/>
          <w:sz w:val="22"/>
          <w:szCs w:val="22"/>
        </w:rPr>
        <w:t>Projekte turi būti nurodyta, kad darbų vykdymo metu nepanaudotos frezuoto asfalto granulės, skalda, žvyras, žvyro ir skaldos mišinys, nesurištasis mineralinių medžiagų mišinys, grindinio akmenys (neužteršti gruntu), mediena yra laikomi negrąžinamomis medžiagomis. Jos sąmatoje turi būti nurodytos atskira (-</w:t>
      </w:r>
      <w:proofErr w:type="spellStart"/>
      <w:r w:rsidRPr="00951926">
        <w:rPr>
          <w:rFonts w:ascii="Arial" w:hAnsi="Arial" w:cs="Arial"/>
          <w:sz w:val="22"/>
          <w:szCs w:val="22"/>
        </w:rPr>
        <w:t>omis</w:t>
      </w:r>
      <w:proofErr w:type="spellEnd"/>
      <w:r w:rsidRPr="00951926">
        <w:rPr>
          <w:rFonts w:ascii="Arial" w:hAnsi="Arial" w:cs="Arial"/>
          <w:sz w:val="22"/>
          <w:szCs w:val="22"/>
        </w:rPr>
        <w:t xml:space="preserve">) eilute (- </w:t>
      </w:r>
      <w:proofErr w:type="spellStart"/>
      <w:r w:rsidRPr="00951926">
        <w:rPr>
          <w:rFonts w:ascii="Arial" w:hAnsi="Arial" w:cs="Arial"/>
          <w:sz w:val="22"/>
          <w:szCs w:val="22"/>
        </w:rPr>
        <w:t>ėmis</w:t>
      </w:r>
      <w:proofErr w:type="spellEnd"/>
      <w:r w:rsidRPr="00951926">
        <w:rPr>
          <w:rFonts w:ascii="Arial" w:hAnsi="Arial" w:cs="Arial"/>
          <w:sz w:val="22"/>
          <w:szCs w:val="22"/>
        </w:rPr>
        <w:t>) su minuso ženklu. Šios medžiagos lieka rangovui. Pateikiami jų įkainiai:</w:t>
      </w:r>
    </w:p>
    <w:p w14:paraId="5F414215" w14:textId="77777777" w:rsidR="00BB39E0" w:rsidRPr="00951926" w:rsidRDefault="00BB39E0" w:rsidP="00BB39E0">
      <w:pPr>
        <w:numPr>
          <w:ilvl w:val="0"/>
          <w:numId w:val="2"/>
        </w:numPr>
        <w:spacing w:after="160" w:line="259" w:lineRule="auto"/>
        <w:ind w:left="1276" w:hanging="425"/>
        <w:contextualSpacing/>
        <w:rPr>
          <w:rFonts w:ascii="Arial" w:hAnsi="Arial" w:cs="Arial"/>
          <w:sz w:val="22"/>
          <w:szCs w:val="22"/>
        </w:rPr>
      </w:pPr>
      <w:r w:rsidRPr="00951926">
        <w:rPr>
          <w:rFonts w:ascii="Arial" w:hAnsi="Arial" w:cs="Arial"/>
          <w:sz w:val="22"/>
          <w:szCs w:val="22"/>
        </w:rPr>
        <w:t>žvyro ir skaldos mišinys, nesurištasis mineralinių medžiagų mišinys – ≤ -4,00 Eur/t arba -6,00 Eur/m3 (santykis 1,5);</w:t>
      </w:r>
    </w:p>
    <w:p w14:paraId="6591012F" w14:textId="77777777" w:rsidR="00BB39E0" w:rsidRPr="00951926" w:rsidRDefault="00BB39E0" w:rsidP="00BB39E0">
      <w:pPr>
        <w:numPr>
          <w:ilvl w:val="0"/>
          <w:numId w:val="2"/>
        </w:numPr>
        <w:spacing w:after="160" w:line="259" w:lineRule="auto"/>
        <w:ind w:left="1276" w:hanging="425"/>
        <w:contextualSpacing/>
        <w:rPr>
          <w:rFonts w:ascii="Arial" w:hAnsi="Arial" w:cs="Arial"/>
          <w:sz w:val="22"/>
          <w:szCs w:val="22"/>
        </w:rPr>
      </w:pPr>
      <w:r w:rsidRPr="00951926">
        <w:rPr>
          <w:rFonts w:ascii="Arial" w:eastAsiaTheme="minorHAnsi" w:hAnsi="Arial" w:cs="Arial"/>
          <w:sz w:val="22"/>
          <w:szCs w:val="22"/>
        </w:rPr>
        <w:t>skalda ≤ -5,00 Eur/t arba -7,50 Eur/m</w:t>
      </w:r>
      <w:r w:rsidRPr="00951926">
        <w:rPr>
          <w:rFonts w:ascii="Arial" w:eastAsiaTheme="minorHAnsi" w:hAnsi="Arial" w:cs="Arial"/>
          <w:sz w:val="22"/>
          <w:szCs w:val="22"/>
          <w:vertAlign w:val="superscript"/>
        </w:rPr>
        <w:t>3</w:t>
      </w:r>
      <w:r w:rsidRPr="00951926">
        <w:rPr>
          <w:rFonts w:ascii="Arial" w:eastAsiaTheme="minorHAnsi" w:hAnsi="Arial" w:cs="Arial"/>
          <w:sz w:val="22"/>
          <w:szCs w:val="22"/>
        </w:rPr>
        <w:t xml:space="preserve"> (santykis 1,5);</w:t>
      </w:r>
    </w:p>
    <w:p w14:paraId="06E754F3" w14:textId="77777777" w:rsidR="00BB39E0" w:rsidRPr="00951926" w:rsidRDefault="00BB39E0" w:rsidP="00BB39E0">
      <w:pPr>
        <w:numPr>
          <w:ilvl w:val="0"/>
          <w:numId w:val="2"/>
        </w:numPr>
        <w:spacing w:after="160" w:line="259" w:lineRule="auto"/>
        <w:ind w:left="1276" w:hanging="425"/>
        <w:contextualSpacing/>
        <w:rPr>
          <w:rFonts w:ascii="Arial" w:hAnsi="Arial" w:cs="Arial"/>
          <w:sz w:val="22"/>
          <w:szCs w:val="22"/>
        </w:rPr>
      </w:pPr>
      <w:r w:rsidRPr="00951926">
        <w:rPr>
          <w:rFonts w:ascii="Arial" w:hAnsi="Arial" w:cs="Arial"/>
          <w:sz w:val="22"/>
          <w:szCs w:val="22"/>
        </w:rPr>
        <w:t>grindinio akmenys ≤ -15,00 Eur/t arba -40,50 Eur/m3 (santykis 2,7);</w:t>
      </w:r>
    </w:p>
    <w:p w14:paraId="73B29ED4" w14:textId="77777777" w:rsidR="00BB39E0" w:rsidRPr="00951926" w:rsidRDefault="00BB39E0" w:rsidP="00BB39E0">
      <w:pPr>
        <w:numPr>
          <w:ilvl w:val="0"/>
          <w:numId w:val="2"/>
        </w:numPr>
        <w:spacing w:after="160" w:line="259" w:lineRule="auto"/>
        <w:ind w:left="1276" w:hanging="425"/>
        <w:contextualSpacing/>
        <w:rPr>
          <w:rFonts w:ascii="Arial" w:hAnsi="Arial" w:cs="Arial"/>
          <w:sz w:val="22"/>
          <w:szCs w:val="22"/>
        </w:rPr>
      </w:pPr>
      <w:r w:rsidRPr="00951926">
        <w:rPr>
          <w:rFonts w:ascii="Arial" w:hAnsi="Arial" w:cs="Arial"/>
          <w:sz w:val="22"/>
          <w:szCs w:val="22"/>
        </w:rPr>
        <w:t>frezuoto asfalto granulės ≤ -7,00 Eur/t arba -11,20 Eur/m3 (santykis 1,6);</w:t>
      </w:r>
    </w:p>
    <w:p w14:paraId="26841FD5" w14:textId="77777777" w:rsidR="00BB39E0" w:rsidRPr="00951926" w:rsidRDefault="00BB39E0" w:rsidP="00BB39E0">
      <w:pPr>
        <w:numPr>
          <w:ilvl w:val="0"/>
          <w:numId w:val="2"/>
        </w:numPr>
        <w:spacing w:after="160" w:line="259" w:lineRule="auto"/>
        <w:ind w:left="1276" w:hanging="425"/>
        <w:contextualSpacing/>
        <w:rPr>
          <w:rFonts w:ascii="Arial" w:hAnsi="Arial" w:cs="Arial"/>
          <w:sz w:val="22"/>
          <w:szCs w:val="22"/>
        </w:rPr>
      </w:pPr>
      <w:r w:rsidRPr="00951926">
        <w:rPr>
          <w:rFonts w:ascii="Arial" w:hAnsi="Arial" w:cs="Arial"/>
          <w:sz w:val="22"/>
          <w:szCs w:val="22"/>
        </w:rPr>
        <w:t xml:space="preserve">mediena – įkainį pateikia Teikėjas, įvertinęs medienos būklę: ≥ 0,00 Eur/m3 – kai mediena menkavertė ir skirta utilizavimui, t. y., vertinama, kiek kainuos utilizavimo </w:t>
      </w:r>
      <w:r w:rsidRPr="00951926">
        <w:rPr>
          <w:rFonts w:ascii="Arial" w:hAnsi="Arial" w:cs="Arial"/>
          <w:sz w:val="22"/>
          <w:szCs w:val="22"/>
        </w:rPr>
        <w:lastRenderedPageBreak/>
        <w:t>išlaidos, &lt; 0,00 Eur/m3 – kai mediena nėra menkavertė ir gali būti parduota, t. y., nurodoma kaina su minuso ženklu.</w:t>
      </w:r>
    </w:p>
    <w:p w14:paraId="35C5E8C0" w14:textId="77777777" w:rsidR="00BB39E0" w:rsidRPr="00951926" w:rsidRDefault="00BB39E0" w:rsidP="00BB39E0">
      <w:pPr>
        <w:numPr>
          <w:ilvl w:val="1"/>
          <w:numId w:val="1"/>
        </w:numPr>
        <w:suppressAutoHyphens/>
        <w:spacing w:line="259" w:lineRule="auto"/>
        <w:ind w:left="567" w:firstLine="0"/>
        <w:jc w:val="left"/>
        <w:rPr>
          <w:rFonts w:ascii="Arial" w:hAnsi="Arial" w:cs="Arial"/>
          <w:b/>
          <w:bCs/>
          <w:sz w:val="22"/>
          <w:szCs w:val="22"/>
        </w:rPr>
      </w:pPr>
      <w:r w:rsidRPr="00951926">
        <w:rPr>
          <w:rFonts w:ascii="Arial" w:hAnsi="Arial" w:cs="Arial"/>
          <w:b/>
          <w:bCs/>
          <w:sz w:val="22"/>
          <w:szCs w:val="22"/>
        </w:rPr>
        <w:t>Statybinės atliekos</w:t>
      </w:r>
    </w:p>
    <w:p w14:paraId="047ED456" w14:textId="77777777" w:rsidR="00BB39E0" w:rsidRPr="00951926" w:rsidRDefault="00BB39E0" w:rsidP="00BB39E0">
      <w:pPr>
        <w:suppressAutoHyphens/>
        <w:spacing w:line="259" w:lineRule="auto"/>
        <w:ind w:left="567"/>
        <w:rPr>
          <w:rFonts w:ascii="Arial" w:hAnsi="Arial" w:cs="Arial"/>
          <w:sz w:val="22"/>
          <w:szCs w:val="22"/>
        </w:rPr>
      </w:pPr>
      <w:r w:rsidRPr="00951926">
        <w:rPr>
          <w:rFonts w:ascii="Arial" w:hAnsi="Arial" w:cs="Arial"/>
          <w:sz w:val="22"/>
          <w:szCs w:val="22"/>
        </w:rPr>
        <w:t>Visos medžiagos, nepatenkančios į statybinių ir (ar) negrąžinamų medžiagų sąrašą ir (ar) kurių neįmanoma panaudoti antrą kartą, kaip atliekos turi būti sutvarkomos rangovo pagal galiojančius aplinkos apsaugos reikalavimus (Teikėjas privalo įsivertinti visas su tvarkymu susijusias išlaidas).</w:t>
      </w:r>
    </w:p>
    <w:p w14:paraId="10A49EC4" w14:textId="220FB659" w:rsidR="00BB39E0" w:rsidRPr="00951926" w:rsidRDefault="00BB39E0" w:rsidP="00BB39E0">
      <w:pPr>
        <w:suppressAutoHyphens/>
        <w:spacing w:line="259" w:lineRule="auto"/>
        <w:ind w:left="567"/>
        <w:rPr>
          <w:rFonts w:ascii="Arial" w:hAnsi="Arial" w:cs="Arial"/>
          <w:sz w:val="22"/>
          <w:szCs w:val="22"/>
        </w:rPr>
      </w:pPr>
      <w:r w:rsidRPr="00951926">
        <w:rPr>
          <w:rFonts w:ascii="Arial" w:hAnsi="Arial" w:cs="Arial"/>
          <w:sz w:val="22"/>
          <w:szCs w:val="22"/>
        </w:rPr>
        <w:t>Ši informacija turi būti pateikta projektinėje dokumentacijoje, prie suvestinio darbų kiekių žiniaraščio.</w:t>
      </w:r>
    </w:p>
    <w:p w14:paraId="01303AEB" w14:textId="77777777" w:rsidR="00B95765" w:rsidRDefault="00B95765"/>
    <w:sectPr w:rsidR="00B957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558B01EB"/>
    <w:multiLevelType w:val="hybridMultilevel"/>
    <w:tmpl w:val="58A6434E"/>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318799028">
    <w:abstractNumId w:val="0"/>
  </w:num>
  <w:num w:numId="2" w16cid:durableId="408354946">
    <w:abstractNumId w:val="2"/>
  </w:num>
  <w:num w:numId="3" w16cid:durableId="110692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E0"/>
    <w:rsid w:val="00655897"/>
    <w:rsid w:val="00B95765"/>
    <w:rsid w:val="00BB39E0"/>
    <w:rsid w:val="00F904F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885B"/>
  <w15:chartTrackingRefBased/>
  <w15:docId w15:val="{8C478D49-8625-428A-B69F-244878CA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9E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B3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9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9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9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9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9E0"/>
    <w:rPr>
      <w:rFonts w:eastAsiaTheme="majorEastAsia" w:cstheme="majorBidi"/>
      <w:color w:val="272727" w:themeColor="text1" w:themeTint="D8"/>
    </w:rPr>
  </w:style>
  <w:style w:type="paragraph" w:styleId="Title">
    <w:name w:val="Title"/>
    <w:basedOn w:val="Normal"/>
    <w:next w:val="Normal"/>
    <w:link w:val="TitleChar"/>
    <w:uiPriority w:val="10"/>
    <w:qFormat/>
    <w:rsid w:val="00BB39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9E0"/>
    <w:pPr>
      <w:spacing w:before="160"/>
      <w:jc w:val="center"/>
    </w:pPr>
    <w:rPr>
      <w:i/>
      <w:iCs/>
      <w:color w:val="404040" w:themeColor="text1" w:themeTint="BF"/>
    </w:rPr>
  </w:style>
  <w:style w:type="character" w:customStyle="1" w:styleId="QuoteChar">
    <w:name w:val="Quote Char"/>
    <w:basedOn w:val="DefaultParagraphFont"/>
    <w:link w:val="Quote"/>
    <w:uiPriority w:val="29"/>
    <w:rsid w:val="00BB39E0"/>
    <w:rPr>
      <w:i/>
      <w:iCs/>
      <w:color w:val="404040" w:themeColor="text1" w:themeTint="BF"/>
    </w:rPr>
  </w:style>
  <w:style w:type="paragraph" w:styleId="ListParagraph">
    <w:name w:val="List Paragraph"/>
    <w:basedOn w:val="Normal"/>
    <w:uiPriority w:val="34"/>
    <w:qFormat/>
    <w:rsid w:val="00BB39E0"/>
    <w:pPr>
      <w:ind w:left="720"/>
      <w:contextualSpacing/>
    </w:pPr>
  </w:style>
  <w:style w:type="character" w:styleId="IntenseEmphasis">
    <w:name w:val="Intense Emphasis"/>
    <w:basedOn w:val="DefaultParagraphFont"/>
    <w:uiPriority w:val="21"/>
    <w:qFormat/>
    <w:rsid w:val="00BB39E0"/>
    <w:rPr>
      <w:i/>
      <w:iCs/>
      <w:color w:val="0F4761" w:themeColor="accent1" w:themeShade="BF"/>
    </w:rPr>
  </w:style>
  <w:style w:type="paragraph" w:styleId="IntenseQuote">
    <w:name w:val="Intense Quote"/>
    <w:basedOn w:val="Normal"/>
    <w:next w:val="Normal"/>
    <w:link w:val="IntenseQuoteChar"/>
    <w:uiPriority w:val="30"/>
    <w:qFormat/>
    <w:rsid w:val="00BB3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9E0"/>
    <w:rPr>
      <w:i/>
      <w:iCs/>
      <w:color w:val="0F4761" w:themeColor="accent1" w:themeShade="BF"/>
    </w:rPr>
  </w:style>
  <w:style w:type="character" w:styleId="IntenseReference">
    <w:name w:val="Intense Reference"/>
    <w:basedOn w:val="DefaultParagraphFont"/>
    <w:uiPriority w:val="32"/>
    <w:qFormat/>
    <w:rsid w:val="00BB39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2523</Words>
  <Characters>1439</Characters>
  <Application>Microsoft Office Word</Application>
  <DocSecurity>0</DocSecurity>
  <Lines>11</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Šarkaitė</dc:creator>
  <cp:keywords/>
  <dc:description/>
  <cp:lastModifiedBy>Jolanta Šarkaitė</cp:lastModifiedBy>
  <cp:revision>1</cp:revision>
  <dcterms:created xsi:type="dcterms:W3CDTF">2025-04-25T12:25:00Z</dcterms:created>
  <dcterms:modified xsi:type="dcterms:W3CDTF">2025-04-25T12:26:00Z</dcterms:modified>
</cp:coreProperties>
</file>