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416" w14:textId="317B9AB7" w:rsidR="00E0779F" w:rsidRPr="007A18D6" w:rsidRDefault="00FE540C" w:rsidP="00FE540C">
      <w:pPr>
        <w:spacing w:after="0" w:line="240" w:lineRule="auto"/>
        <w:ind w:left="5529"/>
        <w:jc w:val="right"/>
        <w:rPr>
          <w:rFonts w:ascii="Times New Roman" w:eastAsia="Times New Roman" w:hAnsi="Times New Roman" w:cs="Times New Roman"/>
          <w:bCs/>
          <w:kern w:val="0"/>
          <w:sz w:val="24"/>
          <w:szCs w:val="24"/>
          <w:lang w:eastAsia="lt-LT"/>
          <w14:ligatures w14:val="none"/>
        </w:rPr>
      </w:pPr>
      <w:r w:rsidRPr="007A18D6">
        <w:rPr>
          <w:rFonts w:ascii="Times New Roman" w:eastAsia="Calibri" w:hAnsi="Times New Roman" w:cs="Times New Roman"/>
          <w:bCs/>
          <w:kern w:val="0"/>
          <w:lang w:eastAsia="en-US"/>
          <w14:ligatures w14:val="none"/>
        </w:rPr>
        <w:t xml:space="preserve">Sutarties </w:t>
      </w:r>
      <w:r w:rsidR="001B3C1C">
        <w:rPr>
          <w:rFonts w:ascii="Times New Roman" w:eastAsia="Calibri" w:hAnsi="Times New Roman" w:cs="Times New Roman"/>
          <w:bCs/>
          <w:kern w:val="0"/>
          <w:lang w:eastAsia="en-US"/>
          <w14:ligatures w14:val="none"/>
        </w:rPr>
        <w:t xml:space="preserve">2 </w:t>
      </w:r>
      <w:r w:rsidRPr="007A18D6">
        <w:rPr>
          <w:rFonts w:ascii="Times New Roman" w:eastAsia="Calibri" w:hAnsi="Times New Roman" w:cs="Times New Roman"/>
          <w:bCs/>
          <w:kern w:val="0"/>
          <w:lang w:eastAsia="en-US"/>
          <w14:ligatures w14:val="none"/>
        </w:rPr>
        <w:t>priedas</w:t>
      </w:r>
    </w:p>
    <w:p w14:paraId="4AB9E897" w14:textId="77777777" w:rsidR="00FE540C" w:rsidRDefault="00FE540C" w:rsidP="00071304">
      <w:pPr>
        <w:spacing w:after="0" w:line="240" w:lineRule="auto"/>
        <w:jc w:val="center"/>
        <w:rPr>
          <w:rFonts w:ascii="Times New Roman" w:eastAsia="Times New Roman" w:hAnsi="Times New Roman" w:cs="Times New Roman"/>
          <w:bCs/>
          <w:kern w:val="0"/>
          <w:lang w:eastAsia="sv-SE"/>
          <w14:ligatures w14:val="none"/>
        </w:rPr>
      </w:pPr>
    </w:p>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609F128E"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SUSITARIMAS DĖL DUOMENŲ TVARKYMO</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2F79401F"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Šis Susitarimas reguliuoja duomenų patikėjimo tvarkymui santykius, kylančius iš</w:t>
      </w:r>
      <w:r w:rsidR="00AD51A7">
        <w:rPr>
          <w:rFonts w:ascii="Times New Roman" w:eastAsia="Calibri" w:hAnsi="Times New Roman" w:cs="Times New Roman"/>
          <w:kern w:val="0"/>
          <w:sz w:val="23"/>
          <w:szCs w:val="23"/>
          <w:lang w:eastAsia="en-US"/>
          <w14:ligatures w14:val="none"/>
        </w:rPr>
        <w:t xml:space="preserve"> </w:t>
      </w:r>
      <w:r w:rsidR="00D708DD" w:rsidRPr="00D708DD">
        <w:rPr>
          <w:rFonts w:ascii="Times New Roman" w:eastAsia="Calibri" w:hAnsi="Times New Roman" w:cs="Times New Roman"/>
          <w:b/>
          <w:bCs/>
          <w:kern w:val="0"/>
          <w:sz w:val="23"/>
          <w:szCs w:val="23"/>
          <w:lang w:eastAsia="en-US"/>
          <w14:ligatures w14:val="none"/>
        </w:rPr>
        <w:t>finansų valdymo ir apskaitos informacinės sistemos (</w:t>
      </w:r>
      <w:proofErr w:type="spellStart"/>
      <w:r w:rsidR="00D708DD" w:rsidRPr="00D708DD">
        <w:rPr>
          <w:rFonts w:ascii="Times New Roman" w:eastAsia="Calibri" w:hAnsi="Times New Roman" w:cs="Times New Roman"/>
          <w:b/>
          <w:bCs/>
          <w:kern w:val="0"/>
          <w:sz w:val="23"/>
          <w:szCs w:val="23"/>
          <w:lang w:eastAsia="en-US"/>
          <w14:ligatures w14:val="none"/>
        </w:rPr>
        <w:t>FVAIS</w:t>
      </w:r>
      <w:proofErr w:type="spellEnd"/>
      <w:r w:rsidR="00D708DD" w:rsidRPr="00D708DD">
        <w:rPr>
          <w:rFonts w:ascii="Times New Roman" w:eastAsia="Calibri" w:hAnsi="Times New Roman" w:cs="Times New Roman"/>
          <w:b/>
          <w:bCs/>
          <w:kern w:val="0"/>
          <w:sz w:val="23"/>
          <w:szCs w:val="23"/>
          <w:lang w:eastAsia="en-US"/>
          <w14:ligatures w14:val="none"/>
        </w:rPr>
        <w:t xml:space="preserve">) priežiūros ir plėtros </w:t>
      </w:r>
      <w:r w:rsidR="00FE3663" w:rsidRPr="00FE3663">
        <w:rPr>
          <w:rFonts w:ascii="Times New Roman" w:eastAsia="Calibri" w:hAnsi="Times New Roman" w:cs="Times New Roman"/>
          <w:b/>
          <w:bCs/>
          <w:kern w:val="0"/>
          <w:sz w:val="23"/>
          <w:szCs w:val="23"/>
          <w:lang w:eastAsia="en-US"/>
          <w14:ligatures w14:val="none"/>
        </w:rPr>
        <w:t>paslaugų pirkimo</w:t>
      </w:r>
      <w:r w:rsidR="00464DA2">
        <w:rPr>
          <w:rFonts w:ascii="Times New Roman" w:eastAsia="Calibri" w:hAnsi="Times New Roman" w:cs="Times New Roman"/>
          <w:b/>
          <w:bCs/>
          <w:kern w:val="0"/>
          <w:sz w:val="23"/>
          <w:szCs w:val="23"/>
          <w:lang w:eastAsia="en-US"/>
          <w14:ligatures w14:val="none"/>
        </w:rPr>
        <w:t>–</w:t>
      </w:r>
      <w:r w:rsidR="00FE3663" w:rsidRPr="00FE3663">
        <w:rPr>
          <w:rFonts w:ascii="Times New Roman" w:eastAsia="Calibri" w:hAnsi="Times New Roman" w:cs="Times New Roman"/>
          <w:b/>
          <w:bCs/>
          <w:kern w:val="0"/>
          <w:sz w:val="23"/>
          <w:szCs w:val="23"/>
          <w:lang w:eastAsia="en-US"/>
          <w14:ligatures w14:val="none"/>
        </w:rPr>
        <w:t xml:space="preserve">pardavimo </w:t>
      </w:r>
      <w:r w:rsidRPr="00131418">
        <w:rPr>
          <w:rFonts w:ascii="Times New Roman" w:eastAsia="Times New Roman" w:hAnsi="Times New Roman" w:cs="Times New Roman"/>
          <w:b/>
          <w:bCs/>
          <w:kern w:val="0"/>
          <w:sz w:val="23"/>
          <w:szCs w:val="23"/>
          <w:lang w:eastAsia="lt-LT"/>
          <w14:ligatures w14:val="none"/>
        </w:rPr>
        <w:t>sutarties</w:t>
      </w:r>
      <w:r w:rsidRPr="00071304">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00B754B3">
        <w:rPr>
          <w:rFonts w:ascii="Times New Roman" w:eastAsia="Times New Roman" w:hAnsi="Times New Roman" w:cs="Times New Roman"/>
          <w:i/>
          <w:iCs/>
          <w:kern w:val="0"/>
          <w:sz w:val="23"/>
          <w:szCs w:val="23"/>
          <w:lang w:eastAsia="sv-SE"/>
          <w14:ligatures w14:val="none"/>
        </w:rPr>
        <w:t>Pirkėjo</w:t>
      </w:r>
      <w:r w:rsidRPr="00071304">
        <w:rPr>
          <w:rFonts w:ascii="Times New Roman" w:eastAsia="Times New Roman" w:hAnsi="Times New Roman" w:cs="Times New Roman"/>
          <w:i/>
          <w:iCs/>
          <w:kern w:val="0"/>
          <w:sz w:val="23"/>
          <w:szCs w:val="23"/>
          <w:lang w:eastAsia="sv-SE"/>
          <w14:ligatures w14:val="none"/>
        </w:rPr>
        <w:t xml:space="preserve"> ir </w:t>
      </w:r>
      <w:r w:rsidR="00B754B3">
        <w:rPr>
          <w:rFonts w:ascii="Times New Roman" w:eastAsia="Times New Roman" w:hAnsi="Times New Roman" w:cs="Times New Roman"/>
          <w:i/>
          <w:iCs/>
          <w:kern w:val="0"/>
          <w:sz w:val="23"/>
          <w:szCs w:val="23"/>
          <w:lang w:eastAsia="sv-SE"/>
          <w14:ligatures w14:val="none"/>
        </w:rPr>
        <w:t>T</w:t>
      </w:r>
      <w:r w:rsidRPr="00071304">
        <w:rPr>
          <w:rFonts w:ascii="Times New Roman" w:eastAsia="Times New Roman" w:hAnsi="Times New Roman" w:cs="Times New Roman"/>
          <w:i/>
          <w:iCs/>
          <w:kern w:val="0"/>
          <w:sz w:val="23"/>
          <w:szCs w:val="23"/>
          <w:lang w:eastAsia="sv-SE"/>
          <w14:ligatures w14:val="none"/>
        </w:rPr>
        <w:t>i</w:t>
      </w:r>
      <w:r w:rsidR="00B754B3">
        <w:rPr>
          <w:rFonts w:ascii="Times New Roman" w:eastAsia="Times New Roman" w:hAnsi="Times New Roman" w:cs="Times New Roman"/>
          <w:i/>
          <w:iCs/>
          <w:kern w:val="0"/>
          <w:sz w:val="23"/>
          <w:szCs w:val="23"/>
          <w:lang w:eastAsia="sv-SE"/>
          <w14:ligatures w14:val="none"/>
        </w:rPr>
        <w:t>e</w:t>
      </w:r>
      <w:r w:rsidRPr="00071304">
        <w:rPr>
          <w:rFonts w:ascii="Times New Roman" w:eastAsia="Times New Roman" w:hAnsi="Times New Roman" w:cs="Times New Roman"/>
          <w:i/>
          <w:iCs/>
          <w:kern w:val="0"/>
          <w:sz w:val="23"/>
          <w:szCs w:val="23"/>
          <w:lang w:eastAsia="sv-SE"/>
          <w14:ligatures w14:val="none"/>
        </w:rPr>
        <w:t>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13FD0E59"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00B754B3">
        <w:rPr>
          <w:rFonts w:ascii="Times New Roman" w:eastAsia="Times New Roman" w:hAnsi="Times New Roman" w:cs="Times New Roman"/>
          <w:b/>
          <w:kern w:val="0"/>
          <w:sz w:val="23"/>
          <w:szCs w:val="23"/>
          <w:lang w:eastAsia="sv-SE"/>
          <w14:ligatures w14:val="none"/>
        </w:rPr>
        <w:t>Pirkėjas</w:t>
      </w:r>
      <w:r w:rsidRPr="00071304">
        <w:rPr>
          <w:rFonts w:ascii="Times New Roman" w:eastAsia="Times New Roman" w:hAnsi="Times New Roman" w:cs="Times New Roman"/>
          <w:b/>
          <w:kern w:val="0"/>
          <w:sz w:val="23"/>
          <w:szCs w:val="23"/>
          <w:lang w:eastAsia="sv-SE"/>
          <w14:ligatures w14:val="none"/>
        </w:rPr>
        <w:t xml:space="preserve"> yra duomenų valdytojas</w:t>
      </w:r>
      <w:r w:rsidRPr="00071304">
        <w:rPr>
          <w:rFonts w:ascii="Times New Roman" w:eastAsia="Times New Roman" w:hAnsi="Times New Roman" w:cs="Times New Roman"/>
          <w:kern w:val="0"/>
          <w:sz w:val="23"/>
          <w:szCs w:val="23"/>
          <w:lang w:eastAsia="sv-SE"/>
          <w14:ligatures w14:val="none"/>
        </w:rPr>
        <w:t xml:space="preserve">, o </w:t>
      </w:r>
      <w:r w:rsidR="00B754B3">
        <w:rPr>
          <w:rFonts w:ascii="Times New Roman" w:eastAsia="Times New Roman" w:hAnsi="Times New Roman" w:cs="Times New Roman"/>
          <w:b/>
          <w:kern w:val="0"/>
          <w:sz w:val="23"/>
          <w:szCs w:val="23"/>
          <w:lang w:eastAsia="sv-SE"/>
          <w14:ligatures w14:val="none"/>
        </w:rPr>
        <w:t>Tiekėjas</w:t>
      </w:r>
      <w:r w:rsidRPr="00071304">
        <w:rPr>
          <w:rFonts w:ascii="Times New Roman" w:eastAsia="Times New Roman" w:hAnsi="Times New Roman" w:cs="Times New Roman"/>
          <w:b/>
          <w:kern w:val="0"/>
          <w:sz w:val="23"/>
          <w:szCs w:val="23"/>
          <w:lang w:eastAsia="sv-SE"/>
          <w14:ligatures w14:val="none"/>
        </w:rPr>
        <w:t xml:space="preserve">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w:t>
      </w:r>
      <w:proofErr w:type="spellStart"/>
      <w:r w:rsidRPr="00071304">
        <w:rPr>
          <w:rFonts w:ascii="Times New Roman" w:eastAsiaTheme="minorHAnsi" w:hAnsi="Times New Roman" w:cs="Times New Roman"/>
          <w:kern w:val="0"/>
          <w:sz w:val="23"/>
          <w:szCs w:val="23"/>
          <w:shd w:val="clear" w:color="auto" w:fill="FFFFFF"/>
          <w:lang w:eastAsia="en-US"/>
          <w14:ligatures w14:val="none"/>
        </w:rPr>
        <w:t>BDAR</w:t>
      </w:r>
      <w:proofErr w:type="spellEnd"/>
      <w:r w:rsidRPr="00071304">
        <w:rPr>
          <w:rFonts w:ascii="Times New Roman" w:eastAsiaTheme="minorHAnsi" w:hAnsi="Times New Roman" w:cs="Times New Roman"/>
          <w:kern w:val="0"/>
          <w:sz w:val="23"/>
          <w:szCs w:val="23"/>
          <w:shd w:val="clear" w:color="auto" w:fill="FFFFFF"/>
          <w:lang w:eastAsia="en-US"/>
          <w14:ligatures w14:val="none"/>
        </w:rPr>
        <w:t xml:space="preserve">),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4B83B143" w:rsidR="00071304" w:rsidRPr="00131418" w:rsidRDefault="00071304" w:rsidP="00071304">
      <w:pPr>
        <w:spacing w:after="0" w:line="240" w:lineRule="auto"/>
        <w:ind w:firstLine="567"/>
        <w:jc w:val="both"/>
        <w:rPr>
          <w:rFonts w:ascii="Times New Roman" w:eastAsia="Times New Roman" w:hAnsi="Times New Roman" w:cs="Times New Roman"/>
          <w:b/>
          <w:bCs/>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w:t>
      </w:r>
      <w:r w:rsidR="00B754B3">
        <w:rPr>
          <w:rFonts w:ascii="Times New Roman" w:eastAsia="Times New Roman" w:hAnsi="Times New Roman" w:cs="Times New Roman"/>
          <w:kern w:val="0"/>
          <w:sz w:val="23"/>
          <w:szCs w:val="23"/>
          <w:lang w:eastAsia="sv-SE"/>
          <w14:ligatures w14:val="none"/>
        </w:rPr>
        <w:t>Tiekėjo</w:t>
      </w:r>
      <w:r w:rsidRPr="00071304">
        <w:rPr>
          <w:rFonts w:ascii="Times New Roman" w:eastAsia="Times New Roman" w:hAnsi="Times New Roman" w:cs="Times New Roman"/>
          <w:kern w:val="0"/>
          <w:sz w:val="23"/>
          <w:szCs w:val="23"/>
          <w:lang w:eastAsia="sv-SE"/>
          <w14:ligatures w14:val="none"/>
        </w:rPr>
        <w:t xml:space="preserve"> </w:t>
      </w:r>
      <w:r w:rsidR="00B754B3">
        <w:rPr>
          <w:rFonts w:ascii="Times New Roman" w:eastAsia="Times New Roman" w:hAnsi="Times New Roman" w:cs="Times New Roman"/>
          <w:kern w:val="0"/>
          <w:sz w:val="23"/>
          <w:szCs w:val="23"/>
          <w:lang w:eastAsia="sv-SE"/>
          <w14:ligatures w14:val="none"/>
        </w:rPr>
        <w:t>Pirkėjui</w:t>
      </w:r>
      <w:r w:rsidRPr="00071304">
        <w:rPr>
          <w:rFonts w:ascii="Times New Roman" w:eastAsia="Times New Roman" w:hAnsi="Times New Roman" w:cs="Times New Roman"/>
          <w:kern w:val="0"/>
          <w:sz w:val="23"/>
          <w:szCs w:val="23"/>
          <w:lang w:eastAsia="sv-SE"/>
          <w14:ligatures w14:val="none"/>
        </w:rPr>
        <w:t xml:space="preserve"> pagal Sutartį teikiamos </w:t>
      </w:r>
      <w:r w:rsidR="00D708DD" w:rsidRPr="00D708DD">
        <w:rPr>
          <w:rFonts w:ascii="Times New Roman" w:eastAsia="Times New Roman" w:hAnsi="Times New Roman" w:cs="Times New Roman"/>
          <w:b/>
          <w:bCs/>
          <w:kern w:val="0"/>
          <w:sz w:val="23"/>
          <w:szCs w:val="23"/>
          <w:lang w:eastAsia="sv-SE"/>
          <w14:ligatures w14:val="none"/>
        </w:rPr>
        <w:t>finansų valdymo ir apskaitos informacinės sistemos (</w:t>
      </w:r>
      <w:proofErr w:type="spellStart"/>
      <w:r w:rsidR="00D708DD" w:rsidRPr="00D708DD">
        <w:rPr>
          <w:rFonts w:ascii="Times New Roman" w:eastAsia="Times New Roman" w:hAnsi="Times New Roman" w:cs="Times New Roman"/>
          <w:b/>
          <w:bCs/>
          <w:kern w:val="0"/>
          <w:sz w:val="23"/>
          <w:szCs w:val="23"/>
          <w:lang w:eastAsia="sv-SE"/>
          <w14:ligatures w14:val="none"/>
        </w:rPr>
        <w:t>FVAIS</w:t>
      </w:r>
      <w:proofErr w:type="spellEnd"/>
      <w:r w:rsidR="00D708DD" w:rsidRPr="00D708DD">
        <w:rPr>
          <w:rFonts w:ascii="Times New Roman" w:eastAsia="Times New Roman" w:hAnsi="Times New Roman" w:cs="Times New Roman"/>
          <w:b/>
          <w:bCs/>
          <w:kern w:val="0"/>
          <w:sz w:val="23"/>
          <w:szCs w:val="23"/>
          <w:lang w:eastAsia="sv-SE"/>
          <w14:ligatures w14:val="none"/>
        </w:rPr>
        <w:t xml:space="preserve">) priežiūros ir plėtros </w:t>
      </w:r>
      <w:r w:rsidR="00A71CF8" w:rsidRPr="00A71CF8">
        <w:rPr>
          <w:rFonts w:ascii="Times New Roman" w:eastAsia="Times New Roman" w:hAnsi="Times New Roman" w:cs="Times New Roman"/>
          <w:b/>
          <w:bCs/>
          <w:kern w:val="0"/>
          <w:sz w:val="23"/>
          <w:szCs w:val="23"/>
          <w:lang w:eastAsia="sv-SE"/>
          <w14:ligatures w14:val="none"/>
        </w:rPr>
        <w:t>paslaugos</w:t>
      </w:r>
      <w:r w:rsidR="00131418">
        <w:rPr>
          <w:rFonts w:ascii="Times New Roman" w:eastAsia="Times New Roman" w:hAnsi="Times New Roman" w:cs="Times New Roman"/>
          <w:b/>
          <w:bCs/>
          <w:kern w:val="0"/>
          <w:sz w:val="23"/>
          <w:szCs w:val="23"/>
          <w:lang w:eastAsia="sv-SE"/>
          <w14:ligatures w14:val="none"/>
        </w:rPr>
        <w:t xml:space="preserve">. </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16343B13"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w:t>
      </w:r>
      <w:r w:rsidR="00B754B3">
        <w:rPr>
          <w:rFonts w:ascii="Times New Roman" w:eastAsia="Calibri" w:hAnsi="Times New Roman" w:cs="Times New Roman"/>
          <w:color w:val="000000"/>
          <w:kern w:val="0"/>
          <w:sz w:val="23"/>
          <w:szCs w:val="23"/>
          <w:lang w:eastAsia="en-US"/>
          <w14:ligatures w14:val="none"/>
        </w:rPr>
        <w:t>Tiekėjui</w:t>
      </w:r>
      <w:r w:rsidRPr="00071304">
        <w:rPr>
          <w:rFonts w:ascii="Times New Roman" w:eastAsia="Calibri" w:hAnsi="Times New Roman" w:cs="Times New Roman"/>
          <w:color w:val="000000"/>
          <w:kern w:val="0"/>
          <w:sz w:val="23"/>
          <w:szCs w:val="23"/>
          <w:lang w:eastAsia="en-US"/>
          <w14:ligatures w14:val="none"/>
        </w:rPr>
        <w:t xml:space="preserve"> bus patikėti tvarkymui tik Sutarties vykdymo pagrindu. </w:t>
      </w:r>
    </w:p>
    <w:p w14:paraId="4B562642" w14:textId="40BEB98F" w:rsidR="00071304" w:rsidRPr="00071304" w:rsidRDefault="00B754B3"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iš </w:t>
      </w:r>
      <w:r>
        <w:rPr>
          <w:rFonts w:ascii="Times New Roman" w:eastAsia="Calibri" w:hAnsi="Times New Roman" w:cs="Times New Roman"/>
          <w:color w:val="000000"/>
          <w:kern w:val="0"/>
          <w:sz w:val="23"/>
          <w:szCs w:val="23"/>
          <w:lang w:eastAsia="en-US"/>
          <w14:ligatures w14:val="none"/>
        </w:rPr>
        <w:t>Pirkėjo</w:t>
      </w:r>
      <w:r w:rsidR="00071304" w:rsidRPr="00071304">
        <w:rPr>
          <w:rFonts w:ascii="Times New Roman" w:eastAsia="Calibri" w:hAnsi="Times New Roman" w:cs="Times New Roman"/>
          <w:color w:val="000000"/>
          <w:kern w:val="0"/>
          <w:sz w:val="23"/>
          <w:szCs w:val="23"/>
          <w:lang w:eastAsia="en-US"/>
          <w14:ligatures w14:val="none"/>
        </w:rPr>
        <w:t xml:space="preserve">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386BE3D5" w:rsidR="00071304" w:rsidRPr="00071304" w:rsidRDefault="00B754B3"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spacing w:val="-1"/>
          <w:kern w:val="0"/>
          <w:sz w:val="23"/>
          <w:szCs w:val="23"/>
          <w:lang w:eastAsia="en-US"/>
          <w14:ligatures w14:val="none"/>
        </w:rPr>
        <w:t xml:space="preserve">, </w:t>
      </w:r>
      <w:r>
        <w:rPr>
          <w:rFonts w:ascii="Times New Roman" w:eastAsia="Calibri" w:hAnsi="Times New Roman" w:cs="Times New Roman"/>
          <w:color w:val="000000"/>
          <w:kern w:val="0"/>
          <w:sz w:val="23"/>
          <w:szCs w:val="23"/>
          <w:lang w:eastAsia="en-US"/>
          <w14:ligatures w14:val="none"/>
        </w:rPr>
        <w:t>Tiekėjui</w:t>
      </w:r>
      <w:r w:rsidR="00071304"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1E102E22" w:rsidR="00071304" w:rsidRPr="00071304" w:rsidRDefault="00B754B3"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spacing w:val="2"/>
          <w:kern w:val="0"/>
          <w:sz w:val="23"/>
          <w:szCs w:val="23"/>
          <w:lang w:eastAsia="en-US"/>
          <w14:ligatures w14:val="none"/>
        </w:rPr>
        <w:t xml:space="preserve">, tvarkydamas Duomenis, </w:t>
      </w:r>
      <w:r w:rsidR="00071304" w:rsidRPr="00071304">
        <w:rPr>
          <w:rFonts w:ascii="Times New Roman" w:eastAsia="Calibri" w:hAnsi="Times New Roman" w:cs="Times New Roman"/>
          <w:color w:val="000000"/>
          <w:spacing w:val="-2"/>
          <w:kern w:val="0"/>
          <w:sz w:val="23"/>
          <w:szCs w:val="23"/>
          <w:lang w:eastAsia="en-US"/>
          <w14:ligatures w14:val="none"/>
        </w:rPr>
        <w:t>sutinka ir įsipareigoja</w:t>
      </w:r>
      <w:r w:rsidR="00071304"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1B6965"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00B754B3">
        <w:rPr>
          <w:rFonts w:ascii="Times New Roman" w:eastAsia="Calibri" w:hAnsi="Times New Roman" w:cs="Times New Roman"/>
          <w:color w:val="000000"/>
          <w:spacing w:val="2"/>
          <w:kern w:val="0"/>
          <w:sz w:val="23"/>
          <w:szCs w:val="23"/>
          <w:lang w:eastAsia="en-US"/>
          <w14:ligatures w14:val="none"/>
        </w:rPr>
        <w:t>Tiekėjo</w:t>
      </w:r>
      <w:r w:rsidRPr="00071304">
        <w:rPr>
          <w:rFonts w:ascii="Times New Roman" w:eastAsia="Calibri" w:hAnsi="Times New Roman" w:cs="Times New Roman"/>
          <w:color w:val="000000"/>
          <w:spacing w:val="2"/>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00B754B3">
        <w:rPr>
          <w:rFonts w:ascii="Times New Roman" w:eastAsia="Calibri" w:hAnsi="Times New Roman" w:cs="Times New Roman"/>
          <w:color w:val="000000"/>
          <w:spacing w:val="2"/>
          <w:kern w:val="0"/>
          <w:sz w:val="23"/>
          <w:szCs w:val="23"/>
          <w:lang w:eastAsia="en-US"/>
          <w14:ligatures w14:val="none"/>
        </w:rPr>
        <w:t>Tiekėjas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w:t>
      </w:r>
      <w:proofErr w:type="spellStart"/>
      <w:r w:rsidRPr="00071304">
        <w:rPr>
          <w:rFonts w:ascii="Times New Roman" w:eastAsia="Calibri" w:hAnsi="Times New Roman" w:cs="Times New Roman"/>
          <w:color w:val="000000"/>
          <w:spacing w:val="2"/>
          <w:kern w:val="0"/>
          <w:sz w:val="23"/>
          <w:szCs w:val="23"/>
          <w:lang w:eastAsia="en-US"/>
          <w14:ligatures w14:val="none"/>
        </w:rPr>
        <w:t>BDAR</w:t>
      </w:r>
      <w:proofErr w:type="spellEnd"/>
      <w:r w:rsidRPr="00071304">
        <w:rPr>
          <w:rFonts w:ascii="Times New Roman" w:eastAsia="Calibri" w:hAnsi="Times New Roman" w:cs="Times New Roman"/>
          <w:color w:val="000000"/>
          <w:spacing w:val="2"/>
          <w:kern w:val="0"/>
          <w:sz w:val="23"/>
          <w:szCs w:val="23"/>
          <w:lang w:eastAsia="en-US"/>
          <w14:ligatures w14:val="none"/>
        </w:rPr>
        <w:t xml:space="preserve">,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408AF9EB" w:rsidR="00071304" w:rsidRPr="00071304" w:rsidRDefault="00B754B3"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visa apimtimi išlieka patikėtų Duomenų valdytojas. </w:t>
      </w: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yra atsakingas už prieigos prie patikėtų tvarkyti Duomenų </w:t>
      </w:r>
      <w:r>
        <w:rPr>
          <w:rFonts w:ascii="Times New Roman" w:eastAsia="Calibri" w:hAnsi="Times New Roman" w:cs="Times New Roman"/>
          <w:color w:val="000000"/>
          <w:spacing w:val="2"/>
          <w:kern w:val="0"/>
          <w:sz w:val="23"/>
          <w:szCs w:val="23"/>
          <w:lang w:eastAsia="en-US"/>
          <w14:ligatures w14:val="none"/>
        </w:rPr>
        <w:t>Tiekėjui</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būdo pasirinkimą. </w:t>
      </w: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prieigos prie esančių Duomenų </w:t>
      </w:r>
      <w:r>
        <w:rPr>
          <w:rFonts w:ascii="Times New Roman" w:eastAsia="Calibri" w:hAnsi="Times New Roman" w:cs="Times New Roman"/>
          <w:color w:val="000000"/>
          <w:spacing w:val="2"/>
          <w:kern w:val="0"/>
          <w:sz w:val="23"/>
          <w:szCs w:val="23"/>
          <w:lang w:eastAsia="en-US"/>
          <w14:ligatures w14:val="none"/>
        </w:rPr>
        <w:t>Tiekėjui</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būdo pasirinkimo.</w:t>
      </w:r>
    </w:p>
    <w:p w14:paraId="105C2023" w14:textId="6342CAAC" w:rsidR="00071304" w:rsidRPr="00071304" w:rsidRDefault="00B754B3"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Duomenis tvarko tik </w:t>
      </w:r>
      <w:r>
        <w:rPr>
          <w:rFonts w:ascii="Times New Roman" w:eastAsia="Calibri" w:hAnsi="Times New Roman" w:cs="Times New Roman"/>
          <w:color w:val="000000"/>
          <w:spacing w:val="2"/>
          <w:kern w:val="0"/>
          <w:sz w:val="23"/>
          <w:szCs w:val="23"/>
          <w:lang w:eastAsia="en-US"/>
          <w14:ligatures w14:val="none"/>
        </w:rPr>
        <w:t>Tiekėjo</w:t>
      </w:r>
      <w:r w:rsidR="00071304" w:rsidRPr="00071304">
        <w:rPr>
          <w:rFonts w:ascii="Times New Roman" w:eastAsia="Calibri" w:hAnsi="Times New Roman" w:cs="Times New Roman"/>
          <w:color w:val="000000"/>
          <w:spacing w:val="2"/>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 xml:space="preserve">pagal Sutartį </w:t>
      </w:r>
      <w:r>
        <w:rPr>
          <w:rFonts w:ascii="Times New Roman" w:eastAsia="Calibri" w:hAnsi="Times New Roman" w:cs="Times New Roman"/>
          <w:color w:val="000000"/>
          <w:kern w:val="0"/>
          <w:sz w:val="23"/>
          <w:szCs w:val="23"/>
          <w:lang w:eastAsia="en-US"/>
          <w14:ligatures w14:val="none"/>
        </w:rPr>
        <w:t>Pirkėjui</w:t>
      </w:r>
      <w:r w:rsidR="00071304" w:rsidRPr="00071304">
        <w:rPr>
          <w:rFonts w:ascii="Times New Roman" w:eastAsia="Calibri" w:hAnsi="Times New Roman" w:cs="Times New Roman"/>
          <w:color w:val="000000"/>
          <w:kern w:val="0"/>
          <w:sz w:val="23"/>
          <w:szCs w:val="23"/>
          <w:lang w:eastAsia="en-US"/>
          <w14:ligatures w14:val="none"/>
        </w:rPr>
        <w:t xml:space="preserve"> tikslu. </w:t>
      </w:r>
      <w:r>
        <w:rPr>
          <w:rFonts w:ascii="Times New Roman" w:eastAsia="Calibri" w:hAnsi="Times New Roman" w:cs="Times New Roman"/>
          <w:color w:val="000000"/>
          <w:spacing w:val="2"/>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621BFDC4" w:rsidR="00071304" w:rsidRPr="00071304" w:rsidRDefault="008F799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8F7996">
              <w:rPr>
                <w:rFonts w:ascii="Times New Roman" w:eastAsia="Times New Roman" w:hAnsi="Times New Roman" w:cs="Times New Roman"/>
                <w:b/>
                <w:bCs/>
                <w:color w:val="000000"/>
                <w:kern w:val="0"/>
                <w:sz w:val="24"/>
                <w:szCs w:val="24"/>
                <w:lang w:eastAsia="en-US"/>
                <w14:ligatures w14:val="none"/>
              </w:rPr>
              <w:t>P</w:t>
            </w:r>
            <w:r w:rsidR="00A563EB" w:rsidRPr="008F7996">
              <w:rPr>
                <w:rFonts w:ascii="Times New Roman" w:eastAsia="Times New Roman" w:hAnsi="Times New Roman" w:cs="Times New Roman"/>
                <w:b/>
                <w:bCs/>
                <w:color w:val="000000"/>
                <w:kern w:val="0"/>
                <w:sz w:val="24"/>
                <w:szCs w:val="24"/>
                <w:lang w:eastAsia="en-US"/>
                <w14:ligatures w14:val="none"/>
              </w:rPr>
              <w:t xml:space="preserve">aslaugų </w:t>
            </w:r>
            <w:r w:rsidR="00071304" w:rsidRPr="00071304">
              <w:rPr>
                <w:rFonts w:ascii="Times New Roman" w:eastAsia="Times New Roman" w:hAnsi="Times New Roman" w:cs="Times New Roman"/>
                <w:color w:val="000000"/>
                <w:kern w:val="0"/>
                <w:sz w:val="24"/>
                <w:szCs w:val="24"/>
                <w:lang w:eastAsia="en-US"/>
                <w14:ligatures w14:val="none"/>
              </w:rPr>
              <w:t>sutarties vykdymo tikslu</w:t>
            </w:r>
            <w:r w:rsidR="00071304" w:rsidRPr="00071304">
              <w:rPr>
                <w:rFonts w:ascii="Times New Roman" w:eastAsia="Times New Roman" w:hAnsi="Times New Roman" w:cs="Times New Roman"/>
                <w:kern w:val="0"/>
                <w:sz w:val="24"/>
                <w:szCs w:val="24"/>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0419C2FD" w:rsidR="00071304" w:rsidRPr="00071304" w:rsidRDefault="000D2E61"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D2E61">
              <w:rPr>
                <w:rFonts w:ascii="Times New Roman" w:eastAsia="Calibri" w:hAnsi="Times New Roman" w:cs="Times New Roman"/>
                <w:color w:val="000000"/>
                <w:kern w:val="0"/>
                <w:sz w:val="23"/>
                <w:szCs w:val="23"/>
                <w:lang w:eastAsia="en-US"/>
                <w14:ligatures w14:val="none"/>
              </w:rPr>
              <w:t xml:space="preserve">Fiziniai asmenys, juridiniai asmenys, </w:t>
            </w:r>
            <w:proofErr w:type="spellStart"/>
            <w:r w:rsidRPr="000D2E61">
              <w:rPr>
                <w:rFonts w:ascii="Times New Roman" w:eastAsia="Calibri" w:hAnsi="Times New Roman" w:cs="Times New Roman"/>
                <w:color w:val="000000"/>
                <w:kern w:val="0"/>
                <w:sz w:val="23"/>
                <w:szCs w:val="23"/>
                <w:lang w:eastAsia="en-US"/>
                <w14:ligatures w14:val="none"/>
              </w:rPr>
              <w:t>FVAIS</w:t>
            </w:r>
            <w:proofErr w:type="spellEnd"/>
            <w:r w:rsidRPr="000D2E61">
              <w:rPr>
                <w:rFonts w:ascii="Times New Roman" w:eastAsia="Calibri" w:hAnsi="Times New Roman" w:cs="Times New Roman"/>
                <w:color w:val="000000"/>
                <w:kern w:val="0"/>
                <w:sz w:val="23"/>
                <w:szCs w:val="23"/>
                <w:lang w:eastAsia="en-US"/>
                <w14:ligatures w14:val="none"/>
              </w:rPr>
              <w:t xml:space="preserve"> naudotojai, </w:t>
            </w:r>
            <w:r>
              <w:rPr>
                <w:rFonts w:ascii="Times New Roman" w:eastAsia="Calibri" w:hAnsi="Times New Roman" w:cs="Times New Roman"/>
                <w:color w:val="000000"/>
                <w:kern w:val="0"/>
                <w:sz w:val="23"/>
                <w:szCs w:val="23"/>
                <w:lang w:eastAsia="en-US"/>
                <w14:ligatures w14:val="none"/>
              </w:rPr>
              <w:t>T</w:t>
            </w:r>
            <w:r w:rsidRPr="000D2E61">
              <w:rPr>
                <w:rFonts w:ascii="Times New Roman" w:eastAsia="Calibri" w:hAnsi="Times New Roman" w:cs="Times New Roman"/>
                <w:color w:val="000000"/>
                <w:kern w:val="0"/>
                <w:sz w:val="23"/>
                <w:szCs w:val="23"/>
                <w:lang w:eastAsia="en-US"/>
                <w14:ligatures w14:val="none"/>
              </w:rPr>
              <w:t>iekėjo darbuotojai</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3F8636C3" w:rsidR="00071304" w:rsidRPr="00071304" w:rsidRDefault="00B754B3"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Calibri" w:hAnsi="Times New Roman" w:cs="Times New Roman"/>
                <w:color w:val="000000"/>
                <w:kern w:val="0"/>
                <w:sz w:val="23"/>
                <w:szCs w:val="23"/>
                <w:lang w:eastAsia="en-US"/>
                <w14:ligatures w14:val="none"/>
              </w:rPr>
              <w:t xml:space="preserve"> Duomenis leidžia tvarkyti tik </w:t>
            </w:r>
            <w:r w:rsidRPr="00B754B3">
              <w:rPr>
                <w:rFonts w:ascii="Times New Roman" w:eastAsia="Calibri" w:hAnsi="Times New Roman" w:cs="Times New Roman"/>
                <w:color w:val="000000"/>
                <w:kern w:val="0"/>
                <w:sz w:val="23"/>
                <w:szCs w:val="23"/>
                <w:lang w:eastAsia="en-US"/>
                <w14:ligatures w14:val="none"/>
              </w:rPr>
              <w:t>Tiekėjo</w:t>
            </w:r>
            <w:r>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Calibri" w:hAnsi="Times New Roman" w:cs="Times New Roman"/>
                <w:color w:val="000000"/>
                <w:kern w:val="0"/>
                <w:sz w:val="23"/>
                <w:szCs w:val="23"/>
                <w:lang w:eastAsia="en-US"/>
                <w14:ligatures w14:val="none"/>
              </w:rPr>
              <w:t>už Sutarties vykdymą atsakingiems asmenims.</w:t>
            </w:r>
          </w:p>
          <w:p w14:paraId="3D393D11" w14:textId="76D00699" w:rsidR="00071304" w:rsidRPr="00071304" w:rsidRDefault="00B754B3" w:rsidP="00071304">
            <w:pPr>
              <w:spacing w:after="0" w:line="240" w:lineRule="auto"/>
              <w:jc w:val="both"/>
              <w:rPr>
                <w:rFonts w:ascii="Times New Roman" w:eastAsia="Times New Roman" w:hAnsi="Times New Roman" w:cs="Times New Roman"/>
                <w:kern w:val="0"/>
                <w:sz w:val="23"/>
                <w:szCs w:val="23"/>
                <w:lang w:eastAsia="sv-SE"/>
                <w14:ligatures w14:val="none"/>
              </w:rPr>
            </w:pPr>
            <w:r>
              <w:rPr>
                <w:rFonts w:ascii="Times New Roman" w:eastAsia="Calibri" w:hAnsi="Times New Roman" w:cs="Times New Roman"/>
                <w:color w:val="000000"/>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sv-SE"/>
                <w14:ligatures w14:val="none"/>
              </w:rPr>
              <w:t xml:space="preserve"> užtikrina Duomenų apsaugą leisdamas </w:t>
            </w:r>
            <w:r>
              <w:rPr>
                <w:rFonts w:ascii="Times New Roman" w:eastAsia="Calibri" w:hAnsi="Times New Roman" w:cs="Times New Roman"/>
                <w:color w:val="000000"/>
                <w:kern w:val="0"/>
                <w:sz w:val="23"/>
                <w:szCs w:val="23"/>
                <w:lang w:eastAsia="en-US"/>
                <w14:ligatures w14:val="none"/>
              </w:rPr>
              <w:t>Tiekėjui</w:t>
            </w:r>
            <w:r w:rsidR="00071304" w:rsidRPr="00071304">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2276B339" w:rsidR="00071304" w:rsidRPr="00071304" w:rsidRDefault="00B754B3"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Pr>
                <w:rFonts w:ascii="Times New Roman" w:eastAsia="Calibri" w:hAnsi="Times New Roman" w:cs="Times New Roman"/>
                <w:color w:val="000000"/>
                <w:kern w:val="0"/>
                <w:sz w:val="23"/>
                <w:szCs w:val="23"/>
                <w:lang w:eastAsia="en-US"/>
                <w14:ligatures w14:val="none"/>
              </w:rPr>
              <w:t>Tiekėjas</w:t>
            </w:r>
            <w:r w:rsidR="00071304" w:rsidRPr="00071304">
              <w:rPr>
                <w:rFonts w:ascii="Times New Roman" w:eastAsia="Calibri" w:hAnsi="Times New Roman" w:cs="Times New Roman"/>
                <w:color w:val="000000"/>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nuostatas, VLK yra paskirtas duomenų apsaugos pareigūnas, kuris prižiūri atitiktį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nuostatoms, teikia išvadas, konsultuoja duomenų saugos klausimais ir atlieka kitas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nurodytas funkcijas.</w:t>
            </w:r>
          </w:p>
          <w:p w14:paraId="0014EA0A" w14:textId="3EC64D33"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nuostatas, </w:t>
            </w:r>
            <w:r w:rsidR="00B754B3">
              <w:rPr>
                <w:rFonts w:ascii="Times New Roman" w:eastAsia="Calibri" w:hAnsi="Times New Roman" w:cs="Times New Roman"/>
                <w:color w:val="000000"/>
                <w:kern w:val="0"/>
                <w:sz w:val="23"/>
                <w:szCs w:val="23"/>
                <w:lang w:eastAsia="en-US"/>
                <w14:ligatures w14:val="none"/>
              </w:rPr>
              <w:t>Tiekėjas</w:t>
            </w:r>
            <w:r w:rsidRPr="00071304">
              <w:rPr>
                <w:rFonts w:ascii="Times New Roman" w:eastAsia="Calibri" w:hAnsi="Times New Roman" w:cs="Times New Roman"/>
                <w:color w:val="000000"/>
                <w:kern w:val="0"/>
                <w:sz w:val="23"/>
                <w:szCs w:val="23"/>
                <w:lang w:eastAsia="en-US"/>
                <w14:ligatures w14:val="none"/>
              </w:rPr>
              <w:t xml:space="preserve"> </w:t>
            </w:r>
            <w:r w:rsidRPr="00071304">
              <w:rPr>
                <w:rFonts w:ascii="Times New Roman" w:eastAsia="Times New Roman" w:hAnsi="Times New Roman" w:cs="Times New Roman"/>
                <w:color w:val="000000"/>
                <w:kern w:val="0"/>
                <w:sz w:val="23"/>
                <w:szCs w:val="23"/>
                <w:lang w:eastAsia="lt-LT"/>
                <w14:ligatures w14:val="none"/>
              </w:rPr>
              <w:t xml:space="preserve">privalo paskirti duomenų apsaugos pareigūną (jei to reikalauja teisės aktai), kuris prižiūrėtų atitiktį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nuostatoms, teiktų išvadas, konsultuotų duomenų saugos klausimais ir atliktų kitas </w:t>
            </w:r>
            <w:proofErr w:type="spellStart"/>
            <w:r w:rsidRPr="00071304">
              <w:rPr>
                <w:rFonts w:ascii="Times New Roman" w:eastAsia="Times New Roman" w:hAnsi="Times New Roman" w:cs="Times New Roman"/>
                <w:color w:val="000000"/>
                <w:kern w:val="0"/>
                <w:sz w:val="23"/>
                <w:szCs w:val="23"/>
                <w:lang w:eastAsia="lt-LT"/>
                <w14:ligatures w14:val="none"/>
              </w:rPr>
              <w:t>BDAR</w:t>
            </w:r>
            <w:proofErr w:type="spellEnd"/>
            <w:r w:rsidRPr="00071304">
              <w:rPr>
                <w:rFonts w:ascii="Times New Roman" w:eastAsia="Times New Roman" w:hAnsi="Times New Roman" w:cs="Times New Roman"/>
                <w:color w:val="000000"/>
                <w:kern w:val="0"/>
                <w:sz w:val="23"/>
                <w:szCs w:val="23"/>
                <w:lang w:eastAsia="lt-LT"/>
                <w14:ligatures w14:val="none"/>
              </w:rPr>
              <w:t xml:space="preserve">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588C7FE8" w:rsidR="00071304" w:rsidRPr="00071304" w:rsidRDefault="00B754B3"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lt-LT"/>
                <w14:ligatures w14:val="none"/>
              </w:rPr>
              <w:t>Tiekėjas</w:t>
            </w:r>
            <w:r w:rsidR="00071304" w:rsidRPr="00071304">
              <w:rPr>
                <w:rFonts w:ascii="Times New Roman" w:eastAsia="Times New Roman" w:hAnsi="Times New Roman" w:cs="Times New Roman"/>
                <w:kern w:val="0"/>
                <w:sz w:val="23"/>
                <w:szCs w:val="23"/>
                <w:lang w:eastAsia="lt-LT"/>
                <w14:ligatures w14:val="none"/>
              </w:rPr>
              <w:t xml:space="preserve">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4D687C81" w:rsidR="00071304" w:rsidRPr="00071304" w:rsidRDefault="00B754B3"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en-US"/>
                <w14:ligatures w14:val="none"/>
              </w:rPr>
              <w:t xml:space="preserve">, patikėdamas tvarkyti </w:t>
            </w:r>
            <w:r>
              <w:rPr>
                <w:rFonts w:ascii="Times New Roman" w:eastAsia="Times New Roman" w:hAnsi="Times New Roman" w:cs="Times New Roman"/>
                <w:kern w:val="0"/>
                <w:sz w:val="23"/>
                <w:szCs w:val="23"/>
                <w:lang w:eastAsia="en-US"/>
                <w14:ligatures w14:val="none"/>
              </w:rPr>
              <w:t>Tiekėjui</w:t>
            </w:r>
            <w:r w:rsidR="00071304" w:rsidRPr="00071304">
              <w:rPr>
                <w:rFonts w:ascii="Times New Roman" w:eastAsia="Times New Roman" w:hAnsi="Times New Roman" w:cs="Times New Roman"/>
                <w:kern w:val="0"/>
                <w:sz w:val="23"/>
                <w:szCs w:val="23"/>
                <w:lang w:eastAsia="en-US"/>
                <w14:ligatures w14:val="none"/>
              </w:rPr>
              <w:t xml:space="preserve"> Duomenis, reikalingus Paslaugoms teikti, nustato, kad šių Duomenų saugojimo terminas – Paslaugų teikimo laikotarpis, o nutraukus Sutartį ar jai pasibaigus, </w:t>
            </w:r>
            <w:r>
              <w:rPr>
                <w:rFonts w:ascii="Times New Roman" w:eastAsia="Times New Roman" w:hAnsi="Times New Roman" w:cs="Times New Roman"/>
                <w:kern w:val="0"/>
                <w:sz w:val="23"/>
                <w:szCs w:val="23"/>
                <w:lang w:eastAsia="lt-LT"/>
                <w14:ligatures w14:val="none"/>
              </w:rPr>
              <w:t>Tiekėjas</w:t>
            </w:r>
            <w:r w:rsidR="00071304" w:rsidRPr="00071304">
              <w:rPr>
                <w:rFonts w:ascii="Times New Roman" w:eastAsia="Times New Roman" w:hAnsi="Times New Roman" w:cs="Times New Roman"/>
                <w:kern w:val="0"/>
                <w:sz w:val="23"/>
                <w:szCs w:val="23"/>
                <w:lang w:eastAsia="lt-LT"/>
                <w14:ligatures w14:val="none"/>
              </w:rPr>
              <w:t xml:space="preserve"> </w:t>
            </w:r>
            <w:r w:rsidR="00071304"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w:t>
            </w:r>
            <w:r>
              <w:rPr>
                <w:rFonts w:ascii="Times New Roman" w:eastAsia="Times New Roman" w:hAnsi="Times New Roman" w:cs="Times New Roman"/>
                <w:kern w:val="0"/>
                <w:sz w:val="23"/>
                <w:szCs w:val="23"/>
                <w:lang w:eastAsia="en-US"/>
                <w14:ligatures w14:val="none"/>
              </w:rPr>
              <w:t>Pirkėjo</w:t>
            </w:r>
            <w:r w:rsidR="00071304" w:rsidRPr="00071304">
              <w:rPr>
                <w:rFonts w:ascii="Times New Roman" w:eastAsia="Times New Roman" w:hAnsi="Times New Roman" w:cs="Times New Roman"/>
                <w:kern w:val="0"/>
                <w:sz w:val="23"/>
                <w:szCs w:val="23"/>
                <w:lang w:eastAsia="en-US"/>
                <w14:ligatures w14:val="none"/>
              </w:rPr>
              <w:t xml:space="preserve"> gautą ar Sutarties vykdymo metu sužinotą informaciją (nepriklausomai nuo jos formos ir turinio), išskyrus, jeigu Lietuvos Respublikos teisės aktai reikalauja, kad tokia informacija būtų išsaugota. </w:t>
            </w:r>
          </w:p>
          <w:p w14:paraId="616C3290" w14:textId="3C7D4A5D"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00B754B3">
              <w:rPr>
                <w:rFonts w:ascii="Times New Roman" w:eastAsia="Times New Roman" w:hAnsi="Times New Roman" w:cs="Times New Roman"/>
                <w:kern w:val="0"/>
                <w:sz w:val="23"/>
                <w:szCs w:val="23"/>
                <w:lang w:eastAsia="lt-LT"/>
                <w14:ligatures w14:val="none"/>
              </w:rPr>
              <w:t>Tiekėjas</w:t>
            </w:r>
            <w:r w:rsidRPr="00071304">
              <w:rPr>
                <w:rFonts w:ascii="Times New Roman" w:eastAsia="Times New Roman" w:hAnsi="Times New Roman" w:cs="Times New Roman"/>
                <w:kern w:val="0"/>
                <w:sz w:val="23"/>
                <w:szCs w:val="23"/>
                <w:lang w:eastAsia="lt-LT"/>
                <w14:ligatures w14:val="none"/>
              </w:rPr>
              <w:t xml:space="preserve">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2046FB5A" w:rsidR="00071304" w:rsidRPr="00071304" w:rsidRDefault="00B754B3" w:rsidP="00071304">
            <w:pPr>
              <w:spacing w:after="120" w:line="240" w:lineRule="auto"/>
              <w:jc w:val="both"/>
              <w:rPr>
                <w:rFonts w:ascii="Times New Roman" w:eastAsia="Times New Roman" w:hAnsi="Times New Roman" w:cs="Times New Roman"/>
                <w:kern w:val="0"/>
                <w:sz w:val="23"/>
                <w:szCs w:val="23"/>
                <w:lang w:eastAsia="en-US"/>
                <w14:ligatures w14:val="none"/>
              </w:rPr>
            </w:pPr>
            <w:r>
              <w:rPr>
                <w:rFonts w:ascii="Times New Roman" w:eastAsia="Times New Roman" w:hAnsi="Times New Roman" w:cs="Times New Roman"/>
                <w:kern w:val="0"/>
                <w:sz w:val="23"/>
                <w:szCs w:val="23"/>
                <w:lang w:eastAsia="en-US"/>
                <w14:ligatures w14:val="none"/>
              </w:rPr>
              <w:t>Pirkėjas</w:t>
            </w:r>
            <w:r w:rsidR="00071304" w:rsidRPr="00071304">
              <w:rPr>
                <w:rFonts w:ascii="Times New Roman" w:eastAsia="Times New Roman" w:hAnsi="Times New Roman" w:cs="Times New Roman"/>
                <w:kern w:val="0"/>
                <w:sz w:val="23"/>
                <w:szCs w:val="23"/>
                <w:lang w:eastAsia="en-US"/>
                <w14:ligatures w14:val="none"/>
              </w:rPr>
              <w:t xml:space="preserve"> </w:t>
            </w:r>
            <w:r w:rsidRPr="00B754B3">
              <w:rPr>
                <w:rFonts w:ascii="Times New Roman" w:eastAsia="Times New Roman" w:hAnsi="Times New Roman" w:cs="Times New Roman"/>
                <w:kern w:val="0"/>
                <w:sz w:val="23"/>
                <w:szCs w:val="23"/>
                <w:lang w:eastAsia="en-US"/>
                <w14:ligatures w14:val="none"/>
              </w:rPr>
              <w:t>Tiekėjo</w:t>
            </w:r>
            <w:r>
              <w:rPr>
                <w:rFonts w:ascii="Times New Roman" w:eastAsia="Times New Roman" w:hAnsi="Times New Roman" w:cs="Times New Roman"/>
                <w:kern w:val="0"/>
                <w:sz w:val="23"/>
                <w:szCs w:val="23"/>
                <w:lang w:eastAsia="en-US"/>
                <w14:ligatures w14:val="none"/>
              </w:rPr>
              <w:t xml:space="preserve"> </w:t>
            </w:r>
            <w:r w:rsidR="00071304" w:rsidRPr="00071304">
              <w:rPr>
                <w:rFonts w:ascii="Times New Roman" w:eastAsia="Times New Roman" w:hAnsi="Times New Roman" w:cs="Times New Roman"/>
                <w:kern w:val="0"/>
                <w:sz w:val="23"/>
                <w:szCs w:val="23"/>
                <w:lang w:eastAsia="en-US"/>
                <w14:ligatures w14:val="none"/>
              </w:rPr>
              <w:t>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w:t>
      </w:r>
      <w:proofErr w:type="spellStart"/>
      <w:r w:rsidRPr="00071304">
        <w:rPr>
          <w:rFonts w:ascii="Times New Roman" w:eastAsia="Calibri" w:hAnsi="Times New Roman" w:cs="Times New Roman"/>
          <w:kern w:val="0"/>
          <w:sz w:val="23"/>
          <w:szCs w:val="23"/>
          <w:lang w:eastAsia="en-US"/>
          <w14:ligatures w14:val="none"/>
        </w:rPr>
        <w:t>BDAR</w:t>
      </w:r>
      <w:proofErr w:type="spellEnd"/>
      <w:r w:rsidRPr="00071304">
        <w:rPr>
          <w:rFonts w:ascii="Times New Roman" w:eastAsia="Calibri" w:hAnsi="Times New Roman" w:cs="Times New Roman"/>
          <w:kern w:val="0"/>
          <w:sz w:val="23"/>
          <w:szCs w:val="23"/>
          <w:lang w:eastAsia="en-US"/>
          <w14:ligatures w14:val="none"/>
        </w:rPr>
        <w:t xml:space="preserve"> 32 str. nustatytų prievolių įgyvendinimą, pateikdamas Duomenų valdytojui informaciją apie technines ir organizacines priemones, kurias Duomenų tvarkytojas jau taiko pagal </w:t>
      </w:r>
      <w:proofErr w:type="spellStart"/>
      <w:r w:rsidRPr="00071304">
        <w:rPr>
          <w:rFonts w:ascii="Times New Roman" w:eastAsia="Calibri" w:hAnsi="Times New Roman" w:cs="Times New Roman"/>
          <w:kern w:val="0"/>
          <w:sz w:val="23"/>
          <w:szCs w:val="23"/>
          <w:lang w:eastAsia="en-US"/>
          <w14:ligatures w14:val="none"/>
        </w:rPr>
        <w:t>BDAR</w:t>
      </w:r>
      <w:proofErr w:type="spellEnd"/>
      <w:r w:rsidRPr="00071304">
        <w:rPr>
          <w:rFonts w:ascii="Times New Roman" w:eastAsia="Calibri" w:hAnsi="Times New Roman" w:cs="Times New Roman"/>
          <w:kern w:val="0"/>
          <w:sz w:val="23"/>
          <w:szCs w:val="23"/>
          <w:lang w:eastAsia="en-US"/>
          <w14:ligatures w14:val="none"/>
        </w:rPr>
        <w:t xml:space="preserve">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5083F0C2"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1FD94D7D"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A2F55C3"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7347" w14:textId="77777777" w:rsidR="003A5E55" w:rsidRDefault="003A5E55" w:rsidP="00071304">
      <w:pPr>
        <w:spacing w:after="0" w:line="240" w:lineRule="auto"/>
      </w:pPr>
      <w:r>
        <w:separator/>
      </w:r>
    </w:p>
  </w:endnote>
  <w:endnote w:type="continuationSeparator" w:id="0">
    <w:p w14:paraId="49971406" w14:textId="77777777" w:rsidR="003A5E55" w:rsidRDefault="003A5E55"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26F8" w14:textId="77777777" w:rsidR="003A5E55" w:rsidRDefault="003A5E55" w:rsidP="00071304">
      <w:pPr>
        <w:spacing w:after="0" w:line="240" w:lineRule="auto"/>
      </w:pPr>
      <w:r>
        <w:separator/>
      </w:r>
    </w:p>
  </w:footnote>
  <w:footnote w:type="continuationSeparator" w:id="0">
    <w:p w14:paraId="0A46747D" w14:textId="77777777" w:rsidR="003A5E55" w:rsidRDefault="003A5E55" w:rsidP="00071304">
      <w:pPr>
        <w:spacing w:after="0" w:line="240" w:lineRule="auto"/>
      </w:pPr>
      <w:r>
        <w:continuationSeparator/>
      </w:r>
    </w:p>
  </w:footnote>
  <w:footnote w:id="1">
    <w:p w14:paraId="4BE5F483" w14:textId="77777777" w:rsidR="00071304" w:rsidRPr="00F85C3A" w:rsidRDefault="00071304" w:rsidP="00F85C3A">
      <w:pPr>
        <w:jc w:val="both"/>
        <w:rPr>
          <w:rFonts w:ascii="Times New Roman" w:hAnsi="Times New Roman" w:cs="Times New Roman"/>
        </w:rPr>
      </w:pPr>
      <w:r w:rsidRPr="00F85C3A">
        <w:rPr>
          <w:rStyle w:val="Puslapioinaosnuoroda"/>
        </w:rPr>
        <w:footnoteRef/>
      </w:r>
      <w:r w:rsidRPr="00F85C3A">
        <w:rPr>
          <w:rFonts w:ascii="Times New Roman" w:hAnsi="Times New Roman" w:cs="Times New Roman"/>
        </w:rPr>
        <w:t xml:space="preserve"> </w:t>
      </w:r>
      <w:r w:rsidRPr="00F85C3A">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21B" w14:textId="1319FD08" w:rsidR="002B294E" w:rsidRPr="00004444" w:rsidRDefault="002B294E" w:rsidP="002B294E">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37F0B"/>
    <w:rsid w:val="00071304"/>
    <w:rsid w:val="000871D5"/>
    <w:rsid w:val="000D2E61"/>
    <w:rsid w:val="000E39C4"/>
    <w:rsid w:val="00111959"/>
    <w:rsid w:val="001226B7"/>
    <w:rsid w:val="00131418"/>
    <w:rsid w:val="00141DDD"/>
    <w:rsid w:val="00185CAF"/>
    <w:rsid w:val="001B3C1C"/>
    <w:rsid w:val="002265E6"/>
    <w:rsid w:val="002573C8"/>
    <w:rsid w:val="002B294E"/>
    <w:rsid w:val="00312356"/>
    <w:rsid w:val="00324DB7"/>
    <w:rsid w:val="00383C9E"/>
    <w:rsid w:val="003A5E55"/>
    <w:rsid w:val="00425E9B"/>
    <w:rsid w:val="004630E8"/>
    <w:rsid w:val="00463490"/>
    <w:rsid w:val="00464DA2"/>
    <w:rsid w:val="00486C19"/>
    <w:rsid w:val="00497EA1"/>
    <w:rsid w:val="004C1B05"/>
    <w:rsid w:val="004C38E7"/>
    <w:rsid w:val="00501A29"/>
    <w:rsid w:val="005625C5"/>
    <w:rsid w:val="00594E62"/>
    <w:rsid w:val="006B3D18"/>
    <w:rsid w:val="006C7ABA"/>
    <w:rsid w:val="00740082"/>
    <w:rsid w:val="0077225C"/>
    <w:rsid w:val="00782F16"/>
    <w:rsid w:val="007A18D6"/>
    <w:rsid w:val="00856625"/>
    <w:rsid w:val="008629CF"/>
    <w:rsid w:val="008F7996"/>
    <w:rsid w:val="00930B20"/>
    <w:rsid w:val="0097558A"/>
    <w:rsid w:val="009843E0"/>
    <w:rsid w:val="009B59B8"/>
    <w:rsid w:val="00A13CD7"/>
    <w:rsid w:val="00A17CDA"/>
    <w:rsid w:val="00A563EB"/>
    <w:rsid w:val="00A63D46"/>
    <w:rsid w:val="00A71CF8"/>
    <w:rsid w:val="00A9249D"/>
    <w:rsid w:val="00A93A2A"/>
    <w:rsid w:val="00AA718C"/>
    <w:rsid w:val="00AD51A7"/>
    <w:rsid w:val="00B447CB"/>
    <w:rsid w:val="00B619EF"/>
    <w:rsid w:val="00B754B3"/>
    <w:rsid w:val="00BD4498"/>
    <w:rsid w:val="00BF0F2E"/>
    <w:rsid w:val="00CC1649"/>
    <w:rsid w:val="00CE50A1"/>
    <w:rsid w:val="00D23604"/>
    <w:rsid w:val="00D708DD"/>
    <w:rsid w:val="00D9058B"/>
    <w:rsid w:val="00DA078D"/>
    <w:rsid w:val="00E0779F"/>
    <w:rsid w:val="00E3192C"/>
    <w:rsid w:val="00E414B1"/>
    <w:rsid w:val="00E42798"/>
    <w:rsid w:val="00E85761"/>
    <w:rsid w:val="00EC21C4"/>
    <w:rsid w:val="00EE58F2"/>
    <w:rsid w:val="00F12C6B"/>
    <w:rsid w:val="00F145F8"/>
    <w:rsid w:val="00F85C3A"/>
    <w:rsid w:val="00FC0C94"/>
    <w:rsid w:val="00FE3663"/>
    <w:rsid w:val="00FE540C"/>
    <w:rsid w:val="00FF6DC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 w:type="character" w:styleId="Komentaronuoroda">
    <w:name w:val="annotation reference"/>
    <w:basedOn w:val="Numatytasispastraiposriftas"/>
    <w:uiPriority w:val="99"/>
    <w:semiHidden/>
    <w:unhideWhenUsed/>
    <w:rsid w:val="00324DB7"/>
    <w:rPr>
      <w:sz w:val="16"/>
      <w:szCs w:val="16"/>
    </w:rPr>
  </w:style>
  <w:style w:type="paragraph" w:styleId="Komentarotekstas">
    <w:name w:val="annotation text"/>
    <w:basedOn w:val="prastasis"/>
    <w:link w:val="KomentarotekstasDiagrama"/>
    <w:uiPriority w:val="99"/>
    <w:unhideWhenUsed/>
    <w:rsid w:val="00324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4DB7"/>
    <w:rPr>
      <w:sz w:val="20"/>
      <w:szCs w:val="20"/>
    </w:rPr>
  </w:style>
  <w:style w:type="paragraph" w:styleId="Komentarotema">
    <w:name w:val="annotation subject"/>
    <w:basedOn w:val="Komentarotekstas"/>
    <w:next w:val="Komentarotekstas"/>
    <w:link w:val="KomentarotemaDiagrama"/>
    <w:uiPriority w:val="99"/>
    <w:semiHidden/>
    <w:unhideWhenUsed/>
    <w:rsid w:val="00324DB7"/>
    <w:rPr>
      <w:b/>
      <w:bCs/>
    </w:rPr>
  </w:style>
  <w:style w:type="character" w:customStyle="1" w:styleId="KomentarotemaDiagrama">
    <w:name w:val="Komentaro tema Diagrama"/>
    <w:basedOn w:val="KomentarotekstasDiagrama"/>
    <w:link w:val="Komentarotema"/>
    <w:uiPriority w:val="99"/>
    <w:semiHidden/>
    <w:rsid w:val="00324DB7"/>
    <w:rPr>
      <w:b/>
      <w:bCs/>
      <w:sz w:val="20"/>
      <w:szCs w:val="20"/>
    </w:rPr>
  </w:style>
  <w:style w:type="paragraph" w:styleId="Pataisymai">
    <w:name w:val="Revision"/>
    <w:hidden/>
    <w:uiPriority w:val="99"/>
    <w:semiHidden/>
    <w:rsid w:val="00B75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8543</Words>
  <Characters>4870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Renata Belevičienė</cp:lastModifiedBy>
  <cp:revision>20</cp:revision>
  <dcterms:created xsi:type="dcterms:W3CDTF">2025-05-14T12:57:00Z</dcterms:created>
  <dcterms:modified xsi:type="dcterms:W3CDTF">2026-01-22T12:19:00Z</dcterms:modified>
</cp:coreProperties>
</file>