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20D67C2B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A40465">
        <w:rPr>
          <w:bCs/>
          <w:szCs w:val="24"/>
        </w:rPr>
        <w:t>6</w:t>
      </w:r>
      <w:r>
        <w:rPr>
          <w:bCs/>
          <w:szCs w:val="24"/>
        </w:rPr>
        <w:t>-     -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310B3B7" w14:textId="18EC215A" w:rsidR="0083351E" w:rsidRDefault="006328E3" w:rsidP="000B4F7D">
      <w:pPr>
        <w:spacing w:after="0"/>
        <w:jc w:val="center"/>
        <w:rPr>
          <w:b/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 xml:space="preserve">, </w:t>
      </w:r>
      <w:r w:rsidR="000B4F7D">
        <w:rPr>
          <w:b/>
          <w:szCs w:val="24"/>
        </w:rPr>
        <w:t xml:space="preserve">KARTU SU ĮRANGOS PANAUDA </w:t>
      </w:r>
      <w:r w:rsidRPr="006328E3">
        <w:rPr>
          <w:b/>
          <w:szCs w:val="24"/>
        </w:rPr>
        <w:t>PIRKIMAS (AK-</w:t>
      </w:r>
      <w:r w:rsidR="000A491E">
        <w:rPr>
          <w:b/>
          <w:szCs w:val="24"/>
        </w:rPr>
        <w:t>9</w:t>
      </w:r>
      <w:r w:rsidRPr="006328E3">
        <w:rPr>
          <w:b/>
          <w:szCs w:val="24"/>
        </w:rPr>
        <w:t>/202</w:t>
      </w:r>
      <w:r w:rsidR="002B6C8B">
        <w:rPr>
          <w:b/>
          <w:szCs w:val="24"/>
        </w:rPr>
        <w:t>5</w:t>
      </w:r>
      <w:r w:rsidRPr="006328E3">
        <w:rPr>
          <w:b/>
          <w:szCs w:val="24"/>
        </w:rPr>
        <w:t>)</w:t>
      </w:r>
      <w:bookmarkEnd w:id="0"/>
      <w:r w:rsidR="000B4F7D">
        <w:rPr>
          <w:szCs w:val="24"/>
        </w:rPr>
        <w:t xml:space="preserve"> </w:t>
      </w:r>
      <w:r w:rsidR="0083351E" w:rsidRPr="005A18AE">
        <w:rPr>
          <w:b/>
          <w:szCs w:val="24"/>
        </w:rPr>
        <w:t>TECHNINĖ SPECIFIKACIJA</w:t>
      </w:r>
    </w:p>
    <w:p w14:paraId="5519F459" w14:textId="77777777" w:rsidR="000B4F7D" w:rsidRDefault="000B4F7D" w:rsidP="000B4F7D">
      <w:pPr>
        <w:spacing w:after="0"/>
        <w:jc w:val="center"/>
        <w:rPr>
          <w:szCs w:val="24"/>
        </w:rPr>
      </w:pPr>
    </w:p>
    <w:tbl>
      <w:tblPr>
        <w:tblW w:w="1484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4"/>
        <w:gridCol w:w="3408"/>
        <w:gridCol w:w="1157"/>
        <w:gridCol w:w="1417"/>
        <w:gridCol w:w="1700"/>
        <w:gridCol w:w="1660"/>
        <w:gridCol w:w="1012"/>
        <w:gridCol w:w="1238"/>
        <w:gridCol w:w="992"/>
        <w:gridCol w:w="1559"/>
      </w:tblGrid>
      <w:tr w:rsidR="000C002D" w:rsidRPr="000C002D" w14:paraId="451CFCDE" w14:textId="77777777" w:rsidTr="000C002D">
        <w:trPr>
          <w:trHeight w:val="465"/>
        </w:trPr>
        <w:tc>
          <w:tcPr>
            <w:tcW w:w="14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2" w:fill="DBE5F1"/>
            <w:vAlign w:val="center"/>
            <w:hideMark/>
          </w:tcPr>
          <w:p w14:paraId="3D8F7F8C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5. </w:t>
            </w:r>
            <w:proofErr w:type="spellStart"/>
            <w:proofErr w:type="gram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pirkimo</w:t>
            </w:r>
            <w:proofErr w:type="spellEnd"/>
            <w:proofErr w:type="gram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dalis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.  RNR/DNR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kiekio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nustatymo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rinkinai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uir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priemonės</w:t>
            </w:r>
            <w:proofErr w:type="spellEnd"/>
          </w:p>
        </w:tc>
      </w:tr>
      <w:tr w:rsidR="000C002D" w:rsidRPr="000C002D" w14:paraId="02F9B9E0" w14:textId="77777777" w:rsidTr="000C002D">
        <w:trPr>
          <w:trHeight w:val="840"/>
        </w:trPr>
        <w:tc>
          <w:tcPr>
            <w:tcW w:w="148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DD7EE" w:fill="C5D9F1"/>
            <w:hideMark/>
          </w:tcPr>
          <w:p w14:paraId="041DB6C8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APRAŠYMAS: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Rinkiniai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priemonės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kiekio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nuosavybes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teise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valdomu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fluorimteru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0C002D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"Invitrogen </w:t>
            </w:r>
            <w:proofErr w:type="spellStart"/>
            <w:r w:rsidRPr="000C002D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Qubit</w:t>
            </w:r>
            <w:proofErr w:type="spellEnd"/>
            <w:r w:rsidRPr="000C002D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4"</w:t>
            </w: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arba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kita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tiekėjo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pasiūlyta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panaudos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būdų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lygiaverte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įranga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Pasiūlymą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teikti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visai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pirkimo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daliai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0C002D" w:rsidRPr="000C002D" w14:paraId="3C4AB0EE" w14:textId="77777777" w:rsidTr="000C002D">
        <w:trPr>
          <w:trHeight w:val="19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415C8816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Pirkimo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objekto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dalies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Nr.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15DD994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eksploatacinių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medžiagų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pavadinimai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714ED94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Maksimalus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skaičius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78F1EBA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ekspoloatacinių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medžiagų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kiekis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(µl/ml/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vnt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.)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maksimaliam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skaičiui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73EB544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ekspoloatacinių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medžiagų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reikalingų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vienam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(1)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tyrimui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atlikti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kaina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, EUR be PVM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260D923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ekspoloatacinių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medžiagų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reikalingų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vienam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(1)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tyrimui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atlikti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kaina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EUR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PVM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71B03BF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PVM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tarifas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10FA9FE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Suma, EUR be PVM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79D5E4F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Suma, EUR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PVM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2F2F2" w:fill="FFF8A3"/>
            <w:vAlign w:val="center"/>
            <w:hideMark/>
          </w:tcPr>
          <w:p w14:paraId="1DBED05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Gamintojas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siūloma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pakuotė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pastabos</w:t>
            </w:r>
            <w:proofErr w:type="spellEnd"/>
          </w:p>
        </w:tc>
      </w:tr>
      <w:tr w:rsidR="000C002D" w:rsidRPr="000C002D" w14:paraId="65CD7979" w14:textId="77777777" w:rsidTr="000C002D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18727DD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hideMark/>
          </w:tcPr>
          <w:p w14:paraId="7B518F38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DNR/RNR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nustatymo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reagentai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priemonės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02F03E7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559872D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547B146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10CB746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683DBFA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23EF406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2C860F6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BDD7EE" w:fill="C5D9F1"/>
            <w:noWrap/>
            <w:vAlign w:val="center"/>
            <w:hideMark/>
          </w:tcPr>
          <w:p w14:paraId="2E0A8CE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0C002D" w:rsidRPr="000C002D" w14:paraId="3C10BD44" w14:textId="77777777" w:rsidTr="000C002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6BA103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5.1.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7B0BFD97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dvigrandės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fluorimetrijos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metodu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60C893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948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8D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1.1960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33C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1.44716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14998CB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9C9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9568.00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7C4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11577.28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3B26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-</w:t>
            </w:r>
          </w:p>
        </w:tc>
      </w:tr>
      <w:tr w:rsidR="000C002D" w:rsidRPr="000C002D" w14:paraId="4AE9213F" w14:textId="77777777" w:rsidTr="000C002D">
        <w:trPr>
          <w:trHeight w:val="3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9399FF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lastRenderedPageBreak/>
              <w:t>5.1.1.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2BB6EEC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dvigrandės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metodu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Pradinis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matuojamos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diapazonas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0,2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-2000 ng/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mkl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Rinkinį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sudaro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koncentruotas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reagentas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skiedimo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buferis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paruošti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standartai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naudojamo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tirpalo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turio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diapazonas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1-20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mkl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Reagentu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rinkinyje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pakankamas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kad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ištirti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500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Qubit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4 .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Su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pateikiami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0</w:t>
            </w:r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,5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mL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optiniai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mėgintuvėliai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DNR/RNR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2E8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906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3CD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0A1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988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7FE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AD9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0F7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Thermo Scientific, 500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reakc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pn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Q32853</w:t>
            </w:r>
          </w:p>
        </w:tc>
      </w:tr>
      <w:tr w:rsidR="000C002D" w:rsidRPr="000C002D" w14:paraId="1E4B830F" w14:textId="77777777" w:rsidTr="000C002D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CAD3FA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5.2.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4D6F0A35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mažos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dvigrandės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fluorimetrijos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metodu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3D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DC1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B7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1.1880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5AB6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1.43748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2F28C77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7C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11880.00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5E8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14374.80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E0F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-</w:t>
            </w:r>
          </w:p>
        </w:tc>
      </w:tr>
      <w:tr w:rsidR="000C002D" w:rsidRPr="000C002D" w14:paraId="054109D3" w14:textId="77777777" w:rsidTr="000C002D">
        <w:trPr>
          <w:trHeight w:val="3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1EFA9E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5.2.1.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7256838B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mažos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dvigrandės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metodu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Pradinis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matuojamos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diapazonas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0,005-120 ng/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mkl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Rinkinį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sudaro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koncentruotas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reagentas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skiedimo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buferis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paruošti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standartai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naudojamo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tirpalo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turio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diapazonas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1-20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mkl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Reagnetu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rinkinyje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pakankamas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kad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ištirti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500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Qubit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4 .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Su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pateikiami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0,5 mL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optiniai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mėgintuvėliai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DNR/RNR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04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DBC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7ED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2A56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FC3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5F3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9D8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74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Thermo Scientific, 500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reakc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pn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Q3284</w:t>
            </w:r>
          </w:p>
        </w:tc>
      </w:tr>
      <w:tr w:rsidR="000C002D" w:rsidRPr="000C002D" w14:paraId="108422E6" w14:textId="77777777" w:rsidTr="000C002D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B22990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5.3.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9547B6D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RNRkoncentracijos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fluorimetrijos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metodu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EA0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CC5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FFD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1.1980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A33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1.44958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522A5E6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851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1198.00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30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1449.58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FFE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-</w:t>
            </w:r>
          </w:p>
        </w:tc>
      </w:tr>
      <w:tr w:rsidR="000C002D" w:rsidRPr="000C002D" w14:paraId="4973CDDA" w14:textId="77777777" w:rsidTr="000C002D">
        <w:trPr>
          <w:trHeight w:val="28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83B8209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lastRenderedPageBreak/>
              <w:t>5.3.1.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5DF85AC0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RNRkoncentracijos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metodu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Pradinis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matuojamos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diapazonas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0,5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-1200 ng/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mkl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Rinkinį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sudaro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koncentruotas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reagentas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skiedimo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buferis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paruošti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standartai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naudojamo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tirpalo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turio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diapazonas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1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-20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mkl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Reagnetų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rinkinyje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pakankamas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kad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ištirti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500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Qubit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4. Su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pateikiami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0</w:t>
            </w:r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,5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mL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optiniai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mėgintuvėlia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DNR/RNR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5C8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8CA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B7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93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5FB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F40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6B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EDF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Thermo Scientific, 500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reakc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pn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Q10211</w:t>
            </w:r>
          </w:p>
        </w:tc>
      </w:tr>
      <w:tr w:rsidR="000C002D" w:rsidRPr="000C002D" w14:paraId="011A9C5A" w14:textId="77777777" w:rsidTr="000C002D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AAD10D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5.4.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5C6BF07B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mažos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fluorimetrijos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metodu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3F5799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C8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E68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1.2140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A92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1.46894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0FC84536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E39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1214.00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C97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1468.94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0C9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-</w:t>
            </w:r>
          </w:p>
        </w:tc>
      </w:tr>
      <w:tr w:rsidR="000C002D" w:rsidRPr="000C002D" w14:paraId="1CA04008" w14:textId="77777777" w:rsidTr="000C002D">
        <w:trPr>
          <w:trHeight w:val="3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4ECC73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5.4.1.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AA279DF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mažos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metodu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Pradinis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matuojamos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diapazonas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0,2-200 ng/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mkl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Rinkinį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sudaro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koncentruotas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reagentas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skiedimo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buferis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paruošti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standartai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naudojamo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tirpalo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turio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diapazonas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1-20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mkl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rinkinyje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pakankamas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kad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ištirti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500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Qubit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4 .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Su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pateikiami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0,5 mL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optiniai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mėgintuvėlia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DNR/RNR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219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DBC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E67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B2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C1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E2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9C7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73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Thermo Scientific, 500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reakc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pn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Q32855</w:t>
            </w:r>
          </w:p>
        </w:tc>
      </w:tr>
      <w:tr w:rsidR="000C002D" w:rsidRPr="000C002D" w14:paraId="12FB5A15" w14:textId="77777777" w:rsidTr="000C002D">
        <w:trPr>
          <w:trHeight w:val="8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AC53A16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5.5.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0B524D44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integralumo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kokybės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vertinimui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leidžiantis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nustatyti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degradavimo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laipsnį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D31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F0D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54D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3.2040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121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3.87684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11C81A4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D22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3204.00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3E5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3876.84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E0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-</w:t>
            </w:r>
          </w:p>
        </w:tc>
      </w:tr>
      <w:tr w:rsidR="000C002D" w:rsidRPr="000C002D" w14:paraId="2FA4F8E7" w14:textId="77777777" w:rsidTr="000C002D">
        <w:trPr>
          <w:trHeight w:val="45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FBB96F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lastRenderedPageBreak/>
              <w:t>5.5.1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6A9A880B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integralumo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kokybės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vertinimui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leidžiantis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nustatyti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degradavimo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laipsnį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sudėtyje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dviejų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tipų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dažai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vienas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besijungiantis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prie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didelių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intaktininių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arba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lsbai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strukturizuotų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(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mRNR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tRNR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rRNR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moleki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\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ulių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o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besijungaintis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prie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mažų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arba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degradavusiu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molekulių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Taip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pat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jame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yra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mažų</w:t>
            </w:r>
            <w:proofErr w:type="spellEnd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bei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didelių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arba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srukturuotų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molekulių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standartai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kurių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pakaka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kad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būtų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sugeneruota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kalibracinė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kreivė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500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tikslumas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išlieka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netgi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esant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tiriamos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tirpale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druskų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baltymų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tirpiklių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RNR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stabilizavimo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Paruošto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tirpalo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skleidžiamas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signalas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stabilus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trumpiau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nei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1 val.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Reagentu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rinkinyje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kiekis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pakankamas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kad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ištirti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250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Tinkamas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fluorimetru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Qubit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4. Su </w:t>
            </w:r>
            <w:proofErr w:type="spellStart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pateikiami</w:t>
            </w:r>
            <w:proofErr w:type="spellEnd"/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0,5 mL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optiniai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mėgintuvėliai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DNR/RNR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0EC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8B2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90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DC3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264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A58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BC5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E60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Thermo Scientific, 250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reakc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pn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Q33222</w:t>
            </w:r>
          </w:p>
        </w:tc>
      </w:tr>
      <w:tr w:rsidR="000C002D" w:rsidRPr="000C002D" w14:paraId="66D79A7E" w14:textId="77777777" w:rsidTr="000C002D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6ED7A66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5.6.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3F7D9C02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greitam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bei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paprastam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flurometro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Qubit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tinkamumo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dabui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įvertinimui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0D6C35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5099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F5E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2.8800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74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3.4848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7F83C62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533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2880.00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091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3484.80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F2D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-</w:t>
            </w:r>
          </w:p>
        </w:tc>
      </w:tr>
      <w:tr w:rsidR="000C002D" w:rsidRPr="000C002D" w14:paraId="7D37A0C1" w14:textId="77777777" w:rsidTr="000C002D">
        <w:trPr>
          <w:trHeight w:val="26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84EB2E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5.6.1.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7E334885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greitam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bei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paprastam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flurometro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Qubit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tinkamumo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įvertinimui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Rinkinį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sudaro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komponentai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kuriu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vienas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be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dažo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o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kiti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fluorescentiniais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dažais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skirtais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ivertinti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sužadinimo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(470 nm LED, 430-495 nm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bei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635 LED, 600-645 nm)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emisijos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(510-580 nm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bei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665-720 nm) 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filtrus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pakakti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atlikti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ne  50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tyrimų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Su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pateikiami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0</w:t>
            </w:r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,5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mL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optiniai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mėgintuvėliai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DNR/RNR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koncentracijos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matavimui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47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60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pak.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BD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43C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FF3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CDF9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4C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C55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Thermo Scientific, 50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reakc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pn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Q33237</w:t>
            </w:r>
          </w:p>
        </w:tc>
      </w:tr>
      <w:tr w:rsidR="000C002D" w:rsidRPr="000C002D" w14:paraId="7DE12293" w14:textId="77777777" w:rsidTr="000C002D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04D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DE1A" w14:textId="77777777" w:rsidR="000C002D" w:rsidRPr="000C002D" w:rsidRDefault="000C002D" w:rsidP="000C002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Bendra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5-os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pirkimo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dalies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pasiūlymo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kaina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884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D6F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E2D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60A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9FC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56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29944.00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EAB9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36232.24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A589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14:paraId="4B1A77A4" w14:textId="77777777" w:rsidR="000C002D" w:rsidRDefault="000C002D" w:rsidP="0083351E">
      <w:pPr>
        <w:rPr>
          <w:szCs w:val="24"/>
        </w:rPr>
      </w:pPr>
    </w:p>
    <w:p w14:paraId="28102199" w14:textId="77777777" w:rsidR="000C002D" w:rsidRDefault="000C002D" w:rsidP="0083351E">
      <w:pPr>
        <w:rPr>
          <w:szCs w:val="24"/>
        </w:rPr>
      </w:pPr>
      <w:bookmarkStart w:id="1" w:name="_GoBack"/>
      <w:bookmarkEnd w:id="1"/>
    </w:p>
    <w:tbl>
      <w:tblPr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134"/>
        <w:gridCol w:w="1417"/>
        <w:gridCol w:w="1701"/>
        <w:gridCol w:w="1660"/>
        <w:gridCol w:w="1033"/>
        <w:gridCol w:w="1134"/>
        <w:gridCol w:w="1134"/>
        <w:gridCol w:w="1418"/>
      </w:tblGrid>
      <w:tr w:rsidR="000C002D" w:rsidRPr="000C002D" w14:paraId="31513CBC" w14:textId="77777777" w:rsidTr="000C002D">
        <w:trPr>
          <w:trHeight w:val="345"/>
        </w:trPr>
        <w:tc>
          <w:tcPr>
            <w:tcW w:w="14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2" w:fill="DBE5F1"/>
            <w:vAlign w:val="center"/>
            <w:hideMark/>
          </w:tcPr>
          <w:p w14:paraId="6F33CD20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lastRenderedPageBreak/>
              <w:t xml:space="preserve">6. </w:t>
            </w:r>
            <w:proofErr w:type="spellStart"/>
            <w:proofErr w:type="gram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pirkimo</w:t>
            </w:r>
            <w:proofErr w:type="spellEnd"/>
            <w:proofErr w:type="gram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dalis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.</w:t>
            </w: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Rinkiniai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priemonės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SARS-CoV-2,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Gripo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A/B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 xml:space="preserve"> RSV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detekcijai</w:t>
            </w:r>
            <w:proofErr w:type="spellEnd"/>
          </w:p>
        </w:tc>
      </w:tr>
      <w:tr w:rsidR="000C002D" w:rsidRPr="000C002D" w14:paraId="06EE4F03" w14:textId="77777777" w:rsidTr="000C002D">
        <w:trPr>
          <w:trHeight w:val="705"/>
        </w:trPr>
        <w:tc>
          <w:tcPr>
            <w:tcW w:w="147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DD7EE" w:fill="C5D9F1"/>
            <w:hideMark/>
          </w:tcPr>
          <w:p w14:paraId="1493D8BC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APRAŠYMAS: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Rinkiniai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priemonės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skirti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SARS-CoV-2,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Gripo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A/B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RSV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detekcijai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Rinkiniai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priemonės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tikti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nuosavybės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teise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valdomam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plokšteliniam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tikralaikės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PRG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prietaisui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0C002D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QuantStudio</w:t>
            </w:r>
            <w:proofErr w:type="spellEnd"/>
            <w:r w:rsidRPr="000C002D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5 Real-Time PCR System</w:t>
            </w: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arba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kita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tiekėjo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pasiūlyta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panaudos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būdų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lygiaverte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įranga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Pasiūlymą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teikti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visai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pirkimo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daliai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0C002D" w:rsidRPr="000C002D" w14:paraId="455D6AD9" w14:textId="77777777" w:rsidTr="000C002D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7F59C7B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Pirkimo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objekto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dalies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Nr.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3250402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eksploatacinių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medžiagų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pavadinimai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4BB8FAB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Maksimalus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skaičius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1278332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ekspoloatacinių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medžiagų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kiekis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(µl/ml/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vnt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.)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maksimaliam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skaičiui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28500B4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ekspoloatacinių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medžiagų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reikalingų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vienam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(1)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tyrimui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atlikti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kaina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, EUR be PVM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21CCA88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Reagentų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ekspoloatacinių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medžiagų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reikalingų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vienam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(1)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tyrimui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atlikti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kaina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EUR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PVM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436972A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PVM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tarifas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3F60019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Suma, EUR be PVM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F2F2" w:fill="FFF8A3"/>
            <w:vAlign w:val="center"/>
            <w:hideMark/>
          </w:tcPr>
          <w:p w14:paraId="612A4CB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Suma, EUR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PVM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2F2F2" w:fill="FFF8A3"/>
            <w:vAlign w:val="center"/>
            <w:hideMark/>
          </w:tcPr>
          <w:p w14:paraId="2ECE8F5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Gamintojas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siūloma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pakuotė</w:t>
            </w:r>
            <w:proofErr w:type="spellEnd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pastabos</w:t>
            </w:r>
            <w:proofErr w:type="spellEnd"/>
          </w:p>
        </w:tc>
      </w:tr>
      <w:tr w:rsidR="000C002D" w:rsidRPr="000C002D" w14:paraId="2A404DFE" w14:textId="77777777" w:rsidTr="000C002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2BD8DECD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hideMark/>
          </w:tcPr>
          <w:p w14:paraId="39E81B64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Rinkiniai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priemonės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SARS-CoV-2,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Gripo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A/B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RSV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detekcijai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186F98A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0C4029E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1493E6E6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090DBB9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6EE1F52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6D87CC6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C5D9F1"/>
            <w:noWrap/>
            <w:vAlign w:val="center"/>
            <w:hideMark/>
          </w:tcPr>
          <w:p w14:paraId="0DBABFB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BDD7EE" w:fill="C5D9F1"/>
            <w:noWrap/>
            <w:vAlign w:val="center"/>
            <w:hideMark/>
          </w:tcPr>
          <w:p w14:paraId="505A10B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0C002D" w:rsidRPr="000C002D" w14:paraId="1318A5CE" w14:textId="77777777" w:rsidTr="000C002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2F2F2"/>
            <w:noWrap/>
            <w:vAlign w:val="center"/>
            <w:hideMark/>
          </w:tcPr>
          <w:p w14:paraId="7FFCD95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6.1.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2F2F2"/>
            <w:hideMark/>
          </w:tcPr>
          <w:p w14:paraId="222BF206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kokybiniam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SARS-CoV-2,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Gripo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A/B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RSV RNR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mėginiuose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iš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virštutinių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kvėpavimo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takų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2F2F2"/>
            <w:noWrap/>
            <w:vAlign w:val="center"/>
            <w:hideMark/>
          </w:tcPr>
          <w:p w14:paraId="0AF081D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98CF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066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15.00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905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18.15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3D94320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F1C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150000.00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5FF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181500.00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39C1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-</w:t>
            </w:r>
          </w:p>
        </w:tc>
      </w:tr>
      <w:tr w:rsidR="000C002D" w:rsidRPr="000C002D" w14:paraId="09FA9BB2" w14:textId="77777777" w:rsidTr="000C002D">
        <w:trPr>
          <w:trHeight w:val="4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39D9C3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6.1.1.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hideMark/>
          </w:tcPr>
          <w:p w14:paraId="407DBACC" w14:textId="77777777" w:rsidR="000C002D" w:rsidRPr="000C002D" w:rsidRDefault="000C002D" w:rsidP="000C002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skirtas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kokybiniam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SARS-CoV-2,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Gripo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A/B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RSV RNR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mėginiuose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iš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virštutinių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kvėpavimo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takų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SARS-CoV-2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nustatymui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naudojami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taikiniai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(N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genas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genas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).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sudėtyje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visi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reikalingi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komp</w:t>
            </w:r>
            <w:r w:rsidRPr="000C002D">
              <w:rPr>
                <w:rFonts w:eastAsia="Times New Roman"/>
                <w:sz w:val="18"/>
                <w:szCs w:val="18"/>
                <w:lang w:val="en-US"/>
              </w:rPr>
              <w:t>onentai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tyrimui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atlikti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įskaitant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teigiamą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vidinę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(MS2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fago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RNR)</w:t>
            </w: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kontroles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Taikinių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detekcija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vykdoma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4-iuose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optiniuose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kanaluose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Rinkinys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validuotas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darbui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Applied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Biosystems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QuantStudio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5 Real</w:t>
            </w:r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noBreakHyphen/>
              <w:t xml:space="preserve">Time PCR System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įranga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Amplikoninės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taršos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prevencijai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naudojama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rekacijos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mišinio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sudėtyje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esantys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Uracil DNR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glikozilazė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dUTP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Rezultatai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interpetuojami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automatiškai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specialios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programinės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įrangos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pagalba.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Analitinis</w:t>
            </w:r>
            <w:proofErr w:type="spell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jautrumas</w:t>
            </w:r>
            <w:proofErr w:type="spellEnd"/>
            <w:proofErr w:type="gramStart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t>:</w:t>
            </w:r>
            <w:proofErr w:type="gramEnd"/>
            <w:r w:rsidRPr="000C002D">
              <w:rPr>
                <w:rFonts w:eastAsia="Times New Roman"/>
                <w:color w:val="000000"/>
                <w:sz w:val="18"/>
                <w:szCs w:val="18"/>
                <w:lang w:val="en-US"/>
              </w:rPr>
              <w:br/>
            </w:r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1. SARS-CoV-2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atveju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50 GCE/mL;</w:t>
            </w:r>
            <w:r w:rsidRPr="000C002D">
              <w:rPr>
                <w:rFonts w:eastAsia="Times New Roman"/>
                <w:sz w:val="18"/>
                <w:szCs w:val="18"/>
                <w:lang w:val="en-US"/>
              </w:rPr>
              <w:br/>
              <w:t xml:space="preserve">2.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Gripo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atveju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 400 GCE/mL;</w:t>
            </w:r>
            <w:r w:rsidRPr="000C002D">
              <w:rPr>
                <w:rFonts w:eastAsia="Times New Roman"/>
                <w:sz w:val="18"/>
                <w:szCs w:val="18"/>
                <w:lang w:val="en-US"/>
              </w:rPr>
              <w:br/>
              <w:t xml:space="preserve">3.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Gripo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B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atveju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 350 GCE/mL;</w:t>
            </w:r>
            <w:r w:rsidRPr="000C002D">
              <w:rPr>
                <w:rFonts w:eastAsia="Times New Roman"/>
                <w:sz w:val="18"/>
                <w:szCs w:val="18"/>
                <w:lang w:val="en-US"/>
              </w:rPr>
              <w:br/>
              <w:t xml:space="preserve">4. RSV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atveju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200 GCE/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mL.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br/>
              <w:t xml:space="preserve">Su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rinkiniu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turi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būti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pateiktos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visos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tyrimo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atlikimui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reikalingos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sz w:val="18"/>
                <w:szCs w:val="18"/>
                <w:lang w:val="en-US"/>
              </w:rPr>
              <w:t>priemonės</w:t>
            </w:r>
            <w:proofErr w:type="spellEnd"/>
            <w:r w:rsidRPr="000C002D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2740A6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4F7C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pak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0184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0B0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0E56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E571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E9E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2093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Thermo Scientific, 1000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reakc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pn</w:t>
            </w:r>
            <w:proofErr w:type="spellEnd"/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 xml:space="preserve"> A49867</w:t>
            </w:r>
          </w:p>
        </w:tc>
      </w:tr>
      <w:tr w:rsidR="000C002D" w:rsidRPr="000C002D" w14:paraId="32DAB82F" w14:textId="77777777" w:rsidTr="000C002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AB8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CFF5" w14:textId="77777777" w:rsidR="000C002D" w:rsidRPr="000C002D" w:rsidRDefault="000C002D" w:rsidP="000C002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Bendra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5-os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pirkimo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dalies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pasiūlymo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kaina</w:t>
            </w:r>
            <w:proofErr w:type="spellEnd"/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C98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7D5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3928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9E3A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0A17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C0F0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150000.00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93F2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i/>
                <w:iCs/>
                <w:sz w:val="18"/>
                <w:szCs w:val="18"/>
                <w:lang w:val="en-US"/>
              </w:rPr>
              <w:t>181500.00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A62B" w14:textId="77777777" w:rsidR="000C002D" w:rsidRPr="000C002D" w:rsidRDefault="000C002D" w:rsidP="000C00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002D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14:paraId="3CE474F6" w14:textId="77777777" w:rsidR="000C002D" w:rsidRPr="005A18AE" w:rsidRDefault="000C002D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C226A3" w:rsidRPr="005A18AE" w14:paraId="0A0A1887" w14:textId="77777777" w:rsidTr="00B24189">
        <w:trPr>
          <w:cantSplit/>
        </w:trPr>
        <w:tc>
          <w:tcPr>
            <w:tcW w:w="6237" w:type="dxa"/>
          </w:tcPr>
          <w:p w14:paraId="3720C57A" w14:textId="17CC64A3" w:rsidR="00C226A3" w:rsidRPr="005A18AE" w:rsidRDefault="00C226A3" w:rsidP="00C226A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kern w:val="2"/>
                <w:szCs w:val="24"/>
                <w14:ligatures w14:val="standardContextual"/>
              </w:rPr>
              <w:t>Pardavėjas</w:t>
            </w:r>
          </w:p>
        </w:tc>
        <w:tc>
          <w:tcPr>
            <w:tcW w:w="5245" w:type="dxa"/>
          </w:tcPr>
          <w:p w14:paraId="7F44B614" w14:textId="2BE91984" w:rsidR="00C226A3" w:rsidRPr="005A18AE" w:rsidRDefault="00C226A3" w:rsidP="00C226A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kern w:val="2"/>
                <w:szCs w:val="24"/>
                <w14:ligatures w14:val="standardContextual"/>
              </w:rPr>
              <w:t>Pirkėjas</w:t>
            </w:r>
          </w:p>
        </w:tc>
      </w:tr>
      <w:tr w:rsidR="00C226A3" w:rsidRPr="005A18AE" w14:paraId="5D466F84" w14:textId="77777777" w:rsidTr="00B24189">
        <w:trPr>
          <w:cantSplit/>
        </w:trPr>
        <w:tc>
          <w:tcPr>
            <w:tcW w:w="6237" w:type="dxa"/>
            <w:vAlign w:val="bottom"/>
          </w:tcPr>
          <w:p w14:paraId="0617BEEA" w14:textId="77777777" w:rsidR="00C226A3" w:rsidRDefault="00C226A3" w:rsidP="00C226A3">
            <w:pPr>
              <w:spacing w:after="0" w:line="240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UAB „Linea libera“</w:t>
            </w:r>
          </w:p>
          <w:p w14:paraId="405B9EE0" w14:textId="2884B4C5" w:rsidR="00C226A3" w:rsidRPr="005A18AE" w:rsidRDefault="00C226A3" w:rsidP="00C226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</w:tcPr>
          <w:p w14:paraId="23D7F018" w14:textId="77777777" w:rsidR="00C226A3" w:rsidRDefault="00C226A3" w:rsidP="00C226A3">
            <w:pPr>
              <w:spacing w:after="0" w:line="240" w:lineRule="auto"/>
              <w:rPr>
                <w:b/>
                <w:kern w:val="2"/>
                <w:szCs w:val="24"/>
                <w14:ligatures w14:val="standardContextual"/>
              </w:rPr>
            </w:pPr>
          </w:p>
          <w:p w14:paraId="6DE74B73" w14:textId="2E228078" w:rsidR="00C226A3" w:rsidRPr="005A18AE" w:rsidRDefault="00C226A3" w:rsidP="00C226A3">
            <w:pPr>
              <w:spacing w:after="0" w:line="240" w:lineRule="auto"/>
              <w:rPr>
                <w:b/>
                <w:szCs w:val="24"/>
              </w:rPr>
            </w:pPr>
            <w:r>
              <w:rPr>
                <w:kern w:val="2"/>
                <w:szCs w:val="24"/>
                <w14:ligatures w14:val="standardContextual"/>
              </w:rPr>
              <w:t>Nacionalinė visuomenės sveikatos priežiūros laboratorija</w:t>
            </w:r>
          </w:p>
        </w:tc>
      </w:tr>
      <w:tr w:rsidR="00C226A3" w:rsidRPr="005A18AE" w14:paraId="3D739F69" w14:textId="77777777" w:rsidTr="00727469">
        <w:trPr>
          <w:cantSplit/>
        </w:trPr>
        <w:tc>
          <w:tcPr>
            <w:tcW w:w="6237" w:type="dxa"/>
          </w:tcPr>
          <w:p w14:paraId="7CA73476" w14:textId="77777777" w:rsidR="00C226A3" w:rsidRDefault="00C226A3" w:rsidP="00C226A3">
            <w:pPr>
              <w:spacing w:after="0" w:line="240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Direktorė</w:t>
            </w:r>
          </w:p>
          <w:p w14:paraId="7230F4CA" w14:textId="35948DE7" w:rsidR="00C226A3" w:rsidRPr="005A18AE" w:rsidRDefault="00C226A3" w:rsidP="00C226A3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kern w:val="2"/>
                <w:szCs w:val="24"/>
                <w14:ligatures w14:val="standardContextual"/>
              </w:rPr>
              <w:t>Agnė Raslanė</w:t>
            </w:r>
          </w:p>
        </w:tc>
        <w:tc>
          <w:tcPr>
            <w:tcW w:w="5245" w:type="dxa"/>
          </w:tcPr>
          <w:p w14:paraId="1F149449" w14:textId="11868DE1" w:rsidR="00C226A3" w:rsidRDefault="00C226A3" w:rsidP="00C226A3">
            <w:pPr>
              <w:spacing w:after="0" w:line="240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Cheminių tyrimų skyriaus vedėja,</w:t>
            </w:r>
          </w:p>
          <w:p w14:paraId="7389854A" w14:textId="77777777" w:rsidR="00C226A3" w:rsidRDefault="00C226A3" w:rsidP="00C226A3">
            <w:pPr>
              <w:spacing w:after="0" w:line="240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laikinai vykdanti direktoriaus funkcijas</w:t>
            </w:r>
          </w:p>
          <w:p w14:paraId="5B2BE16B" w14:textId="3422BEDF" w:rsidR="00C226A3" w:rsidRPr="005A18AE" w:rsidRDefault="00C226A3" w:rsidP="00C226A3">
            <w:pPr>
              <w:spacing w:after="0" w:line="240" w:lineRule="auto"/>
              <w:rPr>
                <w:b/>
                <w:sz w:val="12"/>
                <w:szCs w:val="12"/>
              </w:rPr>
            </w:pPr>
            <w:r>
              <w:rPr>
                <w:bCs/>
                <w:kern w:val="2"/>
                <w:szCs w:val="24"/>
                <w14:ligatures w14:val="standardContextual"/>
              </w:rPr>
              <w:t>Toma Petrulionienė</w:t>
            </w:r>
          </w:p>
        </w:tc>
      </w:tr>
      <w:tr w:rsidR="00C226A3" w:rsidRPr="005A18AE" w14:paraId="4CCB6CF2" w14:textId="77777777" w:rsidTr="00727469">
        <w:trPr>
          <w:cantSplit/>
        </w:trPr>
        <w:tc>
          <w:tcPr>
            <w:tcW w:w="6237" w:type="dxa"/>
          </w:tcPr>
          <w:p w14:paraId="7E4B3269" w14:textId="77777777" w:rsidR="00C226A3" w:rsidRDefault="00C226A3" w:rsidP="00C226A3">
            <w:pPr>
              <w:spacing w:after="0" w:line="240" w:lineRule="auto"/>
              <w:rPr>
                <w:kern w:val="2"/>
                <w:szCs w:val="24"/>
                <w14:ligatures w14:val="standardContextual"/>
              </w:rPr>
            </w:pPr>
          </w:p>
          <w:p w14:paraId="25D9DACF" w14:textId="77777777" w:rsidR="00C226A3" w:rsidRDefault="00C226A3" w:rsidP="00C226A3">
            <w:pPr>
              <w:spacing w:after="0" w:line="240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Parašas</w:t>
            </w:r>
            <w:r>
              <w:rPr>
                <w:kern w:val="2"/>
                <w:szCs w:val="24"/>
                <w14:ligatures w14:val="standardContextual"/>
              </w:rPr>
              <w:tab/>
              <w:t>______________________</w:t>
            </w:r>
          </w:p>
          <w:p w14:paraId="7036A935" w14:textId="31AC09FF" w:rsidR="00C226A3" w:rsidRPr="005A18AE" w:rsidRDefault="00C226A3" w:rsidP="00C226A3">
            <w:pPr>
              <w:spacing w:after="0" w:line="240" w:lineRule="auto"/>
              <w:rPr>
                <w:szCs w:val="24"/>
              </w:rPr>
            </w:pPr>
            <w:r>
              <w:rPr>
                <w:kern w:val="2"/>
                <w:szCs w:val="24"/>
                <w14:ligatures w14:val="standardContextual"/>
              </w:rPr>
              <w:t>A.V.</w:t>
            </w:r>
          </w:p>
        </w:tc>
        <w:tc>
          <w:tcPr>
            <w:tcW w:w="5245" w:type="dxa"/>
          </w:tcPr>
          <w:p w14:paraId="30084A76" w14:textId="77777777" w:rsidR="00C226A3" w:rsidRDefault="00C226A3" w:rsidP="00C226A3">
            <w:pPr>
              <w:spacing w:after="0" w:line="240" w:lineRule="auto"/>
              <w:rPr>
                <w:kern w:val="2"/>
                <w:szCs w:val="24"/>
                <w14:ligatures w14:val="standardContextual"/>
              </w:rPr>
            </w:pPr>
          </w:p>
          <w:p w14:paraId="491D6E01" w14:textId="77777777" w:rsidR="00C226A3" w:rsidRDefault="00C226A3" w:rsidP="00C226A3">
            <w:pPr>
              <w:spacing w:after="0" w:line="240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Parašas</w:t>
            </w:r>
            <w:r>
              <w:rPr>
                <w:kern w:val="2"/>
                <w:szCs w:val="24"/>
                <w14:ligatures w14:val="standardContextual"/>
              </w:rPr>
              <w:tab/>
              <w:t>______________________</w:t>
            </w:r>
          </w:p>
          <w:p w14:paraId="18388ECF" w14:textId="0911EDBD" w:rsidR="00C226A3" w:rsidRPr="005A18AE" w:rsidRDefault="00C226A3" w:rsidP="00C226A3">
            <w:pPr>
              <w:spacing w:after="0" w:line="240" w:lineRule="auto"/>
              <w:rPr>
                <w:b/>
                <w:szCs w:val="24"/>
              </w:rPr>
            </w:pPr>
            <w:r>
              <w:rPr>
                <w:kern w:val="2"/>
                <w:szCs w:val="24"/>
                <w14:ligatures w14:val="standardContextual"/>
              </w:rPr>
              <w:t>A.V.</w:t>
            </w:r>
          </w:p>
        </w:tc>
      </w:tr>
      <w:tr w:rsidR="00C226A3" w:rsidRPr="005A18AE" w14:paraId="6427A958" w14:textId="77777777" w:rsidTr="00B24189">
        <w:trPr>
          <w:trHeight w:val="255"/>
        </w:trPr>
        <w:tc>
          <w:tcPr>
            <w:tcW w:w="6237" w:type="dxa"/>
          </w:tcPr>
          <w:p w14:paraId="54A27EE5" w14:textId="46F8123C" w:rsidR="00C226A3" w:rsidRPr="005A18AE" w:rsidRDefault="00C226A3" w:rsidP="00C226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noWrap/>
          </w:tcPr>
          <w:p w14:paraId="543A85B1" w14:textId="12DD1840" w:rsidR="00C226A3" w:rsidRPr="005A18AE" w:rsidRDefault="00C226A3" w:rsidP="00C226A3">
            <w:pPr>
              <w:spacing w:after="0" w:line="240" w:lineRule="auto"/>
              <w:rPr>
                <w:szCs w:val="24"/>
              </w:rPr>
            </w:pPr>
          </w:p>
        </w:tc>
      </w:tr>
      <w:tr w:rsidR="00C226A3" w:rsidRPr="005A18AE" w14:paraId="5D1E3510" w14:textId="77777777" w:rsidTr="00727469">
        <w:trPr>
          <w:trHeight w:val="255"/>
        </w:trPr>
        <w:tc>
          <w:tcPr>
            <w:tcW w:w="6237" w:type="dxa"/>
            <w:vAlign w:val="bottom"/>
          </w:tcPr>
          <w:p w14:paraId="58073182" w14:textId="740C43B3" w:rsidR="00C226A3" w:rsidRPr="005A18AE" w:rsidRDefault="00C226A3" w:rsidP="00C226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noWrap/>
          </w:tcPr>
          <w:p w14:paraId="4229EAB7" w14:textId="35E07079" w:rsidR="00C226A3" w:rsidRPr="005A18AE" w:rsidRDefault="00C226A3" w:rsidP="00C226A3">
            <w:pPr>
              <w:spacing w:after="0" w:line="240" w:lineRule="auto"/>
              <w:rPr>
                <w:szCs w:val="24"/>
              </w:rPr>
            </w:pPr>
          </w:p>
        </w:tc>
      </w:tr>
    </w:tbl>
    <w:p w14:paraId="7E548316" w14:textId="77777777" w:rsidR="00804EA6" w:rsidRDefault="00804EA6" w:rsidP="003B3DB3"/>
    <w:sectPr w:rsidR="00804EA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E"/>
    <w:rsid w:val="000115CB"/>
    <w:rsid w:val="000A491E"/>
    <w:rsid w:val="000B4F7D"/>
    <w:rsid w:val="000C002D"/>
    <w:rsid w:val="00102B81"/>
    <w:rsid w:val="00164C43"/>
    <w:rsid w:val="002164E9"/>
    <w:rsid w:val="0023710E"/>
    <w:rsid w:val="002B6C8B"/>
    <w:rsid w:val="002C38A0"/>
    <w:rsid w:val="00341301"/>
    <w:rsid w:val="00345D94"/>
    <w:rsid w:val="00373D1D"/>
    <w:rsid w:val="003B3DB3"/>
    <w:rsid w:val="0043164A"/>
    <w:rsid w:val="005600C3"/>
    <w:rsid w:val="006328E3"/>
    <w:rsid w:val="006E0633"/>
    <w:rsid w:val="00804EA6"/>
    <w:rsid w:val="0083351E"/>
    <w:rsid w:val="009A3565"/>
    <w:rsid w:val="00A40465"/>
    <w:rsid w:val="00B567EC"/>
    <w:rsid w:val="00C031EC"/>
    <w:rsid w:val="00C04C16"/>
    <w:rsid w:val="00C226A3"/>
    <w:rsid w:val="00C433BE"/>
    <w:rsid w:val="00C454B4"/>
    <w:rsid w:val="00D753DC"/>
    <w:rsid w:val="00EC7784"/>
    <w:rsid w:val="00ED2AA2"/>
    <w:rsid w:val="00ED553C"/>
    <w:rsid w:val="00F1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Neringa Masionienė</cp:lastModifiedBy>
  <cp:revision>22</cp:revision>
  <dcterms:created xsi:type="dcterms:W3CDTF">2024-04-11T04:27:00Z</dcterms:created>
  <dcterms:modified xsi:type="dcterms:W3CDTF">2026-01-19T12:39:00Z</dcterms:modified>
</cp:coreProperties>
</file>