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BFE" w:rsidRDefault="005C4F57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</w:rPr>
      </w:pPr>
      <w:bookmarkStart w:id="0" w:name="page1"/>
      <w:bookmarkStart w:id="1" w:name="_GoBack"/>
      <w:bookmarkEnd w:id="1"/>
      <w:r>
        <w:rPr>
          <w:noProof/>
          <w:lang w:val="lt-LT" w:eastAsia="lt-L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-1891665</wp:posOffset>
            </wp:positionH>
            <wp:positionV relativeFrom="page">
              <wp:posOffset>-35560</wp:posOffset>
            </wp:positionV>
            <wp:extent cx="7557770" cy="10681335"/>
            <wp:effectExtent l="0" t="0" r="0" b="5715"/>
            <wp:wrapNone/>
            <wp:docPr id="1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770" cy="10681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3BD">
        <w:rPr>
          <w:rFonts w:ascii="Arial" w:hAnsi="Arial" w:cs="Arial"/>
          <w:sz w:val="44"/>
          <w:szCs w:val="44"/>
          <w:lang w:val="lt-LT"/>
        </w:rPr>
        <w:t>GIEMSA TIRPALAS</w:t>
      </w:r>
    </w:p>
    <w:bookmarkEnd w:id="0"/>
    <w:p w:rsidR="00E04BFE" w:rsidRDefault="00E04BFE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9"/>
        <w:gridCol w:w="3434"/>
        <w:gridCol w:w="34"/>
      </w:tblGrid>
      <w:tr w:rsidR="00E04BFE" w:rsidRPr="0059313B">
        <w:trPr>
          <w:trHeight w:val="159"/>
        </w:trPr>
        <w:tc>
          <w:tcPr>
            <w:tcW w:w="71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4BFE" w:rsidRDefault="002423BD">
            <w:pPr>
              <w:widowControl w:val="0"/>
              <w:autoSpaceDE w:val="0"/>
              <w:autoSpaceDN w:val="0"/>
              <w:adjustRightInd w:val="0"/>
              <w:spacing w:after="0" w:line="140" w:lineRule="exact"/>
              <w:ind w:left="8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w w:val="97"/>
                <w:sz w:val="14"/>
                <w:szCs w:val="14"/>
                <w:lang w:val="lt-LT"/>
              </w:rPr>
              <w:t>IVD</w:t>
            </w:r>
          </w:p>
        </w:tc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BFE" w:rsidRDefault="002423BD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w w:val="97"/>
                <w:sz w:val="14"/>
                <w:szCs w:val="14"/>
                <w:lang w:val="lt-LT"/>
              </w:rPr>
              <w:t>In vitro diagnostinis medicininis prietaisas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BFE" w:rsidRPr="0059313B" w:rsidRDefault="00E0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04BFE" w:rsidRPr="0059313B">
        <w:trPr>
          <w:trHeight w:val="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04BFE" w:rsidRPr="0059313B" w:rsidRDefault="00E0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BFE" w:rsidRPr="0059313B" w:rsidRDefault="00E0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BFE" w:rsidRPr="0059313B" w:rsidRDefault="00E04BFE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04BFE" w:rsidRPr="0059313B">
        <w:trPr>
          <w:trHeight w:val="133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04BFE" w:rsidRPr="0059313B" w:rsidRDefault="00E0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BFE" w:rsidRPr="0059313B" w:rsidRDefault="00E0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BFE" w:rsidRPr="0059313B" w:rsidRDefault="00E0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E04BFE" w:rsidRDefault="002423BD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  <w:lang w:val="lt-LT"/>
        </w:rPr>
        <w:t>Polichromatinio eozino, metileno mėlio ir žydrų dažomųjų medžiagų tirpalas</w:t>
      </w:r>
    </w:p>
    <w:p w:rsidR="00E04BFE" w:rsidRDefault="00E04BFE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/>
          <w:sz w:val="24"/>
          <w:szCs w:val="24"/>
        </w:rPr>
      </w:pPr>
    </w:p>
    <w:p w:rsidR="00E04BFE" w:rsidRDefault="002423BD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  <w:lang w:val="lt-LT"/>
        </w:rPr>
        <w:t>Naudojamas dažymui hematologinių, citologinių tyrimų metu ir kraujodaros organų segmentų dažymui histopatologinių tyrimų metu</w:t>
      </w:r>
    </w:p>
    <w:p w:rsidR="00E04BFE" w:rsidRDefault="00E04BFE">
      <w:pPr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/>
          <w:sz w:val="24"/>
          <w:szCs w:val="24"/>
        </w:rPr>
      </w:pPr>
    </w:p>
    <w:p w:rsidR="00E04BFE" w:rsidRDefault="002423BD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lt-LT"/>
        </w:rPr>
        <w:t>NAUDOJIMO INSTRUKCIJA</w:t>
      </w:r>
    </w:p>
    <w:p w:rsidR="00E04BFE" w:rsidRDefault="00E04BFE">
      <w:pPr>
        <w:widowControl w:val="0"/>
        <w:autoSpaceDE w:val="0"/>
        <w:autoSpaceDN w:val="0"/>
        <w:adjustRightInd w:val="0"/>
        <w:spacing w:after="0" w:line="55" w:lineRule="exact"/>
        <w:rPr>
          <w:rFonts w:ascii="Arial" w:hAnsi="Arial" w:cs="Arial"/>
          <w:sz w:val="14"/>
          <w:szCs w:val="14"/>
        </w:rPr>
      </w:pPr>
    </w:p>
    <w:p w:rsidR="00E04BFE" w:rsidRDefault="002423BD">
      <w:pPr>
        <w:widowControl w:val="0"/>
        <w:tabs>
          <w:tab w:val="left" w:pos="1480"/>
          <w:tab w:val="left" w:pos="3040"/>
          <w:tab w:val="left" w:pos="4840"/>
          <w:tab w:val="left" w:pos="6640"/>
          <w:tab w:val="left" w:pos="8460"/>
        </w:tabs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sz w:val="14"/>
          <w:szCs w:val="14"/>
        </w:rPr>
      </w:pPr>
      <w:smartTag w:uri="urn:schemas-microsoft-com:office:smarttags" w:element="stockticker">
        <w:r>
          <w:rPr>
            <w:rFonts w:ascii="Arial" w:hAnsi="Arial" w:cs="Arial"/>
            <w:sz w:val="14"/>
            <w:szCs w:val="14"/>
            <w:lang w:val="lt-LT"/>
          </w:rPr>
          <w:t>REF</w:t>
        </w:r>
      </w:smartTag>
      <w:r>
        <w:rPr>
          <w:rFonts w:ascii="Arial" w:hAnsi="Arial" w:cs="Arial"/>
          <w:sz w:val="14"/>
          <w:szCs w:val="14"/>
          <w:lang w:val="lt-LT"/>
        </w:rPr>
        <w:t xml:space="preserve">   Gaminio kodas: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  <w:lang w:val="lt-LT"/>
        </w:rPr>
        <w:t>GM-OT-100 (100mL)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  <w:lang w:val="lt-LT"/>
        </w:rPr>
        <w:t>GM-OT-110 (10x100mL)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  <w:lang w:val="lt-LT"/>
        </w:rPr>
        <w:t>GM-OT-500 (500mL)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  <w:lang w:val="lt-LT"/>
        </w:rPr>
        <w:t>GM-OT-1L (1000mL)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  <w:lang w:val="lt-LT"/>
        </w:rPr>
        <w:t>GM-OT-2.5L (2500 mL)</w:t>
      </w:r>
    </w:p>
    <w:p w:rsidR="00E04BFE" w:rsidRDefault="00E04BFE">
      <w:pPr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/>
          <w:sz w:val="24"/>
          <w:szCs w:val="24"/>
        </w:rPr>
      </w:pPr>
    </w:p>
    <w:p w:rsidR="00E04BFE" w:rsidRDefault="002423BD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  <w:lang w:val="lt-LT"/>
        </w:rPr>
        <w:t>Įvadas</w:t>
      </w:r>
    </w:p>
    <w:p w:rsidR="00E04BFE" w:rsidRDefault="00E04BFE">
      <w:pPr>
        <w:widowControl w:val="0"/>
        <w:autoSpaceDE w:val="0"/>
        <w:autoSpaceDN w:val="0"/>
        <w:adjustRightInd w:val="0"/>
        <w:spacing w:after="0" w:line="148" w:lineRule="exact"/>
        <w:rPr>
          <w:rFonts w:ascii="Times New Roman" w:hAnsi="Times New Roman"/>
          <w:sz w:val="24"/>
          <w:szCs w:val="24"/>
        </w:rPr>
      </w:pPr>
    </w:p>
    <w:p w:rsidR="00E04BFE" w:rsidRDefault="002423BD">
      <w:pPr>
        <w:widowControl w:val="0"/>
        <w:overflowPunct w:val="0"/>
        <w:autoSpaceDE w:val="0"/>
        <w:autoSpaceDN w:val="0"/>
        <w:adjustRightInd w:val="0"/>
        <w:spacing w:after="0" w:line="280" w:lineRule="auto"/>
        <w:ind w:left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lt-LT"/>
        </w:rPr>
        <w:t>Polichromatiniai Romanowsky dažai yra standartiniai dažai, naudojami hematologinių kraujo tepinėlių ir kaulų čiulpų dažymui.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lt-LT"/>
        </w:rPr>
        <w:t>Įvairių rūšių Romanowsky dažomosios medžiagos (Giemsa, May-Gruenwald, Leishman, Wright, Jenner ir kt.) savo sudėtyje skirtingu santykiu turi metileno mėlio, veikiančio kaip katijonas, (ir su reagentu susijusios tiazino dažomosios medžiagos, pvz., „Azure B“) ir „Eosin Y“, veikiančio kaip anijonas.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lt-LT"/>
        </w:rPr>
        <w:t>Katijonų ir anijonų komponentų sąveika sukelia žinomą Romanowsky poveikį, kuris neįmanomas, jei kiekvienas komponentas naudojamas atskirai.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lt-LT"/>
        </w:rPr>
        <w:t>Violetinė spalva žymi poveikį.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lt-LT"/>
        </w:rPr>
        <w:t>Dažymo intensyvumas priklauso nuo „Azure B“ turinio bei „Azure B“ ir „Eosin Y“ santykio, tuo tarpu keli kiti veiksniai lemia dažymo rezultatą: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lt-LT"/>
        </w:rPr>
        <w:t>darbinio tirpalo pH vertė, paruošimo metodo ir dažomųjų medžiagų veikimo trukmės.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lt-LT"/>
        </w:rPr>
        <w:t>„BioGnost“ Giemsa tirpalas naudojamas limfocitų, monocitų, granulocitų (neutrofilų, eozinofilų, bazofilų), trombocitų ir eritrocitų branduolio ir (arba) citoplazmos atskyrimui.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lt-LT"/>
        </w:rPr>
        <w:t>Yra daugybė Giemsa tirpalo naudojimo būdų. Vienas dažniausiai naudojamų – vadinamasis Pappenheim metodas.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lt-LT"/>
        </w:rPr>
        <w:t>Šis metodas iš esmės yra May-Gruenwald Giemsa metodas, sujungtas su May-Gruenwald tirpalu, dažančiu citologines medžiagas (periferinio kraujo tepinėlius, cito- diagnostinės aspiracinės punkcijos metu paimtus audinius, išmatų ir išskyrų ląsteles) arba kraujodaros organų segmentus.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lt-LT"/>
        </w:rPr>
        <w:t>Kartu su Pappenheim metodu Giemsa tirpalas dažnai naudojamas citogenetikoje chromosominių aberacijų aptikimui.</w:t>
      </w:r>
    </w:p>
    <w:p w:rsidR="00E04BFE" w:rsidRDefault="00E04BFE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4"/>
          <w:szCs w:val="24"/>
        </w:rPr>
      </w:pPr>
    </w:p>
    <w:p w:rsidR="00E04BFE" w:rsidRDefault="002423BD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  <w:lang w:val="lt-LT"/>
        </w:rPr>
        <w:t>Gaminio aprašymas</w:t>
      </w:r>
    </w:p>
    <w:p w:rsidR="00E04BFE" w:rsidRDefault="002423B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lt-LT"/>
        </w:rPr>
        <w:t xml:space="preserve">GIEMSA TIRPALAS </w:t>
      </w:r>
      <w:r>
        <w:rPr>
          <w:rFonts w:ascii="Arial" w:hAnsi="Arial" w:cs="Arial"/>
          <w:sz w:val="16"/>
          <w:szCs w:val="16"/>
          <w:lang w:val="lt-LT"/>
        </w:rPr>
        <w:t>– eozino, metileno mėlio ir žydrų dažomųjų medžiagų tirpalas, sumaišytas su etanoliu ir gliceroliu bei stabilizatoriais.</w:t>
      </w:r>
    </w:p>
    <w:p w:rsidR="00E04BFE" w:rsidRPr="00B35814" w:rsidRDefault="00E04B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04BFE" w:rsidRDefault="002423BD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lt-LT"/>
        </w:rPr>
        <w:t>Kiti produktai ir reagentai, kurie gali būti naudojami dažant</w:t>
      </w:r>
    </w:p>
    <w:p w:rsidR="00E04BFE" w:rsidRDefault="002423BD">
      <w:pPr>
        <w:widowControl w:val="0"/>
        <w:numPr>
          <w:ilvl w:val="1"/>
          <w:numId w:val="25"/>
        </w:numPr>
        <w:tabs>
          <w:tab w:val="clear" w:pos="1540"/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  <w:sz w:val="15"/>
          <w:szCs w:val="15"/>
          <w:lang w:val="lt-LT"/>
        </w:rPr>
        <w:t>Tvirtinamosios medžiagos, pavyzdžiui, „BioGnost“ neutralūs buferiniai formaldehido tirpalai:</w:t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  <w:lang w:val="lt-LT"/>
        </w:rPr>
        <w:t>formaldehidas NB 4 proc., formaldehidas NB 10 proc.</w:t>
      </w:r>
    </w:p>
    <w:p w:rsidR="00E04BFE" w:rsidRDefault="002423BD">
      <w:pPr>
        <w:widowControl w:val="0"/>
        <w:numPr>
          <w:ilvl w:val="1"/>
          <w:numId w:val="25"/>
        </w:numPr>
        <w:tabs>
          <w:tab w:val="clear" w:pos="1540"/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  <w:lang w:val="lt-LT"/>
        </w:rPr>
        <w:t xml:space="preserve">Polichromatiniai Romanowsky reagentai, pavyzdžiui, „BioGnost“ May-Gruenwald tirpalas </w:t>
      </w:r>
    </w:p>
    <w:p w:rsidR="00E04BFE" w:rsidRDefault="002423BD">
      <w:pPr>
        <w:widowControl w:val="0"/>
        <w:numPr>
          <w:ilvl w:val="1"/>
          <w:numId w:val="25"/>
        </w:numPr>
        <w:tabs>
          <w:tab w:val="clear" w:pos="1540"/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  <w:sz w:val="15"/>
          <w:szCs w:val="15"/>
          <w:lang w:val="lt-LT"/>
        </w:rPr>
        <w:t>Dehidracijos / rehidracijos medžiaga, pavyzdžiui, „BioGnost“ alkoholio tirpalai:</w:t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  <w:lang w:val="lt-LT"/>
        </w:rPr>
        <w:t xml:space="preserve">„Histanol 70“, „Histanol 80“, „Histanol 95“, „Histanol 100“ ir „Histanol IP“. </w:t>
      </w:r>
    </w:p>
    <w:p w:rsidR="00E04BFE" w:rsidRDefault="002423BD">
      <w:pPr>
        <w:widowControl w:val="0"/>
        <w:numPr>
          <w:ilvl w:val="1"/>
          <w:numId w:val="25"/>
        </w:numPr>
        <w:tabs>
          <w:tab w:val="clear" w:pos="1540"/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  <w:lang w:val="lt-LT"/>
        </w:rPr>
        <w:t>Valymo medžiagos, pavyzdžiui, „BioClear“ ksilenas arba jo pakaitalas, pavyzdžiui, limoneno pagrindu pagamintas „BioNene“ arba alifatinio angliavandenilio pagrindu pagaminta „BioClear New“ medžiaga.</w:t>
      </w:r>
    </w:p>
    <w:p w:rsidR="00E04BFE" w:rsidRDefault="002423BD">
      <w:pPr>
        <w:widowControl w:val="0"/>
        <w:numPr>
          <w:ilvl w:val="1"/>
          <w:numId w:val="25"/>
        </w:numPr>
        <w:tabs>
          <w:tab w:val="clear" w:pos="1540"/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  <w:lang w:val="lt-LT"/>
        </w:rPr>
        <w:t>Padengimo ir tvirtinimo terpė, pavyzdžiui, „BioGnost“ gaminiai: „BioMount“, „BioMount High“, „BioMount M“, „BioMount New“, „BioMount DPX“, „BioMount DPX High“, „BioMount DPX Low“, „BioMount C“, „BioMount Aqua“, „Canada Balsam“ arba „MountQuick Tube“.</w:t>
      </w:r>
    </w:p>
    <w:p w:rsidR="00E04BFE" w:rsidRDefault="002423BD">
      <w:pPr>
        <w:widowControl w:val="0"/>
        <w:numPr>
          <w:ilvl w:val="1"/>
          <w:numId w:val="25"/>
        </w:numPr>
        <w:tabs>
          <w:tab w:val="clear" w:pos="1540"/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  <w:lang w:val="lt-LT"/>
        </w:rPr>
        <w:t>Infiltracijos ir sujungimo medžiaga, pavyzdžiui, „BioGnost“ granuliuotas parafinas „BioWax 52/54“, „BioWax 56/58“, „BioWax Blue“, „BioWax Micro“, „BioWax Plus 56/58“.</w:t>
      </w:r>
    </w:p>
    <w:p w:rsidR="00E04BFE" w:rsidRDefault="002423BD">
      <w:pPr>
        <w:widowControl w:val="0"/>
        <w:numPr>
          <w:ilvl w:val="1"/>
          <w:numId w:val="25"/>
        </w:numPr>
        <w:tabs>
          <w:tab w:val="clear" w:pos="1540"/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  <w:lang w:val="lt-LT"/>
        </w:rPr>
        <w:t xml:space="preserve">Hematologijoje naudojami stikleliai, pavyzdžiui, „VitroGnost STANDARD GRADE“, arba histopatologijoje ir citologijoje naudojami aukštos kokybės stikleliai, pavyzdžiui, „VitroGnost SUPER GRADE“, arba vieni iš daugiau nei 30 „VitroGnost“ stiklelių </w:t>
      </w:r>
    </w:p>
    <w:p w:rsidR="00E04BFE" w:rsidRDefault="002423BD">
      <w:pPr>
        <w:widowControl w:val="0"/>
        <w:numPr>
          <w:ilvl w:val="1"/>
          <w:numId w:val="25"/>
        </w:numPr>
        <w:tabs>
          <w:tab w:val="clear" w:pos="1540"/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  <w:lang w:val="lt-LT"/>
        </w:rPr>
        <w:t>„VitroGnost“ padengimo stikliukas. Matmenys nuo 18 x 18 mm iki 24 x 60 mm.</w:t>
      </w:r>
    </w:p>
    <w:p w:rsidR="00E04BFE" w:rsidRDefault="002423BD">
      <w:pPr>
        <w:widowControl w:val="0"/>
        <w:numPr>
          <w:ilvl w:val="1"/>
          <w:numId w:val="25"/>
        </w:numPr>
        <w:tabs>
          <w:tab w:val="clear" w:pos="1540"/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  <w:lang w:val="lt-LT"/>
        </w:rPr>
        <w:t xml:space="preserve">Panardinimo aliejai, pavyzdžiui, „BioGnost“ panardinimo aliejus, kedro medžio aliejus, panardinimo aliejų tipai: 37, A, B, FF ir </w:t>
      </w:r>
      <w:smartTag w:uri="urn:schemas-microsoft-com:office:smarttags" w:element="stockticker">
        <w:r>
          <w:rPr>
            <w:rFonts w:ascii="Arial" w:hAnsi="Arial" w:cs="Arial"/>
            <w:sz w:val="15"/>
            <w:szCs w:val="15"/>
            <w:lang w:val="lt-LT"/>
          </w:rPr>
          <w:t>NVH</w:t>
        </w:r>
      </w:smartTag>
      <w:r>
        <w:rPr>
          <w:rFonts w:ascii="Arial" w:hAnsi="Arial" w:cs="Arial"/>
          <w:sz w:val="15"/>
          <w:szCs w:val="15"/>
          <w:lang w:val="lt-LT"/>
        </w:rPr>
        <w:t>.</w:t>
      </w:r>
    </w:p>
    <w:p w:rsidR="00E04BFE" w:rsidRDefault="002423BD">
      <w:pPr>
        <w:widowControl w:val="0"/>
        <w:numPr>
          <w:ilvl w:val="1"/>
          <w:numId w:val="25"/>
        </w:numPr>
        <w:tabs>
          <w:tab w:val="clear" w:pos="1540"/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  <w:lang w:val="lt-LT"/>
        </w:rPr>
        <w:t xml:space="preserve">„BioGnost“ buferio tabletės, pH 6.8 arba 7.2 </w:t>
      </w:r>
    </w:p>
    <w:p w:rsidR="00E04BFE" w:rsidRDefault="002423BD">
      <w:pPr>
        <w:widowControl w:val="0"/>
        <w:numPr>
          <w:ilvl w:val="1"/>
          <w:numId w:val="25"/>
        </w:numPr>
        <w:tabs>
          <w:tab w:val="clear" w:pos="1540"/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  <w:lang w:val="lt-LT"/>
        </w:rPr>
        <w:t xml:space="preserve">Tvirtinamosios ir skiriamosios medžiagos, pavyzdžiui, histologijoje naudojamos „BioGnost“ acto ir „Histanol“ rūgštys </w:t>
      </w:r>
    </w:p>
    <w:p w:rsidR="00E04BFE" w:rsidRDefault="002423BD">
      <w:pPr>
        <w:widowControl w:val="0"/>
        <w:numPr>
          <w:ilvl w:val="1"/>
          <w:numId w:val="25"/>
        </w:numPr>
        <w:tabs>
          <w:tab w:val="clear" w:pos="1540"/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  <w:lang w:val="lt-LT"/>
        </w:rPr>
        <w:t xml:space="preserve">Dekalcinavimo priemonė, naudojama histologijoje apdoroti sukalkėjusius audinius, pavyzdžiui, „BioGnost OsteoSens“ </w:t>
      </w:r>
    </w:p>
    <w:p w:rsidR="00E04BFE" w:rsidRDefault="00E04BFE">
      <w:pPr>
        <w:widowControl w:val="0"/>
        <w:autoSpaceDE w:val="0"/>
        <w:autoSpaceDN w:val="0"/>
        <w:adjustRightInd w:val="0"/>
        <w:spacing w:after="0" w:line="83" w:lineRule="exact"/>
        <w:rPr>
          <w:rFonts w:ascii="Times New Roman" w:hAnsi="Times New Roman"/>
          <w:sz w:val="24"/>
          <w:szCs w:val="24"/>
        </w:rPr>
      </w:pPr>
    </w:p>
    <w:p w:rsidR="00E04BFE" w:rsidRDefault="002423BD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  <w:lang w:val="lt-LT"/>
        </w:rPr>
        <w:t>Tirpalų paruošimas</w:t>
      </w:r>
    </w:p>
    <w:p w:rsidR="00E04BFE" w:rsidRDefault="002423BD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  <w:lang w:val="lt-LT"/>
        </w:rPr>
        <w:t>Buferio tirpalas, pH 6.8</w:t>
      </w:r>
    </w:p>
    <w:p w:rsidR="00E04BFE" w:rsidRDefault="002423BD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Style w:val="tw4winMark"/>
          <w:rFonts w:ascii="Arial" w:hAnsi="Arial" w:cs="Arial"/>
          <w:vanish w:val="0"/>
          <w:color w:val="auto"/>
          <w:sz w:val="16"/>
          <w:szCs w:val="16"/>
          <w:vertAlign w:val="baseline"/>
        </w:rPr>
      </w:pPr>
      <w:r>
        <w:rPr>
          <w:rFonts w:ascii="Arial" w:hAnsi="Arial" w:cs="Arial"/>
          <w:sz w:val="16"/>
          <w:szCs w:val="16"/>
          <w:lang w:val="lt-LT"/>
        </w:rPr>
        <w:t>Ištirpinkite 1 pH 6.8 buferio tabletę 1 distiliuoto vandens litre intensyviai maišydami.</w:t>
      </w:r>
      <w:r>
        <w:rPr>
          <w:rFonts w:ascii="Arial" w:hAnsi="Arial" w:cs="Arial"/>
          <w:sz w:val="16"/>
          <w:szCs w:val="16"/>
        </w:rPr>
        <w:t xml:space="preserve"> </w:t>
      </w:r>
    </w:p>
    <w:p w:rsidR="00E04BFE" w:rsidRDefault="002423BD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Style w:val="tw4winMark"/>
          <w:rFonts w:ascii="Arial" w:hAnsi="Arial" w:cs="Arial"/>
          <w:vanish w:val="0"/>
          <w:color w:val="auto"/>
          <w:sz w:val="16"/>
          <w:szCs w:val="16"/>
          <w:vertAlign w:val="baseline"/>
        </w:rPr>
      </w:pPr>
      <w:r>
        <w:rPr>
          <w:rFonts w:ascii="Arial" w:hAnsi="Arial" w:cs="Arial"/>
          <w:sz w:val="16"/>
          <w:szCs w:val="16"/>
          <w:lang w:val="lt-LT"/>
        </w:rPr>
        <w:t>Pastaba.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lt-LT"/>
        </w:rPr>
        <w:t>Dažymo proceso metu galima naudoti pH 7.2 buferio tirpalą arba pH 6.8 ir 7.2 buferio tirpalų mišinį. Proceso rezultatai gali būti raudonos arba mėlynos spalvos.</w:t>
      </w:r>
      <w:r>
        <w:rPr>
          <w:rFonts w:ascii="Arial" w:hAnsi="Arial" w:cs="Arial"/>
          <w:sz w:val="16"/>
          <w:szCs w:val="16"/>
        </w:rPr>
        <w:t xml:space="preserve"> </w:t>
      </w:r>
    </w:p>
    <w:p w:rsidR="00E04BFE" w:rsidRDefault="002423BD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  <w:lang w:val="lt-LT"/>
        </w:rPr>
        <w:t>Darbinis Giemsa tirpalas standartiniam dažymui</w:t>
      </w:r>
    </w:p>
    <w:p w:rsidR="00E04BFE" w:rsidRDefault="002423BD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Style w:val="tw4winMark"/>
          <w:rFonts w:ascii="Arial" w:hAnsi="Arial" w:cs="Arial"/>
          <w:vanish w:val="0"/>
          <w:color w:val="auto"/>
          <w:sz w:val="16"/>
          <w:szCs w:val="16"/>
          <w:vertAlign w:val="baseline"/>
        </w:rPr>
      </w:pPr>
      <w:r>
        <w:rPr>
          <w:rFonts w:ascii="Arial" w:hAnsi="Arial" w:cs="Arial"/>
          <w:sz w:val="16"/>
          <w:szCs w:val="16"/>
          <w:lang w:val="lt-LT"/>
        </w:rPr>
        <w:t>Įpilkite 10 ml Giemsa tirpalo į 190 ml pH 6.8 buferio tirpalą, gerai išmaišykite ir palikite 10 min. atvėsti. Išfiltruokite, jei reikia.</w:t>
      </w:r>
      <w:r>
        <w:rPr>
          <w:rFonts w:ascii="Arial" w:hAnsi="Arial" w:cs="Arial"/>
          <w:sz w:val="16"/>
          <w:szCs w:val="16"/>
        </w:rPr>
        <w:t xml:space="preserve"> </w:t>
      </w:r>
    </w:p>
    <w:p w:rsidR="00E04BFE" w:rsidRDefault="002423B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/>
        <w:jc w:val="both"/>
        <w:rPr>
          <w:rStyle w:val="tw4winMark"/>
          <w:rFonts w:ascii="Arial" w:hAnsi="Arial" w:cs="Arial"/>
          <w:b/>
          <w:bCs/>
          <w:vanish w:val="0"/>
          <w:color w:val="auto"/>
          <w:sz w:val="16"/>
          <w:szCs w:val="16"/>
          <w:vertAlign w:val="baseline"/>
        </w:rPr>
      </w:pPr>
      <w:r>
        <w:rPr>
          <w:rFonts w:ascii="Arial" w:hAnsi="Arial" w:cs="Arial"/>
          <w:b/>
          <w:bCs/>
          <w:sz w:val="16"/>
          <w:szCs w:val="16"/>
          <w:lang w:val="lt-LT"/>
        </w:rPr>
        <w:t>Darbinis Giemsa tirpalas perioperaciniam dažymui</w:t>
      </w:r>
    </w:p>
    <w:p w:rsidR="00E04BFE" w:rsidRDefault="002423BD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Style w:val="tw4winMark"/>
          <w:rFonts w:ascii="Arial" w:hAnsi="Arial" w:cs="Arial"/>
          <w:vanish w:val="0"/>
          <w:color w:val="auto"/>
          <w:sz w:val="16"/>
          <w:szCs w:val="16"/>
          <w:vertAlign w:val="baseline"/>
        </w:rPr>
      </w:pPr>
      <w:r>
        <w:rPr>
          <w:rFonts w:ascii="Arial" w:hAnsi="Arial" w:cs="Arial"/>
          <w:sz w:val="16"/>
          <w:szCs w:val="16"/>
          <w:lang w:val="lt-LT"/>
        </w:rPr>
        <w:t>Įpilkite 10 ml Giemsa tirpalo į 50 ml pH 6.8 buferio tirpalą, gerai išmaišykite ir palikite 10 min. atvėsti. Išfiltruokite, jei reikia.</w:t>
      </w:r>
      <w:r>
        <w:rPr>
          <w:rFonts w:ascii="Arial" w:hAnsi="Arial" w:cs="Arial"/>
          <w:sz w:val="16"/>
          <w:szCs w:val="16"/>
        </w:rPr>
        <w:t xml:space="preserve"> </w:t>
      </w:r>
    </w:p>
    <w:p w:rsidR="00E04BFE" w:rsidRDefault="002423B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/>
        <w:jc w:val="both"/>
        <w:rPr>
          <w:rStyle w:val="tw4winMark"/>
          <w:rFonts w:ascii="Arial" w:hAnsi="Arial" w:cs="Arial"/>
          <w:b/>
          <w:bCs/>
          <w:vanish w:val="0"/>
          <w:color w:val="auto"/>
          <w:sz w:val="16"/>
          <w:szCs w:val="16"/>
          <w:vertAlign w:val="baseline"/>
        </w:rPr>
      </w:pPr>
      <w:r>
        <w:rPr>
          <w:rFonts w:ascii="Arial" w:hAnsi="Arial" w:cs="Arial"/>
          <w:b/>
          <w:bCs/>
          <w:sz w:val="16"/>
          <w:szCs w:val="16"/>
          <w:lang w:val="lt-LT"/>
        </w:rPr>
        <w:t xml:space="preserve">0,1 proc. acto tirpalo vandens tirpalas </w:t>
      </w:r>
    </w:p>
    <w:p w:rsidR="00E04BFE" w:rsidRDefault="002423BD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Style w:val="tw4winMark"/>
          <w:rFonts w:ascii="Arial" w:hAnsi="Arial" w:cs="Arial"/>
          <w:vanish w:val="0"/>
          <w:color w:val="auto"/>
          <w:sz w:val="16"/>
          <w:szCs w:val="16"/>
          <w:vertAlign w:val="baseline"/>
        </w:rPr>
      </w:pPr>
      <w:r>
        <w:rPr>
          <w:rFonts w:ascii="Arial" w:hAnsi="Arial" w:cs="Arial"/>
          <w:sz w:val="16"/>
          <w:szCs w:val="16"/>
          <w:lang w:val="lt-LT"/>
        </w:rPr>
        <w:t>Įpilkite 0,1 ml „BioGnost“ histologinės acto rūgšties į 99,9 ml distiliuoto / demineralizuoto vandens.</w:t>
      </w:r>
      <w:r>
        <w:rPr>
          <w:rFonts w:ascii="Arial" w:hAnsi="Arial" w:cs="Arial"/>
          <w:sz w:val="16"/>
          <w:szCs w:val="16"/>
        </w:rPr>
        <w:t xml:space="preserve"> </w:t>
      </w:r>
    </w:p>
    <w:p w:rsidR="00E04BFE" w:rsidRDefault="002423BD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  <w:lang w:val="lt-LT"/>
        </w:rPr>
        <w:t>A1) Kraujo tepinėlio dažymo procedūra naudojant Giemsa t</w:t>
      </w:r>
      <w:r>
        <w:rPr>
          <w:rFonts w:ascii="Times New Roman" w:hAnsi="Times New Roman"/>
          <w:b/>
          <w:bCs/>
          <w:sz w:val="16"/>
          <w:szCs w:val="16"/>
          <w:lang w:val="lt-LT"/>
        </w:rPr>
        <w:t>irpalą</w:t>
      </w:r>
    </w:p>
    <w:p w:rsidR="00E04BFE" w:rsidRDefault="002423BD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Style w:val="tw4winMark"/>
          <w:rFonts w:ascii="Arial" w:hAnsi="Arial" w:cs="Arial"/>
          <w:vanish w:val="0"/>
          <w:color w:val="auto"/>
          <w:sz w:val="16"/>
          <w:szCs w:val="16"/>
          <w:vertAlign w:val="baseline"/>
        </w:rPr>
      </w:pPr>
      <w:r>
        <w:rPr>
          <w:rFonts w:ascii="Arial" w:hAnsi="Arial" w:cs="Arial"/>
          <w:sz w:val="16"/>
          <w:szCs w:val="16"/>
          <w:lang w:val="lt-LT"/>
        </w:rPr>
        <w:t>Paruoškite periferinio kraujo tepinėlį užlašinę kraujo iš šviežio kraujo mėginio.</w:t>
      </w:r>
      <w:r>
        <w:rPr>
          <w:rFonts w:ascii="Arial" w:hAnsi="Arial" w:cs="Arial"/>
          <w:sz w:val="16"/>
          <w:szCs w:val="16"/>
        </w:rPr>
        <w:t xml:space="preserve"> </w:t>
      </w:r>
    </w:p>
    <w:p w:rsidR="00E04BFE" w:rsidRDefault="002423BD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Style w:val="tw4winMark"/>
          <w:rFonts w:ascii="Arial" w:hAnsi="Arial" w:cs="Arial"/>
          <w:vanish w:val="0"/>
          <w:color w:val="auto"/>
          <w:sz w:val="16"/>
          <w:szCs w:val="16"/>
          <w:vertAlign w:val="baseline"/>
        </w:rPr>
      </w:pPr>
      <w:r>
        <w:rPr>
          <w:rFonts w:ascii="Arial" w:hAnsi="Arial" w:cs="Arial"/>
          <w:sz w:val="16"/>
          <w:szCs w:val="16"/>
          <w:lang w:val="lt-LT"/>
        </w:rPr>
        <w:t>Užfiksuokite išdžiūvusio kraujo tepinėlius įmerkę juos į metanolį ir palaikę jame 5 min. („Histanol M“).</w:t>
      </w:r>
      <w:r>
        <w:rPr>
          <w:rFonts w:ascii="Arial" w:hAnsi="Arial" w:cs="Arial"/>
          <w:sz w:val="16"/>
          <w:szCs w:val="16"/>
        </w:rPr>
        <w:t xml:space="preserve"> </w:t>
      </w:r>
    </w:p>
    <w:p w:rsidR="00E04BFE" w:rsidRDefault="002423BD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Style w:val="tw4winMark"/>
          <w:rFonts w:ascii="Arial" w:hAnsi="Arial" w:cs="Arial"/>
          <w:vanish w:val="0"/>
          <w:color w:val="auto"/>
          <w:sz w:val="16"/>
          <w:szCs w:val="16"/>
          <w:vertAlign w:val="baseline"/>
        </w:rPr>
      </w:pPr>
      <w:r>
        <w:rPr>
          <w:rFonts w:ascii="Arial" w:hAnsi="Arial" w:cs="Arial"/>
          <w:sz w:val="16"/>
          <w:szCs w:val="16"/>
          <w:lang w:val="lt-LT"/>
        </w:rPr>
        <w:t>Pamerkite užfiksuotus tepinėlius į darbinį „Giemsa“ tirpalą 15–20 min.</w:t>
      </w:r>
    </w:p>
    <w:p w:rsidR="00E04BFE" w:rsidRDefault="002423BD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Style w:val="tw4winMark"/>
          <w:rFonts w:ascii="Arial" w:hAnsi="Arial" w:cs="Arial"/>
          <w:vanish w:val="0"/>
          <w:color w:val="auto"/>
          <w:sz w:val="16"/>
          <w:szCs w:val="16"/>
          <w:vertAlign w:val="baseline"/>
        </w:rPr>
      </w:pPr>
      <w:r>
        <w:rPr>
          <w:rFonts w:ascii="Arial" w:hAnsi="Arial" w:cs="Arial"/>
          <w:sz w:val="16"/>
          <w:szCs w:val="16"/>
          <w:lang w:val="lt-LT"/>
        </w:rPr>
        <w:t>Du kartus nuplaukite tepinėlį pH 6.8 buferio tirpalu. Tai turi trukti 1 min.</w:t>
      </w:r>
      <w:r>
        <w:rPr>
          <w:rFonts w:ascii="Arial" w:hAnsi="Arial" w:cs="Arial"/>
          <w:sz w:val="16"/>
          <w:szCs w:val="16"/>
        </w:rPr>
        <w:t xml:space="preserve"> </w:t>
      </w:r>
    </w:p>
    <w:p w:rsidR="00E04BFE" w:rsidRDefault="002423BD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Style w:val="tw4winMark"/>
          <w:rFonts w:ascii="Arial" w:hAnsi="Arial" w:cs="Arial"/>
          <w:vanish w:val="0"/>
          <w:color w:val="auto"/>
          <w:sz w:val="16"/>
          <w:szCs w:val="16"/>
          <w:vertAlign w:val="baseline"/>
        </w:rPr>
      </w:pPr>
      <w:r>
        <w:rPr>
          <w:rFonts w:ascii="Arial" w:hAnsi="Arial" w:cs="Arial"/>
          <w:sz w:val="16"/>
          <w:szCs w:val="16"/>
          <w:lang w:val="lt-LT"/>
        </w:rPr>
        <w:t>Leiskite nudžiūti.</w:t>
      </w:r>
      <w:r>
        <w:rPr>
          <w:rFonts w:ascii="Arial" w:hAnsi="Arial" w:cs="Arial"/>
          <w:sz w:val="16"/>
          <w:szCs w:val="16"/>
        </w:rPr>
        <w:t xml:space="preserve"> </w:t>
      </w:r>
    </w:p>
    <w:p w:rsidR="00E04BFE" w:rsidRDefault="00E04BFE">
      <w:pPr>
        <w:widowControl w:val="0"/>
        <w:autoSpaceDE w:val="0"/>
        <w:autoSpaceDN w:val="0"/>
        <w:adjustRightInd w:val="0"/>
        <w:spacing w:after="0" w:line="83" w:lineRule="exact"/>
        <w:rPr>
          <w:rFonts w:ascii="Times New Roman" w:hAnsi="Times New Roman"/>
          <w:sz w:val="24"/>
          <w:szCs w:val="24"/>
        </w:rPr>
      </w:pPr>
    </w:p>
    <w:p w:rsidR="00E04BFE" w:rsidRDefault="002423BD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  <w:lang w:val="lt-LT"/>
        </w:rPr>
        <w:t>Rezultatas (pH 6.8)</w:t>
      </w:r>
    </w:p>
    <w:p w:rsidR="00E04BFE" w:rsidRDefault="00E04BFE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/>
          <w:sz w:val="24"/>
          <w:szCs w:val="24"/>
        </w:rPr>
      </w:pPr>
    </w:p>
    <w:p w:rsidR="00E04BFE" w:rsidRDefault="002423BD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15"/>
          <w:szCs w:val="15"/>
        </w:rPr>
      </w:pPr>
      <w:r>
        <w:rPr>
          <w:rFonts w:ascii="Arial" w:hAnsi="Arial" w:cs="Arial"/>
          <w:sz w:val="15"/>
          <w:szCs w:val="15"/>
          <w:lang w:val="lt-LT"/>
        </w:rPr>
        <w:t>Branduolys – nuo raudonos iki violetinės spalvos</w:t>
      </w:r>
    </w:p>
    <w:p w:rsidR="00E04BFE" w:rsidRPr="00B35814" w:rsidRDefault="00E04BFE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/>
          <w:sz w:val="15"/>
          <w:szCs w:val="15"/>
        </w:rPr>
      </w:pPr>
    </w:p>
    <w:p w:rsidR="00E04BFE" w:rsidRDefault="002423BD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15"/>
          <w:szCs w:val="15"/>
        </w:rPr>
      </w:pPr>
      <w:r>
        <w:rPr>
          <w:rFonts w:ascii="Arial" w:hAnsi="Arial" w:cs="Arial"/>
          <w:sz w:val="15"/>
          <w:szCs w:val="15"/>
          <w:lang w:val="lt-LT"/>
        </w:rPr>
        <w:t>Limfocitų plazma – mėlynos spalvos</w:t>
      </w:r>
    </w:p>
    <w:p w:rsidR="00E04BFE" w:rsidRPr="00B35814" w:rsidRDefault="00E04BFE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/>
          <w:sz w:val="15"/>
          <w:szCs w:val="15"/>
        </w:rPr>
      </w:pPr>
    </w:p>
    <w:p w:rsidR="00E04BFE" w:rsidRDefault="002423BD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15"/>
          <w:szCs w:val="15"/>
        </w:rPr>
      </w:pPr>
      <w:r>
        <w:rPr>
          <w:rFonts w:ascii="Arial" w:hAnsi="Arial" w:cs="Arial"/>
          <w:sz w:val="15"/>
          <w:szCs w:val="15"/>
          <w:lang w:val="lt-LT"/>
        </w:rPr>
        <w:t>Monocitų plazma – pilkai mėlynos spalvos</w:t>
      </w:r>
    </w:p>
    <w:p w:rsidR="00E04BFE" w:rsidRPr="00B35814" w:rsidRDefault="00E04BFE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/>
          <w:sz w:val="15"/>
          <w:szCs w:val="15"/>
        </w:rPr>
      </w:pPr>
    </w:p>
    <w:p w:rsidR="00E04BFE" w:rsidRDefault="002423BD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15"/>
          <w:szCs w:val="15"/>
        </w:rPr>
      </w:pPr>
      <w:r>
        <w:rPr>
          <w:rFonts w:ascii="Arial" w:hAnsi="Arial" w:cs="Arial"/>
          <w:sz w:val="15"/>
          <w:szCs w:val="15"/>
          <w:lang w:val="lt-LT"/>
        </w:rPr>
        <w:t>Neutrofilų granulė – šviesiai violetinės spalvos</w:t>
      </w:r>
    </w:p>
    <w:p w:rsidR="00E04BFE" w:rsidRPr="00B35814" w:rsidRDefault="00E04BFE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15"/>
          <w:szCs w:val="15"/>
        </w:rPr>
      </w:pPr>
    </w:p>
    <w:p w:rsidR="00E04BFE" w:rsidRDefault="002423BD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15"/>
          <w:szCs w:val="15"/>
        </w:rPr>
      </w:pPr>
      <w:r>
        <w:rPr>
          <w:rFonts w:ascii="Arial" w:hAnsi="Arial" w:cs="Arial"/>
          <w:sz w:val="15"/>
          <w:szCs w:val="15"/>
          <w:lang w:val="lt-LT"/>
        </w:rPr>
        <w:t>Eozinofilų granulė – nuo raudonos iki pilkai mėlynos spalvos</w:t>
      </w:r>
    </w:p>
    <w:p w:rsidR="00E04BFE" w:rsidRPr="00B35814" w:rsidRDefault="00E04BFE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/>
          <w:sz w:val="15"/>
          <w:szCs w:val="15"/>
        </w:rPr>
      </w:pPr>
    </w:p>
    <w:p w:rsidR="00E04BFE" w:rsidRDefault="002423BD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15"/>
          <w:szCs w:val="15"/>
        </w:rPr>
      </w:pPr>
      <w:r>
        <w:rPr>
          <w:rFonts w:ascii="Arial" w:hAnsi="Arial" w:cs="Arial"/>
          <w:sz w:val="15"/>
          <w:szCs w:val="15"/>
          <w:lang w:val="lt-LT"/>
        </w:rPr>
        <w:t>Bazofilų granulė – tamsiai violetinės spalvos</w:t>
      </w:r>
    </w:p>
    <w:p w:rsidR="00E04BFE" w:rsidRPr="00B35814" w:rsidRDefault="00E04BFE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/>
          <w:sz w:val="15"/>
          <w:szCs w:val="15"/>
        </w:rPr>
      </w:pPr>
    </w:p>
    <w:p w:rsidR="00E04BFE" w:rsidRDefault="002423BD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15"/>
          <w:szCs w:val="15"/>
        </w:rPr>
      </w:pPr>
      <w:r>
        <w:rPr>
          <w:rFonts w:ascii="Arial" w:hAnsi="Arial" w:cs="Arial"/>
          <w:sz w:val="15"/>
          <w:szCs w:val="15"/>
          <w:lang w:val="lt-LT"/>
        </w:rPr>
        <w:t>Trombocitai – violetinės spalvos</w:t>
      </w:r>
    </w:p>
    <w:p w:rsidR="00E04BFE" w:rsidRPr="00B35814" w:rsidRDefault="00E04BFE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/>
          <w:sz w:val="15"/>
          <w:szCs w:val="15"/>
        </w:rPr>
      </w:pPr>
    </w:p>
    <w:p w:rsidR="00E04BFE" w:rsidRDefault="002423BD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15"/>
          <w:szCs w:val="15"/>
        </w:rPr>
      </w:pPr>
      <w:r>
        <w:rPr>
          <w:rFonts w:ascii="Arial" w:hAnsi="Arial" w:cs="Arial"/>
          <w:sz w:val="15"/>
          <w:szCs w:val="15"/>
          <w:lang w:val="lt-LT"/>
        </w:rPr>
        <w:t>Eritrocitai – rausvos spalvos</w:t>
      </w:r>
    </w:p>
    <w:p w:rsidR="00E04BFE" w:rsidRPr="00B35814" w:rsidRDefault="00E04BFE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/>
          <w:sz w:val="15"/>
          <w:szCs w:val="15"/>
        </w:rPr>
      </w:pPr>
    </w:p>
    <w:p w:rsidR="00E04BFE" w:rsidRDefault="002423BD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15"/>
          <w:szCs w:val="15"/>
        </w:rPr>
      </w:pPr>
      <w:r>
        <w:rPr>
          <w:rFonts w:ascii="Arial" w:hAnsi="Arial" w:cs="Arial"/>
          <w:sz w:val="15"/>
          <w:szCs w:val="15"/>
          <w:lang w:val="lt-LT"/>
        </w:rPr>
        <w:t>Kraujo parazitai – raudoni branduoliai</w:t>
      </w:r>
    </w:p>
    <w:p w:rsidR="00E04BFE" w:rsidRDefault="00E04BFE">
      <w:pPr>
        <w:widowControl w:val="0"/>
        <w:autoSpaceDE w:val="0"/>
        <w:autoSpaceDN w:val="0"/>
        <w:adjustRightInd w:val="0"/>
        <w:spacing w:after="0" w:line="87" w:lineRule="exact"/>
        <w:rPr>
          <w:rFonts w:ascii="Times New Roman" w:hAnsi="Times New Roman"/>
          <w:sz w:val="24"/>
          <w:szCs w:val="24"/>
        </w:rPr>
      </w:pPr>
    </w:p>
    <w:p w:rsidR="00E04BFE" w:rsidRDefault="002423BD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  <w:lang w:val="lt-LT"/>
        </w:rPr>
        <w:t>A2) Kraujo tepinėlio dažymo procedūra naudojant May-Grünwald Giemsa (Pappenheim) standartinį metodą</w:t>
      </w:r>
    </w:p>
    <w:p w:rsidR="00E04BFE" w:rsidRDefault="002423BD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180" w:lineRule="auto"/>
        <w:jc w:val="both"/>
        <w:rPr>
          <w:rStyle w:val="tw4winMark"/>
          <w:rFonts w:ascii="Arial" w:hAnsi="Arial" w:cs="Arial"/>
          <w:vanish w:val="0"/>
          <w:color w:val="auto"/>
          <w:sz w:val="16"/>
          <w:szCs w:val="16"/>
          <w:vertAlign w:val="baseline"/>
        </w:rPr>
      </w:pPr>
      <w:r>
        <w:rPr>
          <w:rFonts w:ascii="Arial" w:hAnsi="Arial" w:cs="Arial"/>
          <w:sz w:val="16"/>
          <w:szCs w:val="16"/>
          <w:lang w:val="lt-LT"/>
        </w:rPr>
        <w:t>Paruoškite periferinio kraujo tepinėlį užlašinę kraujo iš šviežio kraujo mėginio.</w:t>
      </w:r>
      <w:r>
        <w:rPr>
          <w:rFonts w:ascii="Arial" w:hAnsi="Arial" w:cs="Arial"/>
          <w:sz w:val="16"/>
          <w:szCs w:val="16"/>
        </w:rPr>
        <w:t xml:space="preserve"> </w:t>
      </w:r>
    </w:p>
    <w:p w:rsidR="00E04BFE" w:rsidRDefault="002423BD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00" w:lineRule="auto"/>
        <w:jc w:val="both"/>
        <w:rPr>
          <w:rStyle w:val="tw4winMark"/>
          <w:rFonts w:ascii="Arial" w:hAnsi="Arial" w:cs="Arial"/>
          <w:vanish w:val="0"/>
          <w:color w:val="auto"/>
          <w:sz w:val="16"/>
          <w:szCs w:val="16"/>
          <w:vertAlign w:val="baseline"/>
        </w:rPr>
      </w:pPr>
      <w:r>
        <w:rPr>
          <w:rFonts w:ascii="Arial" w:hAnsi="Arial" w:cs="Arial"/>
          <w:sz w:val="16"/>
          <w:szCs w:val="16"/>
          <w:lang w:val="lt-LT"/>
        </w:rPr>
        <w:t>Leiskite tepinėliui nudžiūti.</w:t>
      </w:r>
      <w:r>
        <w:rPr>
          <w:rFonts w:ascii="Arial" w:hAnsi="Arial" w:cs="Arial"/>
          <w:sz w:val="16"/>
          <w:szCs w:val="16"/>
        </w:rPr>
        <w:t xml:space="preserve"> </w:t>
      </w:r>
    </w:p>
    <w:p w:rsidR="00E04BFE" w:rsidRDefault="002423BD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00" w:lineRule="auto"/>
        <w:jc w:val="both"/>
        <w:rPr>
          <w:rStyle w:val="tw4winMark"/>
          <w:rFonts w:ascii="Arial" w:hAnsi="Arial" w:cs="Arial"/>
          <w:vanish w:val="0"/>
          <w:color w:val="auto"/>
          <w:sz w:val="16"/>
          <w:szCs w:val="16"/>
          <w:vertAlign w:val="baseline"/>
        </w:rPr>
      </w:pPr>
      <w:r>
        <w:rPr>
          <w:rFonts w:ascii="Arial" w:hAnsi="Arial" w:cs="Arial"/>
          <w:sz w:val="16"/>
          <w:szCs w:val="16"/>
          <w:lang w:val="lt-LT"/>
        </w:rPr>
        <w:lastRenderedPageBreak/>
        <w:t xml:space="preserve">Ant nudžiūvusio tepinėlio užlašinkite May-Grünwald tirpalo ir palaukite 3–5 min. </w:t>
      </w:r>
    </w:p>
    <w:p w:rsidR="00E04BFE" w:rsidRDefault="002423BD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00" w:lineRule="auto"/>
        <w:jc w:val="both"/>
        <w:rPr>
          <w:rStyle w:val="tw4winMark"/>
          <w:rFonts w:ascii="Arial" w:hAnsi="Arial" w:cs="Arial"/>
          <w:vanish w:val="0"/>
          <w:color w:val="auto"/>
          <w:sz w:val="16"/>
          <w:szCs w:val="16"/>
          <w:vertAlign w:val="baseline"/>
        </w:rPr>
      </w:pPr>
      <w:r>
        <w:rPr>
          <w:rFonts w:ascii="Arial" w:hAnsi="Arial" w:cs="Arial"/>
          <w:sz w:val="16"/>
          <w:szCs w:val="16"/>
          <w:lang w:val="lt-LT"/>
        </w:rPr>
        <w:t>Greitai nuplaukite tepinėlį pH 6.8 buferio tirpalu.</w:t>
      </w:r>
      <w:r>
        <w:rPr>
          <w:rFonts w:ascii="Arial" w:hAnsi="Arial" w:cs="Arial"/>
          <w:sz w:val="16"/>
          <w:szCs w:val="16"/>
        </w:rPr>
        <w:t xml:space="preserve"> </w:t>
      </w:r>
    </w:p>
    <w:p w:rsidR="00E04BFE" w:rsidRDefault="002423BD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00" w:lineRule="auto"/>
        <w:jc w:val="both"/>
        <w:rPr>
          <w:rStyle w:val="tw4winMark"/>
          <w:rFonts w:ascii="Arial" w:hAnsi="Arial" w:cs="Arial"/>
          <w:vanish w:val="0"/>
          <w:color w:val="auto"/>
          <w:sz w:val="16"/>
          <w:szCs w:val="16"/>
          <w:vertAlign w:val="baseline"/>
        </w:rPr>
      </w:pPr>
      <w:r>
        <w:rPr>
          <w:rFonts w:ascii="Arial" w:hAnsi="Arial" w:cs="Arial"/>
          <w:sz w:val="16"/>
          <w:szCs w:val="16"/>
          <w:lang w:val="lt-LT"/>
        </w:rPr>
        <w:t xml:space="preserve">Ant nudžiūvusio tepinėlio užlašinkite Giemsa tirpalo ir palaukite 15-20 min. </w:t>
      </w:r>
    </w:p>
    <w:p w:rsidR="00E04BFE" w:rsidRDefault="002423BD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00" w:lineRule="auto"/>
        <w:jc w:val="both"/>
        <w:rPr>
          <w:rStyle w:val="tw4winMark"/>
          <w:rFonts w:ascii="Arial" w:hAnsi="Arial" w:cs="Arial"/>
          <w:vanish w:val="0"/>
          <w:color w:val="auto"/>
          <w:sz w:val="16"/>
          <w:szCs w:val="16"/>
          <w:vertAlign w:val="baseline"/>
        </w:rPr>
      </w:pPr>
      <w:r>
        <w:rPr>
          <w:rFonts w:ascii="Arial" w:hAnsi="Arial" w:cs="Arial"/>
          <w:sz w:val="16"/>
          <w:szCs w:val="16"/>
          <w:lang w:val="lt-LT"/>
        </w:rPr>
        <w:t>Greitai nuplaukite tepinėlį pH 6.8 buferio tirpalu.</w:t>
      </w:r>
      <w:r>
        <w:rPr>
          <w:rFonts w:ascii="Arial" w:hAnsi="Arial" w:cs="Arial"/>
          <w:sz w:val="16"/>
          <w:szCs w:val="16"/>
        </w:rPr>
        <w:t xml:space="preserve"> </w:t>
      </w:r>
    </w:p>
    <w:p w:rsidR="00E04BFE" w:rsidRDefault="00E04BFE">
      <w:pPr>
        <w:widowControl w:val="0"/>
        <w:autoSpaceDE w:val="0"/>
        <w:autoSpaceDN w:val="0"/>
        <w:adjustRightInd w:val="0"/>
        <w:spacing w:after="0" w:line="102" w:lineRule="exact"/>
        <w:rPr>
          <w:rFonts w:ascii="Arial" w:hAnsi="Arial" w:cs="Arial"/>
          <w:sz w:val="16"/>
          <w:szCs w:val="16"/>
        </w:rPr>
      </w:pPr>
    </w:p>
    <w:p w:rsidR="00E04BFE" w:rsidRDefault="002423BD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00" w:lineRule="auto"/>
        <w:jc w:val="both"/>
        <w:rPr>
          <w:rStyle w:val="tw4winMark"/>
          <w:rFonts w:ascii="Arial" w:hAnsi="Arial" w:cs="Arial"/>
          <w:vanish w:val="0"/>
          <w:color w:val="auto"/>
          <w:sz w:val="16"/>
          <w:szCs w:val="16"/>
          <w:vertAlign w:val="baseline"/>
        </w:rPr>
      </w:pPr>
      <w:r>
        <w:rPr>
          <w:rFonts w:ascii="Arial" w:hAnsi="Arial" w:cs="Arial"/>
          <w:sz w:val="16"/>
          <w:szCs w:val="16"/>
          <w:lang w:val="lt-LT"/>
        </w:rPr>
        <w:t>Pastaba.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lt-LT"/>
        </w:rPr>
        <w:t>Jei reikia, naudokite mažesnį buferio tirpalo kiekį, kad kruopščiai pašalintumėte dažomosios medžiagos perteklių, o nudažytos struktūros gerai matytųsi.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lt-LT"/>
        </w:rPr>
        <w:t>Nuplaukite tirpalą po 10–30 sekundžių.</w:t>
      </w:r>
      <w:r>
        <w:rPr>
          <w:rFonts w:ascii="Arial" w:hAnsi="Arial" w:cs="Arial"/>
          <w:sz w:val="16"/>
          <w:szCs w:val="16"/>
        </w:rPr>
        <w:t xml:space="preserve"> </w:t>
      </w:r>
    </w:p>
    <w:p w:rsidR="00E04BFE" w:rsidRDefault="00E04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04BFE">
          <w:pgSz w:w="11900" w:h="16838"/>
          <w:pgMar w:top="1042" w:right="560" w:bottom="325" w:left="1120" w:header="720" w:footer="720" w:gutter="0"/>
          <w:cols w:space="720" w:equalWidth="0">
            <w:col w:w="10220"/>
          </w:cols>
          <w:noEndnote/>
        </w:sectPr>
      </w:pPr>
    </w:p>
    <w:p w:rsidR="00E04BFE" w:rsidRDefault="002423BD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5"/>
          <w:szCs w:val="15"/>
        </w:rPr>
      </w:pPr>
      <w:bookmarkStart w:id="2" w:name="page3"/>
      <w:r>
        <w:rPr>
          <w:rFonts w:ascii="Arial" w:hAnsi="Arial" w:cs="Arial"/>
          <w:sz w:val="15"/>
          <w:szCs w:val="15"/>
          <w:lang w:val="lt-LT"/>
        </w:rPr>
        <w:lastRenderedPageBreak/>
        <w:t>Leiskite nudžiūti.</w:t>
      </w:r>
    </w:p>
    <w:bookmarkEnd w:id="2"/>
    <w:p w:rsidR="00E04BFE" w:rsidRDefault="002423BD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3"/>
          <w:szCs w:val="13"/>
          <w:lang w:val="lt-LT"/>
        </w:rPr>
        <w:t>A2) Kraujo tepinėlio dažymo procedūra naudojant May-Grünwald Giemsa (Pappenheim) perioperacinį metodą</w:t>
      </w:r>
    </w:p>
    <w:p w:rsidR="00E04BFE" w:rsidRDefault="002423BD">
      <w:pPr>
        <w:widowControl w:val="0"/>
        <w:numPr>
          <w:ilvl w:val="1"/>
          <w:numId w:val="24"/>
        </w:numPr>
        <w:tabs>
          <w:tab w:val="clear" w:pos="1528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hanging="961"/>
        <w:jc w:val="both"/>
        <w:rPr>
          <w:rStyle w:val="tw4winMark"/>
          <w:rFonts w:ascii="Arial" w:hAnsi="Arial" w:cs="Arial"/>
          <w:vanish w:val="0"/>
          <w:color w:val="auto"/>
          <w:sz w:val="16"/>
          <w:szCs w:val="16"/>
          <w:vertAlign w:val="baseline"/>
        </w:rPr>
      </w:pPr>
      <w:r>
        <w:rPr>
          <w:rFonts w:ascii="Arial" w:hAnsi="Arial" w:cs="Arial"/>
          <w:sz w:val="16"/>
          <w:szCs w:val="16"/>
          <w:lang w:val="lt-LT"/>
        </w:rPr>
        <w:t>Paruoškite periferinio kraujo tepinėlį užlašinę kraujo iš šviežio kraujo mėginio.</w:t>
      </w:r>
      <w:r>
        <w:rPr>
          <w:rFonts w:ascii="Arial" w:hAnsi="Arial" w:cs="Arial"/>
          <w:sz w:val="16"/>
          <w:szCs w:val="16"/>
        </w:rPr>
        <w:t xml:space="preserve"> </w:t>
      </w:r>
    </w:p>
    <w:p w:rsidR="00E04BFE" w:rsidRDefault="002423BD">
      <w:pPr>
        <w:widowControl w:val="0"/>
        <w:numPr>
          <w:ilvl w:val="1"/>
          <w:numId w:val="24"/>
        </w:numPr>
        <w:tabs>
          <w:tab w:val="clear" w:pos="1528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hanging="961"/>
        <w:jc w:val="both"/>
        <w:rPr>
          <w:rStyle w:val="tw4winMark"/>
          <w:rFonts w:ascii="Arial" w:hAnsi="Arial" w:cs="Arial"/>
          <w:vanish w:val="0"/>
          <w:color w:val="auto"/>
          <w:sz w:val="16"/>
          <w:szCs w:val="16"/>
          <w:vertAlign w:val="baseline"/>
        </w:rPr>
      </w:pPr>
      <w:r>
        <w:rPr>
          <w:rFonts w:ascii="Arial" w:hAnsi="Arial" w:cs="Arial"/>
          <w:sz w:val="16"/>
          <w:szCs w:val="16"/>
          <w:lang w:val="lt-LT"/>
        </w:rPr>
        <w:t>Leiskite tepinėliui nudžiūti.</w:t>
      </w:r>
      <w:r>
        <w:rPr>
          <w:rFonts w:ascii="Arial" w:hAnsi="Arial" w:cs="Arial"/>
          <w:sz w:val="16"/>
          <w:szCs w:val="16"/>
        </w:rPr>
        <w:t xml:space="preserve"> </w:t>
      </w:r>
    </w:p>
    <w:p w:rsidR="00E04BFE" w:rsidRDefault="002423BD">
      <w:pPr>
        <w:widowControl w:val="0"/>
        <w:numPr>
          <w:ilvl w:val="1"/>
          <w:numId w:val="24"/>
        </w:numPr>
        <w:tabs>
          <w:tab w:val="clear" w:pos="1528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hanging="961"/>
        <w:jc w:val="both"/>
        <w:rPr>
          <w:rStyle w:val="tw4winMark"/>
          <w:rFonts w:ascii="Arial" w:hAnsi="Arial" w:cs="Arial"/>
          <w:vanish w:val="0"/>
          <w:color w:val="auto"/>
          <w:sz w:val="16"/>
          <w:szCs w:val="16"/>
          <w:vertAlign w:val="baseline"/>
        </w:rPr>
      </w:pPr>
      <w:r>
        <w:rPr>
          <w:rFonts w:ascii="Arial" w:hAnsi="Arial" w:cs="Arial"/>
          <w:sz w:val="16"/>
          <w:szCs w:val="16"/>
          <w:lang w:val="lt-LT"/>
        </w:rPr>
        <w:t>Ant nudžiūvusio tepinėlio užlašinkite May-Gruenwald tirpalo ir palaukite 1–2 min.</w:t>
      </w:r>
      <w:r>
        <w:rPr>
          <w:rFonts w:ascii="Arial" w:hAnsi="Arial" w:cs="Arial"/>
          <w:sz w:val="16"/>
          <w:szCs w:val="16"/>
        </w:rPr>
        <w:t xml:space="preserve"> </w:t>
      </w:r>
    </w:p>
    <w:p w:rsidR="00E04BFE" w:rsidRDefault="002423BD">
      <w:pPr>
        <w:widowControl w:val="0"/>
        <w:numPr>
          <w:ilvl w:val="1"/>
          <w:numId w:val="24"/>
        </w:numPr>
        <w:tabs>
          <w:tab w:val="clear" w:pos="1528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hanging="961"/>
        <w:jc w:val="both"/>
        <w:rPr>
          <w:rStyle w:val="tw4winMark"/>
          <w:rFonts w:ascii="Arial" w:hAnsi="Arial" w:cs="Arial"/>
          <w:vanish w:val="0"/>
          <w:color w:val="auto"/>
          <w:sz w:val="16"/>
          <w:szCs w:val="16"/>
          <w:vertAlign w:val="baseline"/>
        </w:rPr>
      </w:pPr>
      <w:r>
        <w:rPr>
          <w:rFonts w:ascii="Arial" w:hAnsi="Arial" w:cs="Arial"/>
          <w:sz w:val="16"/>
          <w:szCs w:val="16"/>
          <w:lang w:val="lt-LT"/>
        </w:rPr>
        <w:t>Greitai nuplaukite tepinėlį pH 6.8 buferio tirpalu.</w:t>
      </w:r>
      <w:r>
        <w:rPr>
          <w:rFonts w:ascii="Arial" w:hAnsi="Arial" w:cs="Arial"/>
          <w:sz w:val="16"/>
          <w:szCs w:val="16"/>
        </w:rPr>
        <w:t xml:space="preserve"> </w:t>
      </w:r>
    </w:p>
    <w:p w:rsidR="00E04BFE" w:rsidRDefault="002423BD">
      <w:pPr>
        <w:widowControl w:val="0"/>
        <w:numPr>
          <w:ilvl w:val="1"/>
          <w:numId w:val="24"/>
        </w:numPr>
        <w:tabs>
          <w:tab w:val="clear" w:pos="1528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hanging="961"/>
        <w:jc w:val="both"/>
        <w:rPr>
          <w:rStyle w:val="tw4winMark"/>
          <w:rFonts w:ascii="Arial" w:hAnsi="Arial" w:cs="Arial"/>
          <w:vanish w:val="0"/>
          <w:color w:val="auto"/>
          <w:sz w:val="16"/>
          <w:szCs w:val="16"/>
          <w:vertAlign w:val="baseline"/>
        </w:rPr>
      </w:pPr>
      <w:r>
        <w:rPr>
          <w:rFonts w:ascii="Arial" w:hAnsi="Arial" w:cs="Arial"/>
          <w:sz w:val="16"/>
          <w:szCs w:val="16"/>
          <w:lang w:val="lt-LT"/>
        </w:rPr>
        <w:t>Ant nudžiūvusio tepinėlio užlašinkite Giemsa tirpalo ir palaukite 5 min.</w:t>
      </w:r>
    </w:p>
    <w:p w:rsidR="00E04BFE" w:rsidRDefault="002423BD">
      <w:pPr>
        <w:widowControl w:val="0"/>
        <w:numPr>
          <w:ilvl w:val="1"/>
          <w:numId w:val="24"/>
        </w:numPr>
        <w:tabs>
          <w:tab w:val="clear" w:pos="1528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hanging="961"/>
        <w:jc w:val="both"/>
        <w:rPr>
          <w:rStyle w:val="tw4winMark"/>
          <w:rFonts w:ascii="Arial" w:hAnsi="Arial" w:cs="Arial"/>
          <w:vanish w:val="0"/>
          <w:color w:val="auto"/>
          <w:sz w:val="16"/>
          <w:szCs w:val="16"/>
          <w:vertAlign w:val="baseline"/>
        </w:rPr>
      </w:pPr>
      <w:r>
        <w:rPr>
          <w:rFonts w:ascii="Arial" w:hAnsi="Arial" w:cs="Arial"/>
          <w:sz w:val="16"/>
          <w:szCs w:val="16"/>
          <w:lang w:val="lt-LT"/>
        </w:rPr>
        <w:t>Greitai nuplaukite tepinėlį pH 6.8 buferio tirpalu.</w:t>
      </w:r>
      <w:r>
        <w:rPr>
          <w:rFonts w:ascii="Arial" w:hAnsi="Arial" w:cs="Arial"/>
          <w:sz w:val="16"/>
          <w:szCs w:val="16"/>
        </w:rPr>
        <w:t xml:space="preserve"> </w:t>
      </w:r>
    </w:p>
    <w:p w:rsidR="00E04BFE" w:rsidRDefault="002423BD">
      <w:pPr>
        <w:widowControl w:val="0"/>
        <w:numPr>
          <w:ilvl w:val="1"/>
          <w:numId w:val="24"/>
        </w:numPr>
        <w:tabs>
          <w:tab w:val="clear" w:pos="1528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right="20" w:hanging="961"/>
        <w:jc w:val="both"/>
        <w:rPr>
          <w:rStyle w:val="tw4winMark"/>
          <w:rFonts w:ascii="Arial" w:hAnsi="Arial" w:cs="Arial"/>
          <w:vanish w:val="0"/>
          <w:color w:val="auto"/>
          <w:sz w:val="16"/>
          <w:szCs w:val="16"/>
          <w:vertAlign w:val="baseline"/>
        </w:rPr>
      </w:pPr>
      <w:r>
        <w:rPr>
          <w:rFonts w:ascii="Arial" w:hAnsi="Arial" w:cs="Arial"/>
          <w:sz w:val="16"/>
          <w:szCs w:val="16"/>
          <w:lang w:val="lt-LT"/>
        </w:rPr>
        <w:t>Pastaba.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lt-LT"/>
        </w:rPr>
        <w:t>Jei reikia, naudokite mažesnį buferio tirpalo kiekį, kad kruopščiai pašalintumėte dažomosios medžiagos perteklių, o nudažytos struktūros gerai matytųsi.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lt-LT"/>
        </w:rPr>
        <w:t>Nuplaukite tirpalą po 10–30 sekundžių.</w:t>
      </w:r>
      <w:r>
        <w:rPr>
          <w:rFonts w:ascii="Arial" w:hAnsi="Arial" w:cs="Arial"/>
          <w:sz w:val="16"/>
          <w:szCs w:val="16"/>
        </w:rPr>
        <w:t xml:space="preserve"> </w:t>
      </w:r>
    </w:p>
    <w:p w:rsidR="00E04BFE" w:rsidRDefault="002423BD">
      <w:pPr>
        <w:widowControl w:val="0"/>
        <w:numPr>
          <w:ilvl w:val="1"/>
          <w:numId w:val="24"/>
        </w:numPr>
        <w:tabs>
          <w:tab w:val="clear" w:pos="1528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hanging="961"/>
        <w:jc w:val="both"/>
        <w:rPr>
          <w:rStyle w:val="tw4winMark"/>
          <w:rFonts w:ascii="Arial" w:hAnsi="Arial" w:cs="Arial"/>
          <w:vanish w:val="0"/>
          <w:color w:val="auto"/>
          <w:sz w:val="16"/>
          <w:szCs w:val="16"/>
          <w:vertAlign w:val="baseline"/>
        </w:rPr>
      </w:pPr>
      <w:r>
        <w:rPr>
          <w:rFonts w:ascii="Arial" w:hAnsi="Arial" w:cs="Arial"/>
          <w:sz w:val="16"/>
          <w:szCs w:val="16"/>
          <w:lang w:val="lt-LT"/>
        </w:rPr>
        <w:t>Leiskite nudžiūti.</w:t>
      </w:r>
      <w:r>
        <w:rPr>
          <w:rFonts w:ascii="Arial" w:hAnsi="Arial" w:cs="Arial"/>
          <w:sz w:val="16"/>
          <w:szCs w:val="16"/>
        </w:rPr>
        <w:t xml:space="preserve"> </w:t>
      </w:r>
    </w:p>
    <w:p w:rsidR="00E04BFE" w:rsidRDefault="00E04BFE">
      <w:pPr>
        <w:widowControl w:val="0"/>
        <w:autoSpaceDE w:val="0"/>
        <w:autoSpaceDN w:val="0"/>
        <w:adjustRightInd w:val="0"/>
        <w:spacing w:after="0" w:line="83" w:lineRule="exact"/>
        <w:rPr>
          <w:rFonts w:ascii="Times New Roman" w:hAnsi="Times New Roman"/>
          <w:sz w:val="24"/>
          <w:szCs w:val="24"/>
        </w:rPr>
      </w:pPr>
    </w:p>
    <w:p w:rsidR="00E04BFE" w:rsidRDefault="002423BD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  <w:lang w:val="lt-LT"/>
        </w:rPr>
        <w:t>Rezultatas (pH 6.8)</w:t>
      </w:r>
    </w:p>
    <w:p w:rsidR="00E04BFE" w:rsidRDefault="00E04BFE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/>
          <w:sz w:val="24"/>
          <w:szCs w:val="24"/>
        </w:rPr>
      </w:pPr>
    </w:p>
    <w:p w:rsidR="00E04BFE" w:rsidRDefault="002423BD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lt-LT"/>
        </w:rPr>
        <w:t>Branduolys – violetinės spalvos</w:t>
      </w:r>
    </w:p>
    <w:p w:rsidR="00E04BFE" w:rsidRDefault="00E04BFE">
      <w:pPr>
        <w:widowControl w:val="0"/>
        <w:autoSpaceDE w:val="0"/>
        <w:autoSpaceDN w:val="0"/>
        <w:adjustRightInd w:val="0"/>
        <w:spacing w:after="0" w:line="8" w:lineRule="exact"/>
        <w:rPr>
          <w:rFonts w:ascii="Arial" w:hAnsi="Arial" w:cs="Arial"/>
          <w:sz w:val="16"/>
          <w:szCs w:val="16"/>
        </w:rPr>
      </w:pPr>
    </w:p>
    <w:p w:rsidR="00E04BFE" w:rsidRDefault="002423BD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lt-LT"/>
        </w:rPr>
        <w:t>Limfocitų plazma – mėlynos spalvos</w:t>
      </w:r>
    </w:p>
    <w:p w:rsidR="00E04BFE" w:rsidRDefault="00E04BFE">
      <w:pPr>
        <w:widowControl w:val="0"/>
        <w:autoSpaceDE w:val="0"/>
        <w:autoSpaceDN w:val="0"/>
        <w:adjustRightInd w:val="0"/>
        <w:spacing w:after="0" w:line="6" w:lineRule="exact"/>
        <w:rPr>
          <w:rFonts w:ascii="Arial" w:hAnsi="Arial" w:cs="Arial"/>
          <w:sz w:val="16"/>
          <w:szCs w:val="16"/>
        </w:rPr>
      </w:pPr>
    </w:p>
    <w:p w:rsidR="00E04BFE" w:rsidRDefault="002423BD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lt-LT"/>
        </w:rPr>
        <w:t>Monocitų plazma – pilkai mėlynos spalvos</w:t>
      </w:r>
    </w:p>
    <w:p w:rsidR="00E04BFE" w:rsidRDefault="00E04BFE">
      <w:pPr>
        <w:widowControl w:val="0"/>
        <w:autoSpaceDE w:val="0"/>
        <w:autoSpaceDN w:val="0"/>
        <w:adjustRightInd w:val="0"/>
        <w:spacing w:after="0" w:line="8" w:lineRule="exact"/>
        <w:rPr>
          <w:rFonts w:ascii="Arial" w:hAnsi="Arial" w:cs="Arial"/>
          <w:sz w:val="16"/>
          <w:szCs w:val="16"/>
        </w:rPr>
      </w:pPr>
    </w:p>
    <w:p w:rsidR="00E04BFE" w:rsidRDefault="002423BD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lt-LT"/>
        </w:rPr>
        <w:t>Neutrofilų granulė – šviesiai violetinės spalvos</w:t>
      </w:r>
    </w:p>
    <w:p w:rsidR="00E04BFE" w:rsidRDefault="00E04BFE">
      <w:pPr>
        <w:widowControl w:val="0"/>
        <w:autoSpaceDE w:val="0"/>
        <w:autoSpaceDN w:val="0"/>
        <w:adjustRightInd w:val="0"/>
        <w:spacing w:after="0" w:line="8" w:lineRule="exact"/>
        <w:rPr>
          <w:rFonts w:ascii="Arial" w:hAnsi="Arial" w:cs="Arial"/>
          <w:sz w:val="16"/>
          <w:szCs w:val="16"/>
        </w:rPr>
      </w:pPr>
    </w:p>
    <w:p w:rsidR="00E04BFE" w:rsidRDefault="002423BD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lt-LT"/>
        </w:rPr>
        <w:t>Eozinofilų granulė – nuo raudonos iki tamsiai violetinės spalvos</w:t>
      </w:r>
    </w:p>
    <w:p w:rsidR="00E04BFE" w:rsidRDefault="00E04BFE">
      <w:pPr>
        <w:widowControl w:val="0"/>
        <w:autoSpaceDE w:val="0"/>
        <w:autoSpaceDN w:val="0"/>
        <w:adjustRightInd w:val="0"/>
        <w:spacing w:after="0" w:line="8" w:lineRule="exact"/>
        <w:rPr>
          <w:rFonts w:ascii="Arial" w:hAnsi="Arial" w:cs="Arial"/>
          <w:sz w:val="16"/>
          <w:szCs w:val="16"/>
        </w:rPr>
      </w:pPr>
    </w:p>
    <w:p w:rsidR="00E04BFE" w:rsidRDefault="002423BD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lt-LT"/>
        </w:rPr>
        <w:t>Bazofilų granulė – nuo tamsiai violetinės iki juodos spalvos</w:t>
      </w:r>
    </w:p>
    <w:p w:rsidR="00E04BFE" w:rsidRDefault="00E04BFE">
      <w:pPr>
        <w:widowControl w:val="0"/>
        <w:autoSpaceDE w:val="0"/>
        <w:autoSpaceDN w:val="0"/>
        <w:adjustRightInd w:val="0"/>
        <w:spacing w:after="0" w:line="8" w:lineRule="exact"/>
        <w:rPr>
          <w:rFonts w:ascii="Arial" w:hAnsi="Arial" w:cs="Arial"/>
          <w:sz w:val="16"/>
          <w:szCs w:val="16"/>
        </w:rPr>
      </w:pPr>
    </w:p>
    <w:p w:rsidR="00E04BFE" w:rsidRDefault="002423BD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lt-LT"/>
        </w:rPr>
        <w:t>Trombocitai – violetinės spalvos</w:t>
      </w:r>
    </w:p>
    <w:p w:rsidR="00E04BFE" w:rsidRDefault="00E04BFE">
      <w:pPr>
        <w:widowControl w:val="0"/>
        <w:autoSpaceDE w:val="0"/>
        <w:autoSpaceDN w:val="0"/>
        <w:adjustRightInd w:val="0"/>
        <w:spacing w:after="0" w:line="9" w:lineRule="exact"/>
        <w:rPr>
          <w:rFonts w:ascii="Arial" w:hAnsi="Arial" w:cs="Arial"/>
          <w:sz w:val="16"/>
          <w:szCs w:val="16"/>
        </w:rPr>
      </w:pPr>
    </w:p>
    <w:p w:rsidR="00E04BFE" w:rsidRDefault="002423BD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lt-LT"/>
        </w:rPr>
        <w:t>Eritrocitai – rausvos spalvos</w:t>
      </w:r>
    </w:p>
    <w:p w:rsidR="00E04BFE" w:rsidRDefault="00E04BFE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/>
          <w:sz w:val="24"/>
          <w:szCs w:val="24"/>
        </w:rPr>
      </w:pPr>
    </w:p>
    <w:p w:rsidR="00E04BFE" w:rsidRDefault="002423BD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  <w:lang w:val="lt-LT"/>
        </w:rPr>
        <w:t>Histologinių mėginių ir tirpalų paruošimas Giemsa tirpalo dažymui (kaulų čiulpų biopsija, klubikaulio biopsija)</w:t>
      </w:r>
    </w:p>
    <w:p w:rsidR="00E04BFE" w:rsidRDefault="002423BD">
      <w:pPr>
        <w:widowControl w:val="0"/>
        <w:numPr>
          <w:ilvl w:val="1"/>
          <w:numId w:val="30"/>
        </w:numPr>
        <w:tabs>
          <w:tab w:val="clear" w:pos="1528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Style w:val="tw4winMark"/>
          <w:rFonts w:ascii="Arial" w:hAnsi="Arial" w:cs="Arial"/>
          <w:vanish w:val="0"/>
          <w:color w:val="auto"/>
          <w:sz w:val="16"/>
          <w:szCs w:val="16"/>
          <w:vertAlign w:val="baseline"/>
        </w:rPr>
      </w:pPr>
      <w:r>
        <w:rPr>
          <w:rFonts w:ascii="Arial" w:hAnsi="Arial" w:cs="Arial"/>
          <w:sz w:val="16"/>
          <w:szCs w:val="16"/>
          <w:lang w:val="lt-LT"/>
        </w:rPr>
        <w:t>Užfiksuokite mėginį (formaldehidu NB 4 proc., formaldehidu NB 10 proc.), nuskalaukite vandeniu ir dehidruokite didėjančia seka naudodami alkoholio tirpalus („Histanol 70“, „Histanol 80“ ir „Histanol 100“).</w:t>
      </w:r>
      <w:r>
        <w:rPr>
          <w:rFonts w:ascii="Arial" w:hAnsi="Arial" w:cs="Arial"/>
          <w:sz w:val="16"/>
          <w:szCs w:val="16"/>
        </w:rPr>
        <w:t xml:space="preserve"> </w:t>
      </w:r>
    </w:p>
    <w:p w:rsidR="00E04BFE" w:rsidRDefault="002423BD">
      <w:pPr>
        <w:widowControl w:val="0"/>
        <w:numPr>
          <w:ilvl w:val="1"/>
          <w:numId w:val="30"/>
        </w:numPr>
        <w:tabs>
          <w:tab w:val="clear" w:pos="1528"/>
          <w:tab w:val="num" w:pos="851"/>
        </w:tabs>
        <w:overflowPunct w:val="0"/>
        <w:autoSpaceDE w:val="0"/>
        <w:autoSpaceDN w:val="0"/>
        <w:adjustRightInd w:val="0"/>
        <w:spacing w:after="0" w:line="180" w:lineRule="auto"/>
        <w:ind w:left="851" w:hanging="425"/>
        <w:jc w:val="both"/>
        <w:rPr>
          <w:rStyle w:val="tw4winMark"/>
          <w:rFonts w:ascii="Arial" w:hAnsi="Arial" w:cs="Arial"/>
          <w:vanish w:val="0"/>
          <w:color w:val="auto"/>
          <w:sz w:val="16"/>
          <w:szCs w:val="16"/>
          <w:vertAlign w:val="baseline"/>
        </w:rPr>
      </w:pPr>
      <w:r>
        <w:rPr>
          <w:rFonts w:ascii="Arial" w:hAnsi="Arial" w:cs="Arial"/>
          <w:sz w:val="16"/>
          <w:szCs w:val="16"/>
          <w:lang w:val="lt-LT"/>
        </w:rPr>
        <w:t>Dekalcinuokite mėginį pamerkę jį švelnioje dekalcinavimo priemonėje („OsteoSens“).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lt-LT"/>
        </w:rPr>
        <w:t>Laikykite jį pamerktą 6 valandas.</w:t>
      </w:r>
      <w:r>
        <w:rPr>
          <w:rFonts w:ascii="Arial" w:hAnsi="Arial" w:cs="Arial"/>
          <w:sz w:val="16"/>
          <w:szCs w:val="16"/>
        </w:rPr>
        <w:t xml:space="preserve"> </w:t>
      </w:r>
    </w:p>
    <w:p w:rsidR="00E04BFE" w:rsidRDefault="002423BD">
      <w:pPr>
        <w:widowControl w:val="0"/>
        <w:numPr>
          <w:ilvl w:val="1"/>
          <w:numId w:val="30"/>
        </w:numPr>
        <w:tabs>
          <w:tab w:val="clear" w:pos="1528"/>
          <w:tab w:val="num" w:pos="851"/>
        </w:tabs>
        <w:overflowPunct w:val="0"/>
        <w:autoSpaceDE w:val="0"/>
        <w:autoSpaceDN w:val="0"/>
        <w:adjustRightInd w:val="0"/>
        <w:spacing w:after="0" w:line="200" w:lineRule="auto"/>
        <w:ind w:left="851" w:hanging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lt-LT"/>
        </w:rPr>
        <w:t>Padalinkite mėginį į mažas dalis (5–20 µm).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lt-LT"/>
        </w:rPr>
        <w:t>Jei reikia, dar kartą jį apdorokite dekalcinavimo priemone („OsteoSens“) 20 min.</w:t>
      </w:r>
    </w:p>
    <w:p w:rsidR="00E04BFE" w:rsidRDefault="002423BD">
      <w:pPr>
        <w:widowControl w:val="0"/>
        <w:numPr>
          <w:ilvl w:val="1"/>
          <w:numId w:val="30"/>
        </w:numPr>
        <w:tabs>
          <w:tab w:val="clear" w:pos="1528"/>
          <w:tab w:val="num" w:pos="851"/>
        </w:tabs>
        <w:overflowPunct w:val="0"/>
        <w:autoSpaceDE w:val="0"/>
        <w:autoSpaceDN w:val="0"/>
        <w:adjustRightInd w:val="0"/>
        <w:spacing w:after="0" w:line="200" w:lineRule="auto"/>
        <w:ind w:left="851" w:hanging="425"/>
        <w:jc w:val="both"/>
        <w:rPr>
          <w:rStyle w:val="tw4winMark"/>
          <w:rFonts w:ascii="Arial" w:hAnsi="Arial" w:cs="Arial"/>
          <w:vanish w:val="0"/>
          <w:color w:val="auto"/>
          <w:sz w:val="16"/>
          <w:szCs w:val="16"/>
          <w:vertAlign w:val="baseline"/>
        </w:rPr>
      </w:pPr>
      <w:r>
        <w:rPr>
          <w:rFonts w:ascii="Arial" w:hAnsi="Arial" w:cs="Arial"/>
          <w:sz w:val="16"/>
          <w:szCs w:val="16"/>
          <w:lang w:val="lt-LT"/>
        </w:rPr>
        <w:t>Nuvalykite mėginį tarpine terpe naudodami ksileną („BioClear“) arba ksileno pakaitalą („BioNene“, „BioClear New“).</w:t>
      </w:r>
      <w:r>
        <w:rPr>
          <w:rFonts w:ascii="Arial" w:hAnsi="Arial" w:cs="Arial"/>
          <w:sz w:val="16"/>
          <w:szCs w:val="16"/>
        </w:rPr>
        <w:t xml:space="preserve"> </w:t>
      </w:r>
    </w:p>
    <w:p w:rsidR="00E04BFE" w:rsidRDefault="002423BD">
      <w:pPr>
        <w:widowControl w:val="0"/>
        <w:numPr>
          <w:ilvl w:val="1"/>
          <w:numId w:val="30"/>
        </w:numPr>
        <w:tabs>
          <w:tab w:val="clear" w:pos="1528"/>
          <w:tab w:val="num" w:pos="851"/>
        </w:tabs>
        <w:overflowPunct w:val="0"/>
        <w:autoSpaceDE w:val="0"/>
        <w:autoSpaceDN w:val="0"/>
        <w:adjustRightInd w:val="0"/>
        <w:spacing w:after="0" w:line="200" w:lineRule="auto"/>
        <w:ind w:left="851" w:hanging="425"/>
        <w:jc w:val="both"/>
        <w:rPr>
          <w:rStyle w:val="tw4winMark"/>
          <w:rFonts w:ascii="Arial" w:hAnsi="Arial" w:cs="Arial"/>
          <w:vanish w:val="0"/>
          <w:color w:val="auto"/>
          <w:sz w:val="16"/>
          <w:szCs w:val="16"/>
          <w:vertAlign w:val="baseline"/>
        </w:rPr>
      </w:pPr>
      <w:r>
        <w:rPr>
          <w:rFonts w:ascii="Arial" w:hAnsi="Arial" w:cs="Arial"/>
          <w:sz w:val="16"/>
          <w:szCs w:val="16"/>
          <w:lang w:val="lt-LT"/>
        </w:rPr>
        <w:t>Infiltruokite ir įdėkite mėginį į parafiną („BioWax 52/54“, „BioWax 56/58“, „BioWax Blue“, „BioWax Micro“, „BioWax Plus 56/58“).</w:t>
      </w:r>
      <w:r>
        <w:rPr>
          <w:rFonts w:ascii="Arial" w:hAnsi="Arial" w:cs="Arial"/>
          <w:sz w:val="16"/>
          <w:szCs w:val="16"/>
        </w:rPr>
        <w:t xml:space="preserve"> </w:t>
      </w:r>
    </w:p>
    <w:p w:rsidR="00E04BFE" w:rsidRDefault="002423BD">
      <w:pPr>
        <w:widowControl w:val="0"/>
        <w:numPr>
          <w:ilvl w:val="1"/>
          <w:numId w:val="30"/>
        </w:numPr>
        <w:tabs>
          <w:tab w:val="clear" w:pos="1528"/>
          <w:tab w:val="num" w:pos="851"/>
        </w:tabs>
        <w:overflowPunct w:val="0"/>
        <w:autoSpaceDE w:val="0"/>
        <w:autoSpaceDN w:val="0"/>
        <w:adjustRightInd w:val="0"/>
        <w:spacing w:after="0" w:line="200" w:lineRule="auto"/>
        <w:ind w:left="851" w:hanging="425"/>
        <w:jc w:val="both"/>
        <w:rPr>
          <w:rStyle w:val="tw4winMark"/>
          <w:rFonts w:ascii="Arial" w:hAnsi="Arial" w:cs="Arial"/>
          <w:vanish w:val="0"/>
          <w:color w:val="auto"/>
          <w:sz w:val="16"/>
          <w:szCs w:val="16"/>
          <w:vertAlign w:val="baseline"/>
        </w:rPr>
      </w:pPr>
      <w:r>
        <w:rPr>
          <w:rFonts w:ascii="Arial" w:hAnsi="Arial" w:cs="Arial"/>
          <w:sz w:val="16"/>
          <w:szCs w:val="16"/>
          <w:lang w:val="lt-LT"/>
        </w:rPr>
        <w:t>Padalinkite parafino bloką į 4–6 µm dalis ir uždėkite jas ant „VitroGnos“ stikliuko.</w:t>
      </w:r>
      <w:r>
        <w:rPr>
          <w:rFonts w:ascii="Arial" w:hAnsi="Arial" w:cs="Arial"/>
          <w:sz w:val="16"/>
          <w:szCs w:val="16"/>
        </w:rPr>
        <w:t xml:space="preserve"> </w:t>
      </w:r>
    </w:p>
    <w:p w:rsidR="00E04BFE" w:rsidRPr="00B35814" w:rsidRDefault="00E04BFE">
      <w:pPr>
        <w:widowControl w:val="0"/>
        <w:autoSpaceDE w:val="0"/>
        <w:autoSpaceDN w:val="0"/>
        <w:adjustRightInd w:val="0"/>
        <w:spacing w:after="0" w:line="72" w:lineRule="exact"/>
        <w:rPr>
          <w:rFonts w:ascii="Symbol" w:hAnsi="Symbol" w:cs="Symbol"/>
          <w:sz w:val="16"/>
          <w:szCs w:val="16"/>
          <w:vertAlign w:val="subscript"/>
        </w:rPr>
      </w:pPr>
    </w:p>
    <w:p w:rsidR="00E04BFE" w:rsidRDefault="002423BD">
      <w:pPr>
        <w:widowControl w:val="0"/>
        <w:numPr>
          <w:ilvl w:val="0"/>
          <w:numId w:val="7"/>
        </w:numPr>
        <w:tabs>
          <w:tab w:val="clear" w:pos="720"/>
          <w:tab w:val="num" w:pos="188"/>
        </w:tabs>
        <w:overflowPunct w:val="0"/>
        <w:autoSpaceDE w:val="0"/>
        <w:autoSpaceDN w:val="0"/>
        <w:adjustRightInd w:val="0"/>
        <w:spacing w:after="0" w:line="200" w:lineRule="auto"/>
        <w:ind w:left="188" w:hanging="188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lt-LT"/>
        </w:rPr>
        <w:t>Histologinių mėginių dažymo procedūra naudojant Giemsa tirpalą</w:t>
      </w:r>
    </w:p>
    <w:p w:rsidR="00E04BFE" w:rsidRDefault="002423BD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Style w:val="tw4winMark"/>
          <w:rFonts w:ascii="Arial" w:hAnsi="Arial" w:cs="Arial"/>
          <w:vanish w:val="0"/>
          <w:color w:val="auto"/>
          <w:sz w:val="16"/>
          <w:szCs w:val="16"/>
          <w:vertAlign w:val="baseline"/>
        </w:rPr>
      </w:pPr>
      <w:r>
        <w:rPr>
          <w:rFonts w:ascii="Arial" w:hAnsi="Arial" w:cs="Arial"/>
          <w:sz w:val="16"/>
          <w:szCs w:val="16"/>
          <w:lang w:val="lt-LT"/>
        </w:rPr>
        <w:t>Pašalinkite parafiną iš segmento naudodami ksileną („BioClear“) arba ksileno pakaitalą („BioNene“, „BioClear New“), tuomet rehidruokite mažėjančią seka naudodami alkoholio tirpalus („Histanol 100“, „Histanol 95“, „Histanol 80“ ir „Histanol 70“).</w:t>
      </w:r>
      <w:r>
        <w:rPr>
          <w:rFonts w:ascii="Arial" w:hAnsi="Arial" w:cs="Arial"/>
          <w:sz w:val="16"/>
          <w:szCs w:val="16"/>
        </w:rPr>
        <w:t xml:space="preserve"> </w:t>
      </w:r>
    </w:p>
    <w:p w:rsidR="00E04BFE" w:rsidRDefault="002423BD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Style w:val="tw4winMark"/>
          <w:rFonts w:ascii="Arial" w:hAnsi="Arial" w:cs="Arial"/>
          <w:vanish w:val="0"/>
          <w:color w:val="auto"/>
          <w:sz w:val="16"/>
          <w:szCs w:val="16"/>
          <w:vertAlign w:val="baseline"/>
        </w:rPr>
      </w:pPr>
      <w:r>
        <w:rPr>
          <w:rFonts w:ascii="Arial" w:hAnsi="Arial" w:cs="Arial"/>
          <w:sz w:val="16"/>
          <w:szCs w:val="16"/>
          <w:lang w:val="lt-LT"/>
        </w:rPr>
        <w:t>Skalaukite dalį 10 sek. distiliuotu / demineralizuotu vandeniu.</w:t>
      </w:r>
      <w:r>
        <w:rPr>
          <w:rFonts w:ascii="Arial" w:hAnsi="Arial" w:cs="Arial"/>
          <w:sz w:val="16"/>
          <w:szCs w:val="16"/>
        </w:rPr>
        <w:t xml:space="preserve"> </w:t>
      </w:r>
    </w:p>
    <w:p w:rsidR="00E04BFE" w:rsidRDefault="002423BD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Style w:val="tw4winMark"/>
          <w:rFonts w:ascii="Arial" w:hAnsi="Arial" w:cs="Arial"/>
          <w:vanish w:val="0"/>
          <w:color w:val="auto"/>
          <w:sz w:val="16"/>
          <w:szCs w:val="16"/>
          <w:vertAlign w:val="baseline"/>
        </w:rPr>
      </w:pPr>
      <w:r>
        <w:rPr>
          <w:rFonts w:ascii="Arial" w:hAnsi="Arial" w:cs="Arial"/>
          <w:sz w:val="16"/>
          <w:szCs w:val="16"/>
          <w:lang w:val="lt-LT"/>
        </w:rPr>
        <w:t>Nudažykite segmentą Giemsa tirpalu panardindami jį į tirpalą 10–15 min. arba kol pasiekiamas optimalus nudažymo lygis.</w:t>
      </w:r>
      <w:r>
        <w:rPr>
          <w:rFonts w:ascii="Arial" w:hAnsi="Arial" w:cs="Arial"/>
          <w:sz w:val="16"/>
          <w:szCs w:val="16"/>
        </w:rPr>
        <w:t xml:space="preserve"> </w:t>
      </w:r>
    </w:p>
    <w:p w:rsidR="00E04BFE" w:rsidRDefault="002423B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8"/>
        <w:jc w:val="both"/>
        <w:rPr>
          <w:rStyle w:val="tw4winMark"/>
          <w:rFonts w:ascii="Arial" w:hAnsi="Arial" w:cs="Arial"/>
          <w:vanish w:val="0"/>
          <w:color w:val="auto"/>
          <w:sz w:val="16"/>
          <w:szCs w:val="16"/>
          <w:vertAlign w:val="baseline"/>
        </w:rPr>
      </w:pPr>
      <w:r>
        <w:rPr>
          <w:rFonts w:ascii="Arial" w:hAnsi="Arial" w:cs="Arial"/>
          <w:sz w:val="16"/>
          <w:szCs w:val="16"/>
          <w:lang w:val="lt-LT"/>
        </w:rPr>
        <w:t>Pastaba.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lt-LT"/>
        </w:rPr>
        <w:t>Naudokite neatskiestą Giemsa tirpalą vietoj darbinio tirpalo.</w:t>
      </w:r>
      <w:r>
        <w:rPr>
          <w:rFonts w:ascii="Arial" w:hAnsi="Arial" w:cs="Arial"/>
          <w:sz w:val="16"/>
          <w:szCs w:val="16"/>
        </w:rPr>
        <w:t xml:space="preserve"> </w:t>
      </w:r>
    </w:p>
    <w:p w:rsidR="00E04BFE" w:rsidRDefault="002423BD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Style w:val="tw4winMark"/>
          <w:rFonts w:ascii="Arial" w:hAnsi="Arial" w:cs="Arial"/>
          <w:vanish w:val="0"/>
          <w:color w:val="auto"/>
          <w:sz w:val="16"/>
          <w:szCs w:val="16"/>
          <w:vertAlign w:val="baseline"/>
        </w:rPr>
      </w:pPr>
      <w:r>
        <w:rPr>
          <w:rFonts w:ascii="Arial" w:hAnsi="Arial" w:cs="Arial"/>
          <w:sz w:val="16"/>
          <w:szCs w:val="16"/>
          <w:lang w:val="lt-LT"/>
        </w:rPr>
        <w:t>Diferencijuokite segmentą 10 sek. naudodami 0,1 proc. acto rūgšties tirpalo.</w:t>
      </w:r>
      <w:r>
        <w:rPr>
          <w:rFonts w:ascii="Arial" w:hAnsi="Arial" w:cs="Arial"/>
          <w:sz w:val="16"/>
          <w:szCs w:val="16"/>
        </w:rPr>
        <w:t xml:space="preserve"> </w:t>
      </w:r>
    </w:p>
    <w:p w:rsidR="00E04BFE" w:rsidRDefault="002423BD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Style w:val="tw4winMark"/>
          <w:rFonts w:ascii="Arial" w:hAnsi="Arial" w:cs="Arial"/>
          <w:vanish w:val="0"/>
          <w:color w:val="auto"/>
          <w:sz w:val="16"/>
          <w:szCs w:val="16"/>
          <w:vertAlign w:val="baseline"/>
        </w:rPr>
      </w:pPr>
      <w:r>
        <w:rPr>
          <w:rFonts w:ascii="Arial" w:hAnsi="Arial" w:cs="Arial"/>
          <w:sz w:val="16"/>
          <w:szCs w:val="16"/>
          <w:lang w:val="lt-LT"/>
        </w:rPr>
        <w:t>Skalaukite dalį 10 sek. distiliuotu / demineralizuotu vandeniu.</w:t>
      </w:r>
      <w:r>
        <w:rPr>
          <w:rFonts w:ascii="Arial" w:hAnsi="Arial" w:cs="Arial"/>
          <w:sz w:val="16"/>
          <w:szCs w:val="16"/>
        </w:rPr>
        <w:t xml:space="preserve"> </w:t>
      </w:r>
    </w:p>
    <w:p w:rsidR="00E04BFE" w:rsidRDefault="002423BD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Style w:val="tw4winMark"/>
          <w:rFonts w:ascii="Arial" w:hAnsi="Arial" w:cs="Arial"/>
          <w:vanish w:val="0"/>
          <w:color w:val="auto"/>
          <w:sz w:val="16"/>
          <w:szCs w:val="16"/>
          <w:vertAlign w:val="baseline"/>
        </w:rPr>
      </w:pPr>
      <w:r>
        <w:rPr>
          <w:rFonts w:ascii="Arial" w:hAnsi="Arial" w:cs="Arial"/>
          <w:sz w:val="16"/>
          <w:szCs w:val="16"/>
          <w:lang w:val="lt-LT"/>
        </w:rPr>
        <w:t>Dehidruokite segmentą trejais izopropilo alkoholio tirpalais („Histanol IP“), keičiamais kas 10 sekundžių.</w:t>
      </w:r>
      <w:r>
        <w:rPr>
          <w:rFonts w:ascii="Arial" w:hAnsi="Arial" w:cs="Arial"/>
          <w:sz w:val="16"/>
          <w:szCs w:val="16"/>
        </w:rPr>
        <w:t xml:space="preserve"> </w:t>
      </w:r>
    </w:p>
    <w:p w:rsidR="00E04BFE" w:rsidRDefault="002423BD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Style w:val="tw4winMark"/>
          <w:rFonts w:ascii="Arial" w:hAnsi="Arial" w:cs="Arial"/>
          <w:vanish w:val="0"/>
          <w:color w:val="auto"/>
          <w:sz w:val="16"/>
          <w:szCs w:val="16"/>
          <w:vertAlign w:val="baseline"/>
        </w:rPr>
      </w:pPr>
      <w:r>
        <w:rPr>
          <w:rFonts w:ascii="Arial" w:hAnsi="Arial" w:cs="Arial"/>
          <w:sz w:val="16"/>
          <w:szCs w:val="16"/>
          <w:lang w:val="lt-LT"/>
        </w:rPr>
        <w:t>Nuvalykite segmentą du kartus panardindami jį į ksileną („BioClear“) arba ksileno pakaitalą („BioNene“, „BioClear New“); kiekvienas panardinimas turi trukti 5 minutes.</w:t>
      </w:r>
      <w:r>
        <w:rPr>
          <w:rFonts w:ascii="Arial" w:hAnsi="Arial" w:cs="Arial"/>
          <w:sz w:val="16"/>
          <w:szCs w:val="16"/>
        </w:rPr>
        <w:t xml:space="preserve"> </w:t>
      </w:r>
    </w:p>
    <w:p w:rsidR="00E04BFE" w:rsidRDefault="002423BD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Style w:val="tw4winMark"/>
          <w:rFonts w:ascii="Arial" w:hAnsi="Arial" w:cs="Arial"/>
          <w:vanish w:val="0"/>
          <w:color w:val="auto"/>
          <w:sz w:val="16"/>
          <w:szCs w:val="16"/>
          <w:vertAlign w:val="baseline"/>
        </w:rPr>
      </w:pPr>
      <w:r>
        <w:rPr>
          <w:rFonts w:ascii="Arial" w:hAnsi="Arial" w:cs="Arial"/>
          <w:sz w:val="16"/>
          <w:szCs w:val="16"/>
          <w:lang w:val="lt-LT"/>
        </w:rPr>
        <w:t>Sutvirtinkite tinkama terpe.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lt-LT"/>
        </w:rPr>
        <w:t>Jei naudojamas „BioClear“ ksilenas, naudokite „BioMount“, „BioMount C“, „BioMount DPX“, „BioMount M“, „Canada Balsam“ arba „MountQuick Tube“.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lt-LT"/>
        </w:rPr>
        <w:t>Jei naudojamas „BioClear New“ pakaitalas, tinkama padengimo medžiaga yra „BioMount New“.</w:t>
      </w:r>
      <w:r>
        <w:rPr>
          <w:rFonts w:ascii="Arial" w:hAnsi="Arial" w:cs="Arial"/>
          <w:sz w:val="16"/>
          <w:szCs w:val="16"/>
        </w:rPr>
        <w:t xml:space="preserve"> </w:t>
      </w:r>
    </w:p>
    <w:p w:rsidR="00E04BFE" w:rsidRDefault="002423BD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Style w:val="tw4winMark"/>
          <w:rFonts w:ascii="Arial" w:hAnsi="Arial" w:cs="Arial"/>
          <w:vanish w:val="0"/>
          <w:color w:val="auto"/>
          <w:sz w:val="16"/>
          <w:szCs w:val="16"/>
          <w:vertAlign w:val="baseline"/>
        </w:rPr>
      </w:pPr>
      <w:r>
        <w:rPr>
          <w:rFonts w:ascii="Arial" w:hAnsi="Arial" w:cs="Arial"/>
          <w:sz w:val="16"/>
          <w:szCs w:val="16"/>
          <w:lang w:val="lt-LT"/>
        </w:rPr>
        <w:t>Uždenkite segmentą „VitroGnost“ uždengimo stikliuku.</w:t>
      </w:r>
      <w:r>
        <w:rPr>
          <w:rFonts w:ascii="Arial" w:hAnsi="Arial" w:cs="Arial"/>
          <w:sz w:val="16"/>
          <w:szCs w:val="16"/>
        </w:rPr>
        <w:t xml:space="preserve"> </w:t>
      </w:r>
    </w:p>
    <w:p w:rsidR="00E04BFE" w:rsidRDefault="00E04BFE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</w:rPr>
      </w:pPr>
    </w:p>
    <w:p w:rsidR="00E04BFE" w:rsidRDefault="002423BD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  <w:lang w:val="lt-LT"/>
        </w:rPr>
        <w:t>Rezultatas</w:t>
      </w:r>
    </w:p>
    <w:p w:rsidR="00E04BFE" w:rsidRDefault="002423BD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lt-LT"/>
        </w:rPr>
        <w:t>Branduolys – mėlynos spalvos</w:t>
      </w:r>
    </w:p>
    <w:p w:rsidR="00E04BFE" w:rsidRDefault="002423BD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8" w:right="715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lt-LT"/>
        </w:rPr>
        <w:t>Kolagenas, osteoidas – šviesiai mėlynos spalvos</w:t>
      </w:r>
    </w:p>
    <w:p w:rsidR="00E04BFE" w:rsidRDefault="002423BD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8" w:right="715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lt-LT"/>
        </w:rPr>
        <w:t>Eozinofilo granulės – raudonos spalvos</w:t>
      </w:r>
    </w:p>
    <w:p w:rsidR="00E04BFE" w:rsidRDefault="002423BD">
      <w:pPr>
        <w:widowControl w:val="0"/>
        <w:overflowPunct w:val="0"/>
        <w:autoSpaceDE w:val="0"/>
        <w:autoSpaceDN w:val="0"/>
        <w:adjustRightInd w:val="0"/>
        <w:spacing w:after="0" w:line="180" w:lineRule="auto"/>
        <w:ind w:left="8" w:right="57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lt-LT"/>
        </w:rPr>
        <w:t>Acidofiliniai mukopolisacharidai, mastocitai, kremzlės matrica – raudonai violetinės spalvos Acidofilinės medžiagos – oranžiniai raudonos spalvos</w:t>
      </w:r>
    </w:p>
    <w:p w:rsidR="00E04BFE" w:rsidRDefault="00E04BFE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</w:rPr>
      </w:pPr>
    </w:p>
    <w:p w:rsidR="00E04BFE" w:rsidRDefault="002423BD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  <w:lang w:val="lt-LT"/>
        </w:rPr>
        <w:t>Pastaba.</w:t>
      </w:r>
    </w:p>
    <w:p w:rsidR="00E04BFE" w:rsidRDefault="002423BD">
      <w:pPr>
        <w:widowControl w:val="0"/>
        <w:overflowPunct w:val="0"/>
        <w:autoSpaceDE w:val="0"/>
        <w:autoSpaceDN w:val="0"/>
        <w:adjustRightInd w:val="0"/>
        <w:spacing w:after="0" w:line="180" w:lineRule="auto"/>
        <w:ind w:left="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lt-LT"/>
        </w:rPr>
        <w:t>Dažymo procesų trukmės nėra visiškai standartizuotos. Jos atitinka klinikinę ir praktinę laboratorijų patirtį.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lt-LT"/>
        </w:rPr>
        <w:t>Dažymo intensyvumas priklauso nuo panardinimo į dažomąją medžiagą trukmės.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lt-LT"/>
        </w:rPr>
        <w:t>Realus dažymo protokolas priklauso nuo asmeninių pageidavimų ir prioritetų.</w:t>
      </w:r>
    </w:p>
    <w:p w:rsidR="00E04BFE" w:rsidRDefault="00E04BFE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/>
          <w:sz w:val="24"/>
          <w:szCs w:val="24"/>
        </w:rPr>
      </w:pPr>
    </w:p>
    <w:p w:rsidR="00E04BFE" w:rsidRDefault="002423BD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  <w:lang w:val="lt-LT"/>
        </w:rPr>
        <w:t>Mėginio paruošimas ir diagnostika</w:t>
      </w:r>
    </w:p>
    <w:p w:rsidR="00E04BFE" w:rsidRDefault="002423BD">
      <w:pPr>
        <w:widowControl w:val="0"/>
        <w:overflowPunct w:val="0"/>
        <w:autoSpaceDE w:val="0"/>
        <w:autoSpaceDN w:val="0"/>
        <w:adjustRightInd w:val="0"/>
        <w:spacing w:after="0" w:line="200" w:lineRule="auto"/>
        <w:ind w:left="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lt-LT"/>
        </w:rPr>
        <w:t>Mėginiams paimti ir paruošti naudokite tik tinkamus instrumentus.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lt-LT"/>
        </w:rPr>
        <w:t>Apdorokite mėginius naudodami modernią technologiją ir aiškiai juos pažymėkite.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lt-LT"/>
        </w:rPr>
        <w:t>Vadovaukitės gamintojo naudojimo nurodymais.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lt-LT"/>
        </w:rPr>
        <w:t>Siekiant išvengti klaidų, dažymo procedūrą ir diagnostiką turėtų atlikti įgaliotieji ir kvalifikuoti darbuotojai.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lt-LT"/>
        </w:rPr>
        <w:t>Mikroskopą naudokite tik pagal laboratorijos medicininės diagnostikos standartus.</w:t>
      </w:r>
    </w:p>
    <w:p w:rsidR="00E04BFE" w:rsidRDefault="00E04BFE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/>
          <w:sz w:val="24"/>
          <w:szCs w:val="24"/>
        </w:rPr>
      </w:pPr>
    </w:p>
    <w:p w:rsidR="00E04BFE" w:rsidRDefault="002423BD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lt-LT"/>
        </w:rPr>
        <w:t>Sauga darbe ir aplinkos apsauga</w:t>
      </w:r>
    </w:p>
    <w:p w:rsidR="00E04BFE" w:rsidRDefault="002423BD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lt-LT"/>
        </w:rPr>
        <w:t>Naudokite gaminį pagal saugos darbe ir aplinkos apsaugos gaires.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lt-LT"/>
        </w:rPr>
        <w:t>Panaudotus tirpalus ir pasibaigusio naudojimo termino tirpalus reikia šalinti kaip specialias atliekas, laikantis nacionalinių gairių.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lt-LT"/>
        </w:rPr>
        <w:t>Šios procedūros metu naudojami reagentai gali kelti pavojų žmonių sveikatai.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lt-LT"/>
        </w:rPr>
        <w:t>Patikrinti audinių mėginiai gali kelti infekcijos pavojų.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lt-LT"/>
        </w:rPr>
        <w:t>Vadovaujantis gera laboratorijos praktika, reikėtų imtis būtinų priemonių žmonių sveikatai apsaugoti.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lt-LT"/>
        </w:rPr>
        <w:t>Procedūras atlikite vadovaudamiesi ženklais ir perspėjimais, atspausdintais gaminio etiketėje, taip pat pateikiamais „BioGnost“ medžiagos saugos duomenų lape.</w:t>
      </w:r>
    </w:p>
    <w:p w:rsidR="00E04BFE" w:rsidRDefault="00E04BFE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/>
          <w:sz w:val="24"/>
          <w:szCs w:val="24"/>
        </w:rPr>
      </w:pPr>
    </w:p>
    <w:p w:rsidR="00E04BFE" w:rsidRDefault="002423BD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  <w:lang w:val="lt-LT"/>
        </w:rPr>
        <w:t>Laikymas, stabilumas ir galiojimo data</w:t>
      </w:r>
    </w:p>
    <w:p w:rsidR="00E04BFE" w:rsidRDefault="002423BD">
      <w:pPr>
        <w:widowControl w:val="0"/>
        <w:overflowPunct w:val="0"/>
        <w:autoSpaceDE w:val="0"/>
        <w:autoSpaceDN w:val="0"/>
        <w:adjustRightInd w:val="0"/>
        <w:spacing w:after="0" w:line="180" w:lineRule="auto"/>
        <w:ind w:left="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lt-LT"/>
        </w:rPr>
        <w:t>Laikykite Giemsa tirpalą 15–25 °C temperatūroje. Nelaikykite šaltose vietose, neužšaldykite ir venkite tiesioginių saulės spindulių poveikio.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lt-LT"/>
        </w:rPr>
        <w:t>Pagaminimo data ir galiojimo data yra nurodytos gaminio etiketėje.</w:t>
      </w:r>
    </w:p>
    <w:p w:rsidR="00E04BFE" w:rsidRDefault="00E04BFE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</w:rPr>
      </w:pPr>
    </w:p>
    <w:p w:rsidR="00E04BFE" w:rsidRDefault="002423BD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  <w:lang w:val="lt-LT"/>
        </w:rPr>
        <w:t>Nuorodos</w:t>
      </w:r>
    </w:p>
    <w:p w:rsidR="00E04BFE" w:rsidRDefault="002423BD">
      <w:pPr>
        <w:widowControl w:val="0"/>
        <w:numPr>
          <w:ilvl w:val="0"/>
          <w:numId w:val="8"/>
        </w:numPr>
        <w:tabs>
          <w:tab w:val="clear" w:pos="720"/>
          <w:tab w:val="num" w:pos="288"/>
        </w:tabs>
        <w:overflowPunct w:val="0"/>
        <w:autoSpaceDE w:val="0"/>
        <w:autoSpaceDN w:val="0"/>
        <w:adjustRightInd w:val="0"/>
        <w:spacing w:after="0" w:line="240" w:lineRule="auto"/>
        <w:ind w:left="288" w:hanging="204"/>
        <w:jc w:val="both"/>
        <w:rPr>
          <w:rFonts w:ascii="Arial" w:hAnsi="Arial" w:cs="Arial"/>
        </w:rPr>
      </w:pPr>
      <w:r>
        <w:rPr>
          <w:rFonts w:ascii="Arial" w:hAnsi="Arial" w:cs="Arial"/>
          <w:sz w:val="13"/>
          <w:szCs w:val="13"/>
          <w:lang w:val="lt-LT"/>
        </w:rPr>
        <w:t>Beck, R.C. (1938):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i/>
          <w:iCs/>
          <w:sz w:val="13"/>
          <w:szCs w:val="13"/>
          <w:lang w:val="lt-LT"/>
        </w:rPr>
        <w:t>Laboratory Manual of Heamtological Technique,</w:t>
      </w:r>
      <w:r>
        <w:rPr>
          <w:rFonts w:ascii="Arial" w:hAnsi="Arial" w:cs="Arial"/>
          <w:sz w:val="13"/>
          <w:szCs w:val="13"/>
          <w:lang w:val="lt-LT"/>
        </w:rPr>
        <w:t xml:space="preserve"> Philadelphia, W.B. Saunders &amp; Co. </w:t>
      </w:r>
    </w:p>
    <w:p w:rsidR="00E04BFE" w:rsidRPr="00B35814" w:rsidRDefault="00E04BFE">
      <w:pPr>
        <w:widowControl w:val="0"/>
        <w:autoSpaceDE w:val="0"/>
        <w:autoSpaceDN w:val="0"/>
        <w:adjustRightInd w:val="0"/>
        <w:spacing w:after="0" w:line="61" w:lineRule="exact"/>
        <w:rPr>
          <w:rFonts w:ascii="Arial" w:hAnsi="Arial" w:cs="Arial"/>
          <w:sz w:val="13"/>
          <w:szCs w:val="13"/>
        </w:rPr>
      </w:pPr>
    </w:p>
    <w:p w:rsidR="00E04BFE" w:rsidRDefault="002423BD">
      <w:pPr>
        <w:widowControl w:val="0"/>
        <w:numPr>
          <w:ilvl w:val="0"/>
          <w:numId w:val="8"/>
        </w:numPr>
        <w:tabs>
          <w:tab w:val="clear" w:pos="720"/>
          <w:tab w:val="num" w:pos="288"/>
        </w:tabs>
        <w:overflowPunct w:val="0"/>
        <w:autoSpaceDE w:val="0"/>
        <w:autoSpaceDN w:val="0"/>
        <w:adjustRightInd w:val="0"/>
        <w:spacing w:after="0" w:line="240" w:lineRule="auto"/>
        <w:ind w:left="288" w:hanging="204"/>
        <w:jc w:val="both"/>
        <w:rPr>
          <w:rFonts w:ascii="Arial" w:hAnsi="Arial" w:cs="Arial"/>
        </w:rPr>
      </w:pPr>
      <w:r>
        <w:rPr>
          <w:rFonts w:ascii="Arial" w:hAnsi="Arial" w:cs="Arial"/>
          <w:sz w:val="13"/>
          <w:szCs w:val="13"/>
          <w:lang w:val="lt-LT"/>
        </w:rPr>
        <w:t>Dacie, J. et Lewis S. (1995):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i/>
          <w:iCs/>
          <w:sz w:val="13"/>
          <w:szCs w:val="13"/>
          <w:lang w:val="lt-LT"/>
        </w:rPr>
        <w:t>Practical haematology</w:t>
      </w:r>
      <w:r>
        <w:rPr>
          <w:rFonts w:ascii="Arial" w:hAnsi="Arial" w:cs="Arial"/>
          <w:sz w:val="13"/>
          <w:szCs w:val="13"/>
          <w:lang w:val="lt-LT"/>
        </w:rPr>
        <w:t>, 4</w:t>
      </w:r>
      <w:r>
        <w:rPr>
          <w:rFonts w:ascii="Arial" w:hAnsi="Arial" w:cs="Arial"/>
          <w:sz w:val="13"/>
          <w:szCs w:val="13"/>
          <w:vertAlign w:val="superscript"/>
          <w:lang w:val="lt-LT"/>
        </w:rPr>
        <w:t>th</w:t>
      </w:r>
      <w:r>
        <w:rPr>
          <w:rFonts w:ascii="Arial" w:hAnsi="Arial" w:cs="Arial"/>
          <w:sz w:val="13"/>
          <w:szCs w:val="13"/>
          <w:lang w:val="lt-LT"/>
        </w:rPr>
        <w:t xml:space="preserve"> ed.,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13"/>
              <w:szCs w:val="13"/>
              <w:lang w:val="lt-LT"/>
            </w:rPr>
            <w:t>London</w:t>
          </w:r>
        </w:smartTag>
      </w:smartTag>
      <w:r>
        <w:rPr>
          <w:rFonts w:ascii="Arial" w:hAnsi="Arial" w:cs="Arial"/>
          <w:sz w:val="13"/>
          <w:szCs w:val="13"/>
          <w:lang w:val="lt-LT"/>
        </w:rPr>
        <w:t>, Churchill Livingstone.</w:t>
      </w:r>
      <w:r>
        <w:rPr>
          <w:rFonts w:ascii="Arial" w:hAnsi="Arial" w:cs="Arial"/>
          <w:sz w:val="13"/>
          <w:szCs w:val="13"/>
        </w:rPr>
        <w:t xml:space="preserve"> </w:t>
      </w:r>
    </w:p>
    <w:p w:rsidR="00E04BFE" w:rsidRDefault="002423BD">
      <w:pPr>
        <w:widowControl w:val="0"/>
        <w:numPr>
          <w:ilvl w:val="0"/>
          <w:numId w:val="8"/>
        </w:numPr>
        <w:tabs>
          <w:tab w:val="clear" w:pos="720"/>
          <w:tab w:val="num" w:pos="288"/>
        </w:tabs>
        <w:overflowPunct w:val="0"/>
        <w:autoSpaceDE w:val="0"/>
        <w:autoSpaceDN w:val="0"/>
        <w:adjustRightInd w:val="0"/>
        <w:spacing w:after="0" w:line="220" w:lineRule="auto"/>
        <w:ind w:left="288" w:hanging="204"/>
        <w:jc w:val="both"/>
        <w:rPr>
          <w:rFonts w:ascii="Arial" w:hAnsi="Arial" w:cs="Arial"/>
        </w:rPr>
      </w:pPr>
      <w:r>
        <w:rPr>
          <w:rFonts w:ascii="Arial" w:hAnsi="Arial" w:cs="Arial"/>
          <w:sz w:val="13"/>
          <w:szCs w:val="13"/>
          <w:lang w:val="lt-LT"/>
        </w:rPr>
        <w:t>Giemsa, G. (1922):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  <w:lang w:val="lt-LT"/>
        </w:rPr>
        <w:t xml:space="preserve">Das Wesen der Giemsa-Farbung, </w:t>
      </w:r>
      <w:r>
        <w:rPr>
          <w:rFonts w:ascii="Arial" w:hAnsi="Arial" w:cs="Arial"/>
          <w:i/>
          <w:iCs/>
          <w:sz w:val="13"/>
          <w:szCs w:val="13"/>
          <w:lang w:val="lt-LT"/>
        </w:rPr>
        <w:t>Zentralb f Bakt</w:t>
      </w:r>
      <w:r>
        <w:rPr>
          <w:rFonts w:ascii="Arial" w:hAnsi="Arial" w:cs="Arial"/>
          <w:sz w:val="13"/>
          <w:szCs w:val="13"/>
          <w:lang w:val="lt-LT"/>
        </w:rPr>
        <w:t xml:space="preserve">; p89, pp99-106. </w:t>
      </w:r>
    </w:p>
    <w:p w:rsidR="00E04BFE" w:rsidRPr="00B35814" w:rsidRDefault="00E04BFE">
      <w:pPr>
        <w:widowControl w:val="0"/>
        <w:autoSpaceDE w:val="0"/>
        <w:autoSpaceDN w:val="0"/>
        <w:adjustRightInd w:val="0"/>
        <w:spacing w:after="0" w:line="30" w:lineRule="exact"/>
        <w:rPr>
          <w:rFonts w:ascii="Arial" w:hAnsi="Arial" w:cs="Arial"/>
          <w:sz w:val="13"/>
          <w:szCs w:val="13"/>
        </w:rPr>
      </w:pPr>
    </w:p>
    <w:p w:rsidR="00E04BFE" w:rsidRDefault="002423BD">
      <w:pPr>
        <w:widowControl w:val="0"/>
        <w:numPr>
          <w:ilvl w:val="0"/>
          <w:numId w:val="8"/>
        </w:numPr>
        <w:tabs>
          <w:tab w:val="clear" w:pos="720"/>
          <w:tab w:val="num" w:pos="288"/>
        </w:tabs>
        <w:overflowPunct w:val="0"/>
        <w:autoSpaceDE w:val="0"/>
        <w:autoSpaceDN w:val="0"/>
        <w:adjustRightInd w:val="0"/>
        <w:spacing w:after="0" w:line="240" w:lineRule="auto"/>
        <w:ind w:left="288" w:hanging="204"/>
        <w:jc w:val="both"/>
        <w:rPr>
          <w:rFonts w:ascii="Arial" w:hAnsi="Arial" w:cs="Arial"/>
        </w:rPr>
      </w:pPr>
      <w:r>
        <w:rPr>
          <w:rFonts w:ascii="Arial" w:hAnsi="Arial" w:cs="Arial"/>
          <w:sz w:val="13"/>
          <w:szCs w:val="13"/>
          <w:lang w:val="lt-LT"/>
        </w:rPr>
        <w:t>International Commitee for Standardization in Haematology (1984):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  <w:lang w:val="lt-LT"/>
        </w:rPr>
        <w:t xml:space="preserve">ICSH reference method for staining of blood and bone marrow films by azure B and eosin Y (Romanowsky stain), </w:t>
      </w:r>
    </w:p>
    <w:p w:rsidR="00E04BFE" w:rsidRPr="00B35814" w:rsidRDefault="00E04BFE">
      <w:pPr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sz w:val="13"/>
          <w:szCs w:val="13"/>
        </w:rPr>
      </w:pPr>
    </w:p>
    <w:p w:rsidR="00E04BFE" w:rsidRDefault="002423B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8"/>
        <w:jc w:val="both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i/>
          <w:iCs/>
          <w:sz w:val="13"/>
          <w:szCs w:val="13"/>
          <w:lang w:val="lt-LT"/>
        </w:rPr>
        <w:t xml:space="preserve">British Journal of Haematology, </w:t>
      </w:r>
      <w:r>
        <w:rPr>
          <w:rFonts w:ascii="Arial" w:hAnsi="Arial" w:cs="Arial"/>
          <w:sz w:val="13"/>
          <w:szCs w:val="13"/>
          <w:lang w:val="lt-LT"/>
        </w:rPr>
        <w:t>p57, pp707-710.</w:t>
      </w:r>
      <w:r>
        <w:rPr>
          <w:rFonts w:ascii="Arial" w:hAnsi="Arial" w:cs="Arial"/>
          <w:i/>
          <w:iCs/>
          <w:sz w:val="13"/>
          <w:szCs w:val="13"/>
          <w:lang w:val="lt-LT"/>
        </w:rPr>
        <w:t xml:space="preserve"> </w:t>
      </w:r>
    </w:p>
    <w:p w:rsidR="00E04BFE" w:rsidRPr="00B35814" w:rsidRDefault="00E04BFE">
      <w:pPr>
        <w:widowControl w:val="0"/>
        <w:autoSpaceDE w:val="0"/>
        <w:autoSpaceDN w:val="0"/>
        <w:adjustRightInd w:val="0"/>
        <w:spacing w:after="0" w:line="7" w:lineRule="exact"/>
        <w:rPr>
          <w:rFonts w:ascii="Arial" w:hAnsi="Arial" w:cs="Arial"/>
          <w:sz w:val="13"/>
          <w:szCs w:val="13"/>
        </w:rPr>
      </w:pPr>
    </w:p>
    <w:p w:rsidR="00E04BFE" w:rsidRDefault="002423BD">
      <w:pPr>
        <w:widowControl w:val="0"/>
        <w:numPr>
          <w:ilvl w:val="0"/>
          <w:numId w:val="8"/>
        </w:numPr>
        <w:tabs>
          <w:tab w:val="clear" w:pos="720"/>
          <w:tab w:val="num" w:pos="288"/>
        </w:tabs>
        <w:overflowPunct w:val="0"/>
        <w:autoSpaceDE w:val="0"/>
        <w:autoSpaceDN w:val="0"/>
        <w:adjustRightInd w:val="0"/>
        <w:spacing w:after="0" w:line="240" w:lineRule="auto"/>
        <w:ind w:left="288" w:hanging="204"/>
        <w:jc w:val="both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  <w:lang w:val="lt-LT"/>
        </w:rPr>
        <w:t>May, R. et Grünwald L. (1909):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i/>
          <w:iCs/>
          <w:sz w:val="13"/>
          <w:szCs w:val="13"/>
          <w:lang w:val="lt-LT"/>
        </w:rPr>
        <w:t>Über die Farbung von Feutchpraparaten mit meiner Azur-Eosine methode,</w:t>
      </w:r>
      <w:r>
        <w:rPr>
          <w:rFonts w:ascii="Arial" w:hAnsi="Arial" w:cs="Arial"/>
          <w:sz w:val="13"/>
          <w:szCs w:val="13"/>
          <w:lang w:val="lt-LT"/>
        </w:rPr>
        <w:t xml:space="preserve"> Deutsche med Xschr, p35, pp1751-1752. </w:t>
      </w:r>
    </w:p>
    <w:p w:rsidR="00E04BFE" w:rsidRDefault="002423BD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  <w:lang w:val="lt-LT"/>
        </w:rPr>
        <w:t>Instrukcijos GM-OT-100  GM-OT-110  GM-OT-500  GM-OT-1L  GM-OT-2.5L, 4 versija, 2014 m. sausio 9 d. Patvirtino:</w:t>
      </w:r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lt-LT"/>
        </w:rPr>
        <w:t>VR</w:t>
      </w:r>
    </w:p>
    <w:tbl>
      <w:tblPr>
        <w:tblStyle w:val="TableGrid"/>
        <w:tblW w:w="9896" w:type="dxa"/>
        <w:tblLayout w:type="fixed"/>
        <w:tblLook w:val="01E0" w:firstRow="1" w:lastRow="1" w:firstColumn="1" w:lastColumn="1" w:noHBand="0" w:noVBand="0"/>
      </w:tblPr>
      <w:tblGrid>
        <w:gridCol w:w="440"/>
        <w:gridCol w:w="1088"/>
        <w:gridCol w:w="244"/>
        <w:gridCol w:w="468"/>
        <w:gridCol w:w="962"/>
        <w:gridCol w:w="244"/>
        <w:gridCol w:w="500"/>
        <w:gridCol w:w="1000"/>
        <w:gridCol w:w="244"/>
        <w:gridCol w:w="447"/>
        <w:gridCol w:w="639"/>
        <w:gridCol w:w="244"/>
        <w:gridCol w:w="251"/>
        <w:gridCol w:w="691"/>
        <w:gridCol w:w="358"/>
        <w:gridCol w:w="1260"/>
        <w:gridCol w:w="816"/>
      </w:tblGrid>
      <w:tr w:rsidR="00E04BFE" w:rsidRPr="004C0046">
        <w:tc>
          <w:tcPr>
            <w:tcW w:w="440" w:type="dxa"/>
            <w:vAlign w:val="center"/>
          </w:tcPr>
          <w:p w:rsidR="00E04BFE" w:rsidRPr="004C0046" w:rsidRDefault="005C4F57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4C0046">
              <w:rPr>
                <w:rFonts w:ascii="Arial" w:hAnsi="Arial" w:cs="Arial"/>
                <w:noProof/>
                <w:sz w:val="12"/>
                <w:szCs w:val="12"/>
                <w:lang w:val="lt-LT" w:eastAsia="lt-LT"/>
              </w:rPr>
              <w:drawing>
                <wp:inline distT="0" distB="0" distL="0" distR="0">
                  <wp:extent cx="142875" cy="1143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vAlign w:val="center"/>
          </w:tcPr>
          <w:p w:rsidR="00E04BFE" w:rsidRPr="004C0046" w:rsidRDefault="002423B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4C0046">
              <w:rPr>
                <w:rFonts w:ascii="Arial" w:hAnsi="Arial" w:cs="Arial"/>
                <w:sz w:val="12"/>
                <w:szCs w:val="12"/>
                <w:lang w:val="lt-LT"/>
              </w:rPr>
              <w:t>Žr. pateiktą dokumentaciją</w:t>
            </w:r>
          </w:p>
        </w:tc>
        <w:tc>
          <w:tcPr>
            <w:tcW w:w="244" w:type="dxa"/>
            <w:tcBorders>
              <w:top w:val="nil"/>
              <w:bottom w:val="nil"/>
            </w:tcBorders>
            <w:vAlign w:val="center"/>
          </w:tcPr>
          <w:p w:rsidR="00E04BFE" w:rsidRPr="004C0046" w:rsidRDefault="00E04BF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468" w:type="dxa"/>
            <w:vAlign w:val="center"/>
          </w:tcPr>
          <w:p w:rsidR="00E04BFE" w:rsidRPr="004C0046" w:rsidRDefault="005C4F57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4C0046">
              <w:rPr>
                <w:rFonts w:ascii="Arial" w:hAnsi="Arial" w:cs="Arial"/>
                <w:noProof/>
                <w:sz w:val="12"/>
                <w:szCs w:val="12"/>
                <w:lang w:val="lt-LT" w:eastAsia="lt-LT"/>
              </w:rPr>
              <w:drawing>
                <wp:inline distT="0" distB="0" distL="0" distR="0">
                  <wp:extent cx="152400" cy="1333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" w:type="dxa"/>
            <w:vAlign w:val="center"/>
          </w:tcPr>
          <w:p w:rsidR="00E04BFE" w:rsidRPr="004C0046" w:rsidRDefault="002423B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4C0046">
              <w:rPr>
                <w:rFonts w:ascii="Arial" w:hAnsi="Arial" w:cs="Arial"/>
                <w:sz w:val="12"/>
                <w:szCs w:val="12"/>
                <w:lang w:val="lt-LT"/>
              </w:rPr>
              <w:t>Laikymo temperatūros diapazonas</w:t>
            </w:r>
          </w:p>
        </w:tc>
        <w:tc>
          <w:tcPr>
            <w:tcW w:w="244" w:type="dxa"/>
            <w:tcBorders>
              <w:top w:val="nil"/>
              <w:bottom w:val="nil"/>
            </w:tcBorders>
            <w:vAlign w:val="center"/>
          </w:tcPr>
          <w:p w:rsidR="00E04BFE" w:rsidRPr="004C0046" w:rsidRDefault="00E04BF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500" w:type="dxa"/>
            <w:vAlign w:val="center"/>
          </w:tcPr>
          <w:p w:rsidR="00E04BFE" w:rsidRPr="004C0046" w:rsidRDefault="005C4F57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4C0046">
              <w:rPr>
                <w:rFonts w:ascii="Arial" w:hAnsi="Arial" w:cs="Arial"/>
                <w:noProof/>
                <w:sz w:val="12"/>
                <w:szCs w:val="12"/>
                <w:lang w:val="lt-LT" w:eastAsia="lt-LT"/>
              </w:rPr>
              <w:drawing>
                <wp:inline distT="0" distB="0" distL="0" distR="0">
                  <wp:extent cx="161925" cy="1238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dxa"/>
            <w:vAlign w:val="center"/>
          </w:tcPr>
          <w:p w:rsidR="00E04BFE" w:rsidRPr="004C0046" w:rsidRDefault="002423B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4C0046">
              <w:rPr>
                <w:rFonts w:ascii="Arial" w:hAnsi="Arial" w:cs="Arial"/>
                <w:sz w:val="12"/>
                <w:szCs w:val="12"/>
                <w:lang w:val="lt-LT"/>
              </w:rPr>
              <w:t>Testų skaičius pakuotėje</w:t>
            </w:r>
          </w:p>
        </w:tc>
        <w:tc>
          <w:tcPr>
            <w:tcW w:w="244" w:type="dxa"/>
            <w:tcBorders>
              <w:top w:val="nil"/>
              <w:bottom w:val="nil"/>
            </w:tcBorders>
            <w:vAlign w:val="center"/>
          </w:tcPr>
          <w:p w:rsidR="00E04BFE" w:rsidRPr="004C0046" w:rsidRDefault="00E04BF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447" w:type="dxa"/>
            <w:vAlign w:val="center"/>
          </w:tcPr>
          <w:p w:rsidR="00E04BFE" w:rsidRPr="004C0046" w:rsidRDefault="005C4F57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4C0046">
              <w:rPr>
                <w:rFonts w:ascii="Arial" w:hAnsi="Arial" w:cs="Arial"/>
                <w:noProof/>
                <w:sz w:val="12"/>
                <w:szCs w:val="12"/>
                <w:lang w:val="lt-LT" w:eastAsia="lt-LT"/>
              </w:rPr>
              <w:drawing>
                <wp:inline distT="0" distB="0" distL="0" distR="0">
                  <wp:extent cx="219075" cy="1428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" w:type="dxa"/>
            <w:vAlign w:val="center"/>
          </w:tcPr>
          <w:p w:rsidR="00E04BFE" w:rsidRPr="004C0046" w:rsidRDefault="002423B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4C0046">
              <w:rPr>
                <w:rFonts w:ascii="Arial" w:hAnsi="Arial" w:cs="Arial"/>
                <w:sz w:val="12"/>
                <w:szCs w:val="12"/>
                <w:lang w:val="lt-LT"/>
              </w:rPr>
              <w:t>Gaminio kodas</w:t>
            </w:r>
          </w:p>
        </w:tc>
        <w:tc>
          <w:tcPr>
            <w:tcW w:w="244" w:type="dxa"/>
            <w:tcBorders>
              <w:top w:val="nil"/>
              <w:bottom w:val="nil"/>
            </w:tcBorders>
            <w:vAlign w:val="center"/>
          </w:tcPr>
          <w:p w:rsidR="00E04BFE" w:rsidRPr="004C0046" w:rsidRDefault="00E04BF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251" w:type="dxa"/>
            <w:vAlign w:val="center"/>
          </w:tcPr>
          <w:p w:rsidR="00E04BFE" w:rsidRPr="004C0046" w:rsidRDefault="005C4F57">
            <w:pPr>
              <w:spacing w:after="0" w:line="240" w:lineRule="auto"/>
              <w:ind w:left="-141"/>
              <w:rPr>
                <w:rFonts w:ascii="Arial" w:hAnsi="Arial" w:cs="Arial"/>
                <w:sz w:val="12"/>
                <w:szCs w:val="12"/>
              </w:rPr>
            </w:pPr>
            <w:r w:rsidRPr="004C0046">
              <w:rPr>
                <w:rFonts w:ascii="Arial" w:hAnsi="Arial" w:cs="Arial"/>
                <w:noProof/>
                <w:sz w:val="12"/>
                <w:szCs w:val="12"/>
                <w:lang w:val="lt-LT" w:eastAsia="lt-LT"/>
              </w:rPr>
              <w:drawing>
                <wp:inline distT="0" distB="0" distL="0" distR="0">
                  <wp:extent cx="142875" cy="11430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" w:type="dxa"/>
            <w:tcBorders>
              <w:right w:val="single" w:sz="4" w:space="0" w:color="auto"/>
            </w:tcBorders>
            <w:vAlign w:val="center"/>
          </w:tcPr>
          <w:p w:rsidR="00E04BFE" w:rsidRPr="004C0046" w:rsidRDefault="002423B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4C0046">
              <w:rPr>
                <w:rFonts w:ascii="Arial" w:hAnsi="Arial" w:cs="Arial"/>
                <w:sz w:val="12"/>
                <w:szCs w:val="12"/>
                <w:lang w:val="lt-LT"/>
              </w:rPr>
              <w:t>Europos atitiktis</w:t>
            </w:r>
          </w:p>
        </w:tc>
        <w:tc>
          <w:tcPr>
            <w:tcW w:w="35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04BFE" w:rsidRPr="004C0046" w:rsidRDefault="005C4F57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4C0046">
              <w:rPr>
                <w:rFonts w:ascii="Arial" w:hAnsi="Arial" w:cs="Arial"/>
                <w:noProof/>
                <w:sz w:val="12"/>
                <w:szCs w:val="12"/>
                <w:lang w:val="lt-LT" w:eastAsia="lt-LT"/>
              </w:rPr>
              <w:drawing>
                <wp:inline distT="0" distB="0" distL="0" distR="0">
                  <wp:extent cx="152400" cy="1905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04BFE" w:rsidRPr="004C0046" w:rsidRDefault="002423BD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4C0046">
              <w:rPr>
                <w:rFonts w:ascii="Arial" w:hAnsi="Arial" w:cs="Arial"/>
                <w:sz w:val="12"/>
                <w:szCs w:val="12"/>
                <w:lang w:val="lt-LT"/>
              </w:rPr>
              <w:t xml:space="preserve">BIOGNOST Ltd. </w:t>
            </w:r>
          </w:p>
          <w:p w:rsidR="00E04BFE" w:rsidRPr="004C0046" w:rsidRDefault="002423BD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4C0046">
              <w:rPr>
                <w:rFonts w:ascii="Arial" w:hAnsi="Arial" w:cs="Arial"/>
                <w:sz w:val="12"/>
                <w:szCs w:val="12"/>
                <w:lang w:val="lt-LT"/>
              </w:rPr>
              <w:t xml:space="preserve">Medjugorska 59 </w:t>
            </w:r>
          </w:p>
          <w:p w:rsidR="00E04BFE" w:rsidRPr="004C0046" w:rsidRDefault="002423BD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4C0046">
              <w:rPr>
                <w:rFonts w:ascii="Arial" w:hAnsi="Arial" w:cs="Arial"/>
                <w:sz w:val="12"/>
                <w:szCs w:val="12"/>
                <w:lang w:val="lt-LT"/>
              </w:rPr>
              <w:t xml:space="preserve">10040 Zagreb </w:t>
            </w:r>
          </w:p>
          <w:p w:rsidR="00E04BFE" w:rsidRPr="004C0046" w:rsidRDefault="002423BD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4C0046">
              <w:rPr>
                <w:rFonts w:ascii="Arial" w:hAnsi="Arial" w:cs="Arial"/>
                <w:sz w:val="12"/>
                <w:szCs w:val="12"/>
                <w:lang w:val="lt-LT"/>
              </w:rPr>
              <w:t xml:space="preserve">CROATIA </w:t>
            </w:r>
          </w:p>
          <w:p w:rsidR="00E04BFE" w:rsidRPr="004C0046" w:rsidRDefault="002423B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4C0046">
              <w:rPr>
                <w:rFonts w:ascii="Arial" w:hAnsi="Arial" w:cs="Arial"/>
                <w:sz w:val="12"/>
                <w:szCs w:val="12"/>
                <w:lang w:val="lt-LT"/>
              </w:rPr>
              <w:t xml:space="preserve">www.biognost.com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E04BFE" w:rsidRPr="004C0046" w:rsidRDefault="005C4F57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4C0046">
              <w:rPr>
                <w:rFonts w:ascii="Arial" w:hAnsi="Arial" w:cs="Arial"/>
                <w:noProof/>
                <w:sz w:val="12"/>
                <w:szCs w:val="12"/>
                <w:lang w:val="lt-LT" w:eastAsia="lt-LT"/>
              </w:rPr>
              <w:drawing>
                <wp:inline distT="0" distB="0" distL="0" distR="0">
                  <wp:extent cx="266700" cy="2000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4BFE" w:rsidRPr="004C0046">
        <w:tc>
          <w:tcPr>
            <w:tcW w:w="440" w:type="dxa"/>
            <w:vAlign w:val="center"/>
          </w:tcPr>
          <w:p w:rsidR="00E04BFE" w:rsidRPr="004C0046" w:rsidRDefault="005C4F57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4C0046">
              <w:rPr>
                <w:rFonts w:ascii="Arial" w:hAnsi="Arial" w:cs="Arial"/>
                <w:noProof/>
                <w:sz w:val="12"/>
                <w:szCs w:val="12"/>
                <w:lang w:val="lt-LT" w:eastAsia="lt-LT"/>
              </w:rPr>
              <w:drawing>
                <wp:inline distT="0" distB="0" distL="0" distR="0">
                  <wp:extent cx="200025" cy="1333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vAlign w:val="center"/>
          </w:tcPr>
          <w:p w:rsidR="00E04BFE" w:rsidRPr="004C0046" w:rsidRDefault="002423B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4C0046">
              <w:rPr>
                <w:rFonts w:ascii="Arial" w:hAnsi="Arial" w:cs="Arial"/>
                <w:sz w:val="12"/>
                <w:szCs w:val="12"/>
                <w:lang w:val="lt-LT"/>
              </w:rPr>
              <w:t>Žr. pateiktą instrukciją</w:t>
            </w:r>
          </w:p>
        </w:tc>
        <w:tc>
          <w:tcPr>
            <w:tcW w:w="244" w:type="dxa"/>
            <w:tcBorders>
              <w:top w:val="nil"/>
              <w:bottom w:val="nil"/>
            </w:tcBorders>
            <w:vAlign w:val="center"/>
          </w:tcPr>
          <w:p w:rsidR="00E04BFE" w:rsidRPr="004C0046" w:rsidRDefault="00E04BF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468" w:type="dxa"/>
            <w:vAlign w:val="center"/>
          </w:tcPr>
          <w:p w:rsidR="00E04BFE" w:rsidRPr="004C0046" w:rsidRDefault="005C4F57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4C0046">
              <w:rPr>
                <w:rFonts w:ascii="Arial" w:hAnsi="Arial" w:cs="Arial"/>
                <w:noProof/>
                <w:sz w:val="12"/>
                <w:szCs w:val="12"/>
                <w:lang w:val="lt-LT" w:eastAsia="lt-LT"/>
              </w:rPr>
              <w:drawing>
                <wp:inline distT="0" distB="0" distL="0" distR="0">
                  <wp:extent cx="152400" cy="1333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" w:type="dxa"/>
            <w:vAlign w:val="center"/>
          </w:tcPr>
          <w:p w:rsidR="00E04BFE" w:rsidRPr="004C0046" w:rsidRDefault="002423B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4C0046">
              <w:rPr>
                <w:rFonts w:ascii="Arial" w:hAnsi="Arial" w:cs="Arial"/>
                <w:sz w:val="12"/>
                <w:szCs w:val="12"/>
                <w:lang w:val="lt-LT"/>
              </w:rPr>
              <w:t>Saugoti nuo karščio ir saulės šviesos.</w:t>
            </w:r>
          </w:p>
        </w:tc>
        <w:tc>
          <w:tcPr>
            <w:tcW w:w="244" w:type="dxa"/>
            <w:tcBorders>
              <w:top w:val="nil"/>
              <w:bottom w:val="nil"/>
            </w:tcBorders>
            <w:vAlign w:val="center"/>
          </w:tcPr>
          <w:p w:rsidR="00E04BFE" w:rsidRPr="004C0046" w:rsidRDefault="00E04BF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500" w:type="dxa"/>
            <w:vAlign w:val="center"/>
          </w:tcPr>
          <w:p w:rsidR="00E04BFE" w:rsidRPr="004C0046" w:rsidRDefault="005C4F57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4C0046">
              <w:rPr>
                <w:rFonts w:ascii="Arial" w:hAnsi="Arial" w:cs="Arial"/>
                <w:noProof/>
                <w:sz w:val="12"/>
                <w:szCs w:val="12"/>
                <w:lang w:val="lt-LT" w:eastAsia="lt-LT"/>
              </w:rPr>
              <w:drawing>
                <wp:inline distT="0" distB="0" distL="0" distR="0">
                  <wp:extent cx="161925" cy="19050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dxa"/>
            <w:vAlign w:val="center"/>
          </w:tcPr>
          <w:p w:rsidR="00E04BFE" w:rsidRPr="004C0046" w:rsidRDefault="002423B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4C0046">
              <w:rPr>
                <w:rFonts w:ascii="Arial" w:hAnsi="Arial" w:cs="Arial"/>
                <w:sz w:val="12"/>
                <w:szCs w:val="12"/>
                <w:lang w:val="lt-LT"/>
              </w:rPr>
              <w:t>Taikoma imtinai nuo</w:t>
            </w:r>
          </w:p>
        </w:tc>
        <w:tc>
          <w:tcPr>
            <w:tcW w:w="244" w:type="dxa"/>
            <w:tcBorders>
              <w:top w:val="nil"/>
              <w:bottom w:val="nil"/>
            </w:tcBorders>
            <w:vAlign w:val="center"/>
          </w:tcPr>
          <w:p w:rsidR="00E04BFE" w:rsidRPr="004C0046" w:rsidRDefault="00E04BF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447" w:type="dxa"/>
            <w:vAlign w:val="center"/>
          </w:tcPr>
          <w:p w:rsidR="00E04BFE" w:rsidRPr="004C0046" w:rsidRDefault="005C4F57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4C0046">
              <w:rPr>
                <w:rFonts w:ascii="Arial" w:hAnsi="Arial" w:cs="Arial"/>
                <w:noProof/>
                <w:sz w:val="12"/>
                <w:szCs w:val="12"/>
                <w:lang w:val="lt-LT" w:eastAsia="lt-LT"/>
              </w:rPr>
              <w:drawing>
                <wp:inline distT="0" distB="0" distL="0" distR="0">
                  <wp:extent cx="228600" cy="142875"/>
                  <wp:effectExtent l="0" t="0" r="0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" w:type="dxa"/>
            <w:vAlign w:val="center"/>
          </w:tcPr>
          <w:p w:rsidR="00E04BFE" w:rsidRPr="004C0046" w:rsidRDefault="002423B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4C0046">
              <w:rPr>
                <w:rFonts w:ascii="Arial" w:hAnsi="Arial" w:cs="Arial"/>
                <w:sz w:val="12"/>
                <w:szCs w:val="12"/>
                <w:lang w:val="lt-LT"/>
              </w:rPr>
              <w:t>Partijos numeris</w:t>
            </w:r>
          </w:p>
        </w:tc>
        <w:tc>
          <w:tcPr>
            <w:tcW w:w="244" w:type="dxa"/>
            <w:tcBorders>
              <w:top w:val="nil"/>
              <w:bottom w:val="nil"/>
            </w:tcBorders>
            <w:vAlign w:val="center"/>
          </w:tcPr>
          <w:p w:rsidR="00E04BFE" w:rsidRPr="004C0046" w:rsidRDefault="00E04BF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251" w:type="dxa"/>
            <w:vAlign w:val="center"/>
          </w:tcPr>
          <w:p w:rsidR="00E04BFE" w:rsidRPr="004C0046" w:rsidRDefault="005C4F57">
            <w:pPr>
              <w:spacing w:after="0" w:line="240" w:lineRule="auto"/>
              <w:ind w:left="-141"/>
              <w:rPr>
                <w:rFonts w:ascii="Arial" w:hAnsi="Arial" w:cs="Arial"/>
                <w:sz w:val="12"/>
                <w:szCs w:val="12"/>
              </w:rPr>
            </w:pPr>
            <w:r w:rsidRPr="004C0046">
              <w:rPr>
                <w:rFonts w:ascii="Arial" w:hAnsi="Arial" w:cs="Arial"/>
                <w:noProof/>
                <w:sz w:val="12"/>
                <w:szCs w:val="12"/>
                <w:lang w:val="lt-LT" w:eastAsia="lt-LT"/>
              </w:rPr>
              <w:drawing>
                <wp:inline distT="0" distB="0" distL="0" distR="0">
                  <wp:extent cx="152400" cy="13335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" w:type="dxa"/>
            <w:tcBorders>
              <w:right w:val="single" w:sz="4" w:space="0" w:color="auto"/>
            </w:tcBorders>
            <w:vAlign w:val="center"/>
          </w:tcPr>
          <w:p w:rsidR="00E04BFE" w:rsidRPr="004C0046" w:rsidRDefault="002423B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4C0046">
              <w:rPr>
                <w:rFonts w:ascii="Arial" w:hAnsi="Arial" w:cs="Arial"/>
                <w:sz w:val="12"/>
                <w:szCs w:val="12"/>
                <w:lang w:val="lt-LT"/>
              </w:rPr>
              <w:t>Gamintojas</w:t>
            </w:r>
          </w:p>
        </w:tc>
        <w:tc>
          <w:tcPr>
            <w:tcW w:w="3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04BFE" w:rsidRPr="004C0046" w:rsidRDefault="00E04BF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1260" w:type="dxa"/>
            <w:vMerge/>
            <w:tcBorders>
              <w:left w:val="nil"/>
              <w:right w:val="nil"/>
            </w:tcBorders>
            <w:vAlign w:val="center"/>
          </w:tcPr>
          <w:p w:rsidR="00E04BFE" w:rsidRPr="004C0046" w:rsidRDefault="00E04BF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E04BFE" w:rsidRPr="004C0046" w:rsidRDefault="00E04BF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</w:tr>
      <w:tr w:rsidR="00E04BFE" w:rsidRPr="004C0046">
        <w:tc>
          <w:tcPr>
            <w:tcW w:w="440" w:type="dxa"/>
            <w:vAlign w:val="center"/>
          </w:tcPr>
          <w:p w:rsidR="00E04BFE" w:rsidRPr="004C0046" w:rsidRDefault="005C4F57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4C0046">
              <w:rPr>
                <w:rFonts w:ascii="Arial" w:hAnsi="Arial" w:cs="Arial"/>
                <w:noProof/>
                <w:sz w:val="12"/>
                <w:szCs w:val="12"/>
                <w:lang w:val="lt-LT" w:eastAsia="lt-LT"/>
              </w:rPr>
              <w:drawing>
                <wp:inline distT="0" distB="0" distL="0" distR="0">
                  <wp:extent cx="161925" cy="85725"/>
                  <wp:effectExtent l="0" t="0" r="9525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vAlign w:val="center"/>
          </w:tcPr>
          <w:p w:rsidR="00E04BFE" w:rsidRPr="004C0046" w:rsidRDefault="002423B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4C0046">
              <w:rPr>
                <w:rFonts w:ascii="Arial" w:hAnsi="Arial" w:cs="Arial"/>
                <w:sz w:val="12"/>
                <w:szCs w:val="12"/>
                <w:lang w:val="lt-LT"/>
              </w:rPr>
              <w:t>Diagnostiniam naudojimui</w:t>
            </w:r>
            <w:r w:rsidRPr="004C0046">
              <w:rPr>
                <w:rFonts w:ascii="Arial" w:hAnsi="Arial" w:cs="Arial"/>
                <w:i/>
                <w:iCs/>
                <w:sz w:val="12"/>
                <w:szCs w:val="12"/>
                <w:lang w:val="lt-LT"/>
              </w:rPr>
              <w:t xml:space="preserve"> in vitro</w:t>
            </w:r>
            <w:r w:rsidRPr="004C0046">
              <w:rPr>
                <w:rFonts w:ascii="Arial" w:hAnsi="Arial" w:cs="Arial"/>
                <w:sz w:val="12"/>
                <w:szCs w:val="12"/>
                <w:lang w:val="lt-LT"/>
              </w:rPr>
              <w:t>.</w:t>
            </w:r>
          </w:p>
        </w:tc>
        <w:tc>
          <w:tcPr>
            <w:tcW w:w="244" w:type="dxa"/>
            <w:tcBorders>
              <w:top w:val="nil"/>
              <w:bottom w:val="nil"/>
            </w:tcBorders>
            <w:vAlign w:val="center"/>
          </w:tcPr>
          <w:p w:rsidR="00E04BFE" w:rsidRPr="004C0046" w:rsidRDefault="00E04BF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468" w:type="dxa"/>
            <w:vAlign w:val="center"/>
          </w:tcPr>
          <w:p w:rsidR="00E04BFE" w:rsidRPr="004C0046" w:rsidRDefault="005C4F57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4C0046">
              <w:rPr>
                <w:rFonts w:ascii="Arial" w:hAnsi="Arial" w:cs="Arial"/>
                <w:noProof/>
                <w:sz w:val="12"/>
                <w:szCs w:val="12"/>
                <w:lang w:val="lt-LT" w:eastAsia="lt-LT"/>
              </w:rPr>
              <w:drawing>
                <wp:inline distT="0" distB="0" distL="0" distR="0">
                  <wp:extent cx="152400" cy="123825"/>
                  <wp:effectExtent l="0" t="0" r="0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" w:type="dxa"/>
            <w:vAlign w:val="center"/>
          </w:tcPr>
          <w:p w:rsidR="00E04BFE" w:rsidRPr="004C0046" w:rsidRDefault="002423B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4C0046">
              <w:rPr>
                <w:rFonts w:ascii="Arial" w:hAnsi="Arial" w:cs="Arial"/>
                <w:sz w:val="12"/>
                <w:szCs w:val="12"/>
                <w:lang w:val="lt-LT"/>
              </w:rPr>
              <w:t>Laikyti sausoje vietoje</w:t>
            </w:r>
          </w:p>
        </w:tc>
        <w:tc>
          <w:tcPr>
            <w:tcW w:w="244" w:type="dxa"/>
            <w:tcBorders>
              <w:top w:val="nil"/>
              <w:bottom w:val="nil"/>
            </w:tcBorders>
            <w:vAlign w:val="center"/>
          </w:tcPr>
          <w:p w:rsidR="00E04BFE" w:rsidRPr="004C0046" w:rsidRDefault="00E04BF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500" w:type="dxa"/>
            <w:vAlign w:val="center"/>
          </w:tcPr>
          <w:p w:rsidR="00E04BFE" w:rsidRPr="004C0046" w:rsidRDefault="005C4F57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4C0046">
              <w:rPr>
                <w:rFonts w:ascii="Arial" w:hAnsi="Arial" w:cs="Arial"/>
                <w:noProof/>
                <w:sz w:val="12"/>
                <w:szCs w:val="12"/>
                <w:lang w:val="lt-LT" w:eastAsia="lt-LT"/>
              </w:rPr>
              <w:drawing>
                <wp:inline distT="0" distB="0" distL="0" distR="0">
                  <wp:extent cx="142875" cy="19050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dxa"/>
            <w:vAlign w:val="center"/>
          </w:tcPr>
          <w:p w:rsidR="00E04BFE" w:rsidRPr="004C0046" w:rsidRDefault="002423B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4C0046">
              <w:rPr>
                <w:rFonts w:ascii="Arial" w:hAnsi="Arial" w:cs="Arial"/>
                <w:sz w:val="12"/>
                <w:szCs w:val="12"/>
                <w:lang w:val="lt-LT"/>
              </w:rPr>
              <w:t>Dėmesio – gaminys trapus</w:t>
            </w:r>
          </w:p>
        </w:tc>
        <w:tc>
          <w:tcPr>
            <w:tcW w:w="244" w:type="dxa"/>
            <w:tcBorders>
              <w:top w:val="nil"/>
              <w:bottom w:val="nil"/>
              <w:right w:val="nil"/>
            </w:tcBorders>
            <w:vAlign w:val="center"/>
          </w:tcPr>
          <w:p w:rsidR="00E04BFE" w:rsidRPr="004C0046" w:rsidRDefault="00E04BF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447" w:type="dxa"/>
            <w:tcBorders>
              <w:left w:val="nil"/>
              <w:bottom w:val="nil"/>
              <w:right w:val="nil"/>
            </w:tcBorders>
            <w:vAlign w:val="center"/>
          </w:tcPr>
          <w:p w:rsidR="00E04BFE" w:rsidRPr="004C0046" w:rsidRDefault="00E04BF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639" w:type="dxa"/>
            <w:tcBorders>
              <w:left w:val="nil"/>
              <w:bottom w:val="nil"/>
              <w:right w:val="nil"/>
            </w:tcBorders>
            <w:vAlign w:val="center"/>
          </w:tcPr>
          <w:p w:rsidR="00E04BFE" w:rsidRPr="004C0046" w:rsidRDefault="00E04BF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4BFE" w:rsidRPr="004C0046" w:rsidRDefault="00E04BF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251" w:type="dxa"/>
            <w:tcBorders>
              <w:left w:val="nil"/>
              <w:bottom w:val="nil"/>
              <w:right w:val="nil"/>
            </w:tcBorders>
            <w:vAlign w:val="center"/>
          </w:tcPr>
          <w:p w:rsidR="00E04BFE" w:rsidRPr="004C0046" w:rsidRDefault="00E04BF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691" w:type="dxa"/>
            <w:tcBorders>
              <w:left w:val="nil"/>
              <w:bottom w:val="nil"/>
              <w:right w:val="nil"/>
            </w:tcBorders>
            <w:vAlign w:val="center"/>
          </w:tcPr>
          <w:p w:rsidR="00E04BFE" w:rsidRPr="004C0046" w:rsidRDefault="00E04BF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4BFE" w:rsidRPr="004C0046" w:rsidRDefault="00E04BF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126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04BFE" w:rsidRPr="004C0046" w:rsidRDefault="00E04BF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E04BFE" w:rsidRPr="004C0046" w:rsidRDefault="00E04BFE">
            <w:pPr>
              <w:spacing w:after="0" w:line="240" w:lineRule="auto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</w:tr>
    </w:tbl>
    <w:p w:rsidR="002423BD" w:rsidRPr="00B35814" w:rsidRDefault="002423BD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/>
          <w:sz w:val="16"/>
          <w:szCs w:val="16"/>
        </w:rPr>
      </w:pPr>
    </w:p>
    <w:sectPr w:rsidR="002423BD" w:rsidRPr="00B35814">
      <w:pgSz w:w="11906" w:h="16838"/>
      <w:pgMar w:top="813" w:right="840" w:bottom="688" w:left="852" w:header="720" w:footer="720" w:gutter="0"/>
      <w:cols w:space="720" w:equalWidth="0">
        <w:col w:w="10208" w:space="2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01C25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64058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0B6BC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EB4D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22E7D0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B747A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5CE58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FE1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28E0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3C0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1EB"/>
    <w:multiLevelType w:val="hybridMultilevel"/>
    <w:tmpl w:val="00000BB3"/>
    <w:lvl w:ilvl="0" w:tplc="00002E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F3E"/>
    <w:multiLevelType w:val="hybridMultilevel"/>
    <w:tmpl w:val="5218BDFE"/>
    <w:lvl w:ilvl="0" w:tplc="6108C4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3"/>
        <w:szCs w:val="13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12DB"/>
    <w:multiLevelType w:val="hybridMultilevel"/>
    <w:tmpl w:val="0000153C"/>
    <w:lvl w:ilvl="0" w:tplc="00007E87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00039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5F90"/>
    <w:multiLevelType w:val="hybridMultilevel"/>
    <w:tmpl w:val="00001649"/>
    <w:lvl w:ilvl="0" w:tplc="00006DF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19230B40"/>
    <w:multiLevelType w:val="hybridMultilevel"/>
    <w:tmpl w:val="823CB644"/>
    <w:lvl w:ilvl="0" w:tplc="0427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19">
    <w:nsid w:val="1A7F400B"/>
    <w:multiLevelType w:val="hybridMultilevel"/>
    <w:tmpl w:val="708E95E4"/>
    <w:lvl w:ilvl="0" w:tplc="F6E65F2E">
      <w:start w:val="1"/>
      <w:numFmt w:val="bullet"/>
      <w:lvlText w:val=""/>
      <w:lvlJc w:val="left"/>
      <w:pPr>
        <w:tabs>
          <w:tab w:val="num" w:pos="804"/>
        </w:tabs>
        <w:ind w:left="8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24"/>
        </w:tabs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4"/>
        </w:tabs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</w:abstractNum>
  <w:abstractNum w:abstractNumId="20">
    <w:nsid w:val="2A1112A2"/>
    <w:multiLevelType w:val="hybridMultilevel"/>
    <w:tmpl w:val="2484224E"/>
    <w:lvl w:ilvl="0" w:tplc="F6E65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0392D53"/>
    <w:multiLevelType w:val="multilevel"/>
    <w:tmpl w:val="0000153C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7347EA2"/>
    <w:multiLevelType w:val="hybridMultilevel"/>
    <w:tmpl w:val="CB52856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E610F1"/>
    <w:multiLevelType w:val="hybridMultilevel"/>
    <w:tmpl w:val="F9723BD8"/>
    <w:lvl w:ilvl="0" w:tplc="3D9CDC36">
      <w:start w:val="1"/>
      <w:numFmt w:val="bullet"/>
      <w:lvlText w:val=""/>
      <w:lvlJc w:val="left"/>
      <w:pPr>
        <w:tabs>
          <w:tab w:val="num" w:pos="817"/>
        </w:tabs>
        <w:ind w:left="817" w:hanging="360"/>
      </w:pPr>
      <w:rPr>
        <w:rFonts w:ascii="Arial" w:hAnsi="Arial" w:cs="Aria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37"/>
        </w:tabs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7"/>
        </w:tabs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7"/>
        </w:tabs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7"/>
        </w:tabs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7"/>
        </w:tabs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7"/>
        </w:tabs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7"/>
        </w:tabs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7"/>
        </w:tabs>
        <w:ind w:left="6577" w:hanging="360"/>
      </w:pPr>
      <w:rPr>
        <w:rFonts w:ascii="Wingdings" w:hAnsi="Wingdings" w:hint="default"/>
      </w:rPr>
    </w:lvl>
  </w:abstractNum>
  <w:abstractNum w:abstractNumId="24">
    <w:nsid w:val="5AB3469B"/>
    <w:multiLevelType w:val="hybridMultilevel"/>
    <w:tmpl w:val="D5244780"/>
    <w:lvl w:ilvl="0" w:tplc="F6E65F2E">
      <w:start w:val="1"/>
      <w:numFmt w:val="bullet"/>
      <w:lvlText w:val=""/>
      <w:lvlJc w:val="left"/>
      <w:pPr>
        <w:tabs>
          <w:tab w:val="num" w:pos="804"/>
        </w:tabs>
        <w:ind w:left="8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24"/>
        </w:tabs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4"/>
        </w:tabs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</w:abstractNum>
  <w:abstractNum w:abstractNumId="25">
    <w:nsid w:val="5F2318E1"/>
    <w:multiLevelType w:val="hybridMultilevel"/>
    <w:tmpl w:val="2CAE75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1F374E"/>
    <w:multiLevelType w:val="hybridMultilevel"/>
    <w:tmpl w:val="D4322BB2"/>
    <w:lvl w:ilvl="0" w:tplc="F6E65F2E">
      <w:start w:val="1"/>
      <w:numFmt w:val="bullet"/>
      <w:lvlText w:val=""/>
      <w:lvlJc w:val="left"/>
      <w:pPr>
        <w:tabs>
          <w:tab w:val="num" w:pos="817"/>
        </w:tabs>
        <w:ind w:left="817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37"/>
        </w:tabs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7"/>
        </w:tabs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7"/>
        </w:tabs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7"/>
        </w:tabs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7"/>
        </w:tabs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7"/>
        </w:tabs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7"/>
        </w:tabs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7"/>
        </w:tabs>
        <w:ind w:left="6577" w:hanging="360"/>
      </w:pPr>
      <w:rPr>
        <w:rFonts w:ascii="Wingdings" w:hAnsi="Wingdings" w:hint="default"/>
      </w:rPr>
    </w:lvl>
  </w:abstractNum>
  <w:abstractNum w:abstractNumId="27">
    <w:nsid w:val="6ADC542F"/>
    <w:multiLevelType w:val="hybridMultilevel"/>
    <w:tmpl w:val="76145D14"/>
    <w:lvl w:ilvl="0" w:tplc="CEF64568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  <w:sz w:val="16"/>
        <w:szCs w:val="16"/>
      </w:rPr>
    </w:lvl>
    <w:lvl w:ilvl="1" w:tplc="F6E65F2E">
      <w:start w:val="1"/>
      <w:numFmt w:val="bullet"/>
      <w:lvlText w:val=""/>
      <w:lvlJc w:val="left"/>
      <w:pPr>
        <w:tabs>
          <w:tab w:val="num" w:pos="1528"/>
        </w:tabs>
        <w:ind w:left="1528" w:hanging="360"/>
      </w:pPr>
      <w:rPr>
        <w:rFonts w:ascii="Symbol" w:hAnsi="Symbol" w:hint="default"/>
        <w:color w:val="auto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28">
    <w:nsid w:val="70595E8D"/>
    <w:multiLevelType w:val="hybridMultilevel"/>
    <w:tmpl w:val="B8C4C70A"/>
    <w:lvl w:ilvl="0" w:tplc="CEF64568">
      <w:start w:val="1"/>
      <w:numFmt w:val="bullet"/>
      <w:lvlText w:val=""/>
      <w:lvlJc w:val="left"/>
      <w:pPr>
        <w:tabs>
          <w:tab w:val="num" w:pos="908"/>
        </w:tabs>
        <w:ind w:left="908" w:hanging="360"/>
      </w:pPr>
      <w:rPr>
        <w:rFonts w:ascii="Symbol" w:hAnsi="Symbol" w:hint="default"/>
        <w:sz w:val="16"/>
        <w:szCs w:val="16"/>
      </w:rPr>
    </w:lvl>
    <w:lvl w:ilvl="1" w:tplc="F6E65F2E">
      <w:start w:val="1"/>
      <w:numFmt w:val="bullet"/>
      <w:lvlText w:val=""/>
      <w:lvlJc w:val="left"/>
      <w:pPr>
        <w:tabs>
          <w:tab w:val="num" w:pos="1540"/>
        </w:tabs>
        <w:ind w:left="1540" w:hanging="360"/>
      </w:pPr>
      <w:rPr>
        <w:rFonts w:ascii="Symbol" w:hAnsi="Symbol" w:hint="default"/>
        <w:color w:val="auto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29">
    <w:nsid w:val="71870E29"/>
    <w:multiLevelType w:val="multilevel"/>
    <w:tmpl w:val="F9723BD8"/>
    <w:lvl w:ilvl="0">
      <w:start w:val="1"/>
      <w:numFmt w:val="bullet"/>
      <w:lvlText w:val=""/>
      <w:lvlJc w:val="left"/>
      <w:pPr>
        <w:tabs>
          <w:tab w:val="num" w:pos="817"/>
        </w:tabs>
        <w:ind w:left="817" w:hanging="360"/>
      </w:pPr>
      <w:rPr>
        <w:rFonts w:ascii="Arial" w:hAnsi="Arial" w:cs="Aria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537"/>
        </w:tabs>
        <w:ind w:left="15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57"/>
        </w:tabs>
        <w:ind w:left="22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77"/>
        </w:tabs>
        <w:ind w:left="29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97"/>
        </w:tabs>
        <w:ind w:left="36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17"/>
        </w:tabs>
        <w:ind w:left="44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37"/>
        </w:tabs>
        <w:ind w:left="51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57"/>
        </w:tabs>
        <w:ind w:left="58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77"/>
        </w:tabs>
        <w:ind w:left="6577" w:hanging="360"/>
      </w:pPr>
      <w:rPr>
        <w:rFonts w:ascii="Wingdings" w:hAnsi="Wingdings" w:hint="default"/>
      </w:rPr>
    </w:lvl>
  </w:abstractNum>
  <w:abstractNum w:abstractNumId="30">
    <w:nsid w:val="7A4F0225"/>
    <w:multiLevelType w:val="hybridMultilevel"/>
    <w:tmpl w:val="F7B0ABE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F1F16FB"/>
    <w:multiLevelType w:val="hybridMultilevel"/>
    <w:tmpl w:val="8F56431E"/>
    <w:lvl w:ilvl="0" w:tplc="00007E87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6E65F2E">
      <w:start w:val="1"/>
      <w:numFmt w:val="bullet"/>
      <w:lvlText w:val=""/>
      <w:lvlJc w:val="left"/>
      <w:pPr>
        <w:tabs>
          <w:tab w:val="num" w:pos="1528"/>
        </w:tabs>
        <w:ind w:left="1528" w:hanging="360"/>
      </w:pPr>
      <w:rPr>
        <w:rFonts w:ascii="Symbol" w:hAnsi="Symbol" w:hint="default"/>
        <w:color w:val="auto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17"/>
  </w:num>
  <w:num w:numId="3">
    <w:abstractNumId w:val="14"/>
  </w:num>
  <w:num w:numId="4">
    <w:abstractNumId w:val="16"/>
  </w:num>
  <w:num w:numId="5">
    <w:abstractNumId w:val="15"/>
  </w:num>
  <w:num w:numId="6">
    <w:abstractNumId w:val="11"/>
  </w:num>
  <w:num w:numId="7">
    <w:abstractNumId w:val="13"/>
  </w:num>
  <w:num w:numId="8">
    <w:abstractNumId w:val="12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3"/>
  </w:num>
  <w:num w:numId="20">
    <w:abstractNumId w:val="30"/>
  </w:num>
  <w:num w:numId="21">
    <w:abstractNumId w:val="25"/>
  </w:num>
  <w:num w:numId="22">
    <w:abstractNumId w:val="22"/>
  </w:num>
  <w:num w:numId="23">
    <w:abstractNumId w:val="18"/>
  </w:num>
  <w:num w:numId="24">
    <w:abstractNumId w:val="27"/>
  </w:num>
  <w:num w:numId="25">
    <w:abstractNumId w:val="28"/>
  </w:num>
  <w:num w:numId="26">
    <w:abstractNumId w:val="29"/>
  </w:num>
  <w:num w:numId="27">
    <w:abstractNumId w:val="26"/>
  </w:num>
  <w:num w:numId="28">
    <w:abstractNumId w:val="20"/>
  </w:num>
  <w:num w:numId="29">
    <w:abstractNumId w:val="21"/>
  </w:num>
  <w:num w:numId="30">
    <w:abstractNumId w:val="31"/>
  </w:num>
  <w:num w:numId="31">
    <w:abstractNumId w:val="19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F57"/>
    <w:rsid w:val="00065185"/>
    <w:rsid w:val="000979BC"/>
    <w:rsid w:val="002423BD"/>
    <w:rsid w:val="0026126A"/>
    <w:rsid w:val="00424582"/>
    <w:rsid w:val="005C4F57"/>
    <w:rsid w:val="00B04272"/>
    <w:rsid w:val="00E0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Pr>
      <w:rFonts w:ascii="Courier New" w:hAnsi="Courier New" w:cs="Courier New"/>
      <w:vanish/>
      <w:color w:val="800080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Pr>
      <w:rFonts w:ascii="Courier New" w:hAnsi="Courier New" w:cs="Courier New"/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8007</Words>
  <Characters>4564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GIEMSA SOLUTION</vt:lpstr>
    </vt:vector>
  </TitlesOfParts>
  <Company/>
  <LinksUpToDate>false</LinksUpToDate>
  <CharactersWithSpaces>12546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GIEMSA SOLUTION</dc:title>
  <dc:creator>DOV</dc:creator>
  <cp:lastModifiedBy>DANUTĖ BAUBINIENĖ</cp:lastModifiedBy>
  <cp:revision>2</cp:revision>
  <dcterms:created xsi:type="dcterms:W3CDTF">2016-10-14T09:57:00Z</dcterms:created>
  <dcterms:modified xsi:type="dcterms:W3CDTF">2016-10-14T09:57:00Z</dcterms:modified>
</cp:coreProperties>
</file>