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FB4B" w14:textId="77777777" w:rsidR="00467FF3" w:rsidRPr="007D4C62" w:rsidRDefault="00467FF3" w:rsidP="00467FF3">
      <w:pPr>
        <w:spacing w:after="0"/>
        <w:jc w:val="center"/>
        <w:rPr>
          <w:rFonts w:ascii="Calibri" w:eastAsia="Times New Roman" w:hAnsi="Calibri" w:cs="Calibri"/>
          <w:kern w:val="0"/>
          <w14:ligatures w14:val="none"/>
        </w:rPr>
      </w:pPr>
      <w:bookmarkStart w:id="0" w:name="_Hlk85535517"/>
      <w:bookmarkStart w:id="1" w:name="_Hlk131499300"/>
      <w:bookmarkStart w:id="2" w:name="_Hlk153353472"/>
      <w:r w:rsidRPr="007D4C62">
        <w:rPr>
          <w:rFonts w:ascii="Calibri" w:eastAsia="Times New Roman" w:hAnsi="Calibri" w:cs="Calibri"/>
          <w:noProof/>
          <w:kern w:val="0"/>
          <w:lang w:eastAsia="lt-LT"/>
          <w14:ligatures w14:val="none"/>
        </w:rPr>
        <w:drawing>
          <wp:inline distT="0" distB="0" distL="0" distR="0" wp14:anchorId="633918D3" wp14:editId="207A4121">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FAE32D3" w14:textId="77777777" w:rsidR="00467FF3" w:rsidRPr="007D4C62" w:rsidRDefault="00467FF3" w:rsidP="00467FF3">
      <w:pPr>
        <w:spacing w:after="0"/>
        <w:jc w:val="center"/>
        <w:rPr>
          <w:rFonts w:ascii="Calibri" w:eastAsia="Times New Roman" w:hAnsi="Calibri" w:cs="Calibri"/>
          <w:kern w:val="0"/>
          <w14:ligatures w14:val="none"/>
        </w:rPr>
      </w:pPr>
    </w:p>
    <w:p w14:paraId="58E0CCE6" w14:textId="77777777" w:rsidR="00467FF3" w:rsidRPr="007D4C62" w:rsidRDefault="00467FF3" w:rsidP="00467FF3">
      <w:pPr>
        <w:keepNext/>
        <w:tabs>
          <w:tab w:val="left" w:pos="900"/>
        </w:tabs>
        <w:spacing w:after="0"/>
        <w:jc w:val="center"/>
        <w:outlineLvl w:val="0"/>
        <w:rPr>
          <w:rFonts w:ascii="Calibri" w:eastAsia="Calibri" w:hAnsi="Calibri" w:cs="Calibri"/>
          <w:b/>
          <w:bCs/>
          <w:kern w:val="0"/>
          <w14:ligatures w14:val="none"/>
        </w:rPr>
      </w:pPr>
      <w:r w:rsidRPr="007D4C62">
        <w:rPr>
          <w:rFonts w:ascii="Calibri" w:eastAsia="Calibri" w:hAnsi="Calibri" w:cs="Calibri"/>
          <w:b/>
          <w:bCs/>
          <w:kern w:val="0"/>
          <w14:ligatures w14:val="none"/>
        </w:rPr>
        <w:t>VIEŠŲJŲ PIRKIMŲ TARNYBA</w:t>
      </w:r>
    </w:p>
    <w:p w14:paraId="43218452" w14:textId="77777777" w:rsidR="00467FF3" w:rsidRPr="007D4C62" w:rsidRDefault="00467FF3" w:rsidP="00467FF3">
      <w:pPr>
        <w:tabs>
          <w:tab w:val="left" w:pos="900"/>
        </w:tabs>
        <w:spacing w:after="0"/>
        <w:jc w:val="both"/>
        <w:rPr>
          <w:rFonts w:ascii="Calibri" w:eastAsia="Times New Roman" w:hAnsi="Calibri" w:cs="Calibri"/>
          <w:kern w:val="0"/>
          <w14:ligatures w14:val="none"/>
        </w:rPr>
      </w:pPr>
    </w:p>
    <w:p w14:paraId="77DE25C9" w14:textId="77777777" w:rsidR="00467FF3" w:rsidRPr="007D4C62" w:rsidRDefault="00467FF3" w:rsidP="00467FF3">
      <w:pPr>
        <w:tabs>
          <w:tab w:val="left" w:pos="900"/>
        </w:tabs>
        <w:spacing w:after="0"/>
        <w:jc w:val="both"/>
        <w:rPr>
          <w:rFonts w:ascii="Calibri" w:eastAsia="Times New Roman" w:hAnsi="Calibri" w:cs="Calibri"/>
          <w:kern w:val="0"/>
          <w14:ligatures w14:val="none"/>
        </w:rPr>
      </w:pPr>
    </w:p>
    <w:tbl>
      <w:tblPr>
        <w:tblW w:w="13346" w:type="dxa"/>
        <w:tblInd w:w="-142" w:type="dxa"/>
        <w:tblLayout w:type="fixed"/>
        <w:tblLook w:val="04A0" w:firstRow="1" w:lastRow="0" w:firstColumn="1" w:lastColumn="0" w:noHBand="0" w:noVBand="1"/>
      </w:tblPr>
      <w:tblGrid>
        <w:gridCol w:w="4537"/>
        <w:gridCol w:w="3118"/>
        <w:gridCol w:w="3282"/>
        <w:gridCol w:w="2409"/>
      </w:tblGrid>
      <w:tr w:rsidR="00467FF3" w:rsidRPr="007D4C62" w14:paraId="1B9A60A5" w14:textId="77777777" w:rsidTr="00467FF3">
        <w:trPr>
          <w:cantSplit/>
          <w:trHeight w:val="80"/>
        </w:trPr>
        <w:tc>
          <w:tcPr>
            <w:tcW w:w="4537" w:type="dxa"/>
            <w:hideMark/>
          </w:tcPr>
          <w:p w14:paraId="43D9BBA7" w14:textId="77777777" w:rsidR="00467FF3" w:rsidRDefault="00467FF3" w:rsidP="00467FF3">
            <w:pPr>
              <w:tabs>
                <w:tab w:val="left" w:pos="900"/>
              </w:tabs>
              <w:spacing w:after="0"/>
              <w:rPr>
                <w:rFonts w:ascii="Calibri" w:eastAsia="Times New Roman" w:hAnsi="Calibri" w:cs="Calibri"/>
                <w:kern w:val="0"/>
                <w14:ligatures w14:val="none"/>
              </w:rPr>
            </w:pPr>
            <w:r w:rsidRPr="000C6001">
              <w:rPr>
                <w:rFonts w:ascii="Calibri" w:eastAsia="Times New Roman" w:hAnsi="Calibri" w:cs="Calibri"/>
                <w:kern w:val="0"/>
                <w14:ligatures w14:val="none"/>
              </w:rPr>
              <w:t>UAB „LTG Kompetencijų centras“</w:t>
            </w:r>
          </w:p>
          <w:p w14:paraId="07CCCAC6" w14:textId="1300C445" w:rsidR="00467FF3" w:rsidRPr="007D4C62" w:rsidRDefault="00467FF3" w:rsidP="00467FF3">
            <w:pPr>
              <w:tabs>
                <w:tab w:val="left" w:pos="900"/>
              </w:tabs>
              <w:spacing w:after="0"/>
              <w:rPr>
                <w:rFonts w:ascii="Calibri" w:eastAsia="Times New Roman" w:hAnsi="Calibri" w:cs="Calibri"/>
                <w:b/>
                <w:bCs/>
                <w:kern w:val="0"/>
                <w14:ligatures w14:val="none"/>
              </w:rPr>
            </w:pPr>
            <w:r w:rsidRPr="005A2AFA">
              <w:rPr>
                <w:rFonts w:ascii="Calibri" w:eastAsia="Times New Roman" w:hAnsi="Calibri" w:cs="Calibri"/>
                <w:kern w:val="0"/>
                <w14:ligatures w14:val="none"/>
              </w:rPr>
              <w:t>El. p.:</w:t>
            </w:r>
            <w:r>
              <w:rPr>
                <w:rFonts w:ascii="Calibri" w:eastAsia="Times New Roman" w:hAnsi="Calibri" w:cs="Calibri"/>
                <w:kern w:val="0"/>
                <w14:ligatures w14:val="none"/>
              </w:rPr>
              <w:t xml:space="preserve"> </w:t>
            </w:r>
            <w:r w:rsidRPr="00504B8B">
              <w:rPr>
                <w:rFonts w:ascii="Calibri" w:eastAsia="Times New Roman" w:hAnsi="Calibri" w:cs="Calibri"/>
                <w:kern w:val="0"/>
                <w14:ligatures w14:val="none"/>
              </w:rPr>
              <w:t>info@ltgkc.lt</w:t>
            </w:r>
          </w:p>
        </w:tc>
        <w:tc>
          <w:tcPr>
            <w:tcW w:w="3118" w:type="dxa"/>
            <w:hideMark/>
          </w:tcPr>
          <w:p w14:paraId="19666859" w14:textId="5AD3CDBC" w:rsidR="00467FF3" w:rsidRPr="007D4C62" w:rsidRDefault="00467FF3" w:rsidP="00467FF3">
            <w:pPr>
              <w:spacing w:after="0"/>
              <w:ind w:left="-105"/>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202</w:t>
            </w:r>
            <w:r>
              <w:rPr>
                <w:rFonts w:ascii="Calibri" w:eastAsia="Times New Roman" w:hAnsi="Calibri" w:cs="Calibri"/>
                <w:kern w:val="0"/>
                <w14:ligatures w14:val="none"/>
              </w:rPr>
              <w:t>6</w:t>
            </w:r>
            <w:r w:rsidRPr="007D4C62">
              <w:rPr>
                <w:rFonts w:ascii="Calibri" w:eastAsia="Times New Roman" w:hAnsi="Calibri" w:cs="Calibri"/>
                <w:kern w:val="0"/>
                <w14:ligatures w14:val="none"/>
              </w:rPr>
              <w:t>-</w:t>
            </w:r>
            <w:r w:rsidR="002F7A29">
              <w:rPr>
                <w:rFonts w:ascii="Calibri" w:eastAsia="Times New Roman" w:hAnsi="Calibri" w:cs="Calibri"/>
                <w:kern w:val="0"/>
                <w14:ligatures w14:val="none"/>
              </w:rPr>
              <w:t xml:space="preserve">    </w:t>
            </w:r>
            <w:r w:rsidRPr="007D4C62">
              <w:rPr>
                <w:rFonts w:ascii="Calibri" w:eastAsia="Times New Roman" w:hAnsi="Calibri" w:cs="Calibri"/>
                <w:kern w:val="0"/>
                <w14:ligatures w14:val="none"/>
              </w:rPr>
              <w:t>-</w:t>
            </w:r>
          </w:p>
          <w:p w14:paraId="08BDDABA" w14:textId="77777777" w:rsidR="00467FF3" w:rsidRPr="007D4C62" w:rsidRDefault="00467FF3" w:rsidP="00467FF3">
            <w:pPr>
              <w:tabs>
                <w:tab w:val="left" w:pos="462"/>
              </w:tabs>
              <w:spacing w:after="0"/>
              <w:ind w:left="2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                Į 2025-1</w:t>
            </w:r>
            <w:r>
              <w:rPr>
                <w:rFonts w:ascii="Calibri" w:eastAsia="Times New Roman" w:hAnsi="Calibri" w:cs="Calibri"/>
                <w:kern w:val="0"/>
                <w14:ligatures w14:val="none"/>
              </w:rPr>
              <w:t>1</w:t>
            </w:r>
            <w:r w:rsidRPr="007D4C62">
              <w:rPr>
                <w:rFonts w:ascii="Calibri" w:eastAsia="Times New Roman" w:hAnsi="Calibri" w:cs="Calibri"/>
                <w:kern w:val="0"/>
                <w14:ligatures w14:val="none"/>
              </w:rPr>
              <w:t>-1</w:t>
            </w:r>
            <w:r>
              <w:rPr>
                <w:rFonts w:ascii="Calibri" w:eastAsia="Times New Roman" w:hAnsi="Calibri" w:cs="Calibri"/>
                <w:kern w:val="0"/>
                <w14:ligatures w14:val="none"/>
              </w:rPr>
              <w:t>2</w:t>
            </w:r>
          </w:p>
          <w:p w14:paraId="767CD47A" w14:textId="47E4AFE3" w:rsidR="00467FF3" w:rsidRPr="007D4C62" w:rsidRDefault="00467FF3" w:rsidP="00467FF3">
            <w:pPr>
              <w:tabs>
                <w:tab w:val="left" w:pos="462"/>
              </w:tabs>
              <w:spacing w:after="0"/>
              <w:ind w:left="887" w:right="600"/>
              <w:jc w:val="center"/>
              <w:rPr>
                <w:rFonts w:ascii="Calibri" w:eastAsia="Times New Roman" w:hAnsi="Calibri" w:cs="Calibri"/>
                <w:kern w:val="0"/>
                <w14:ligatures w14:val="none"/>
              </w:rPr>
            </w:pPr>
            <w:r w:rsidRPr="007D4C62">
              <w:rPr>
                <w:rFonts w:ascii="Calibri" w:eastAsia="Times New Roman" w:hAnsi="Calibri" w:cs="Calibri"/>
                <w:kern w:val="0"/>
                <w14:ligatures w14:val="none"/>
              </w:rPr>
              <w:t>2025-1</w:t>
            </w:r>
            <w:r>
              <w:rPr>
                <w:rFonts w:ascii="Calibri" w:eastAsia="Times New Roman" w:hAnsi="Calibri" w:cs="Calibri"/>
                <w:kern w:val="0"/>
                <w14:ligatures w14:val="none"/>
              </w:rPr>
              <w:t>2</w:t>
            </w:r>
            <w:r w:rsidRPr="007D4C62">
              <w:rPr>
                <w:rFonts w:ascii="Calibri" w:eastAsia="Times New Roman" w:hAnsi="Calibri" w:cs="Calibri"/>
                <w:kern w:val="0"/>
                <w14:ligatures w14:val="none"/>
              </w:rPr>
              <w:t>-</w:t>
            </w:r>
            <w:r>
              <w:rPr>
                <w:rFonts w:ascii="Calibri" w:eastAsia="Times New Roman" w:hAnsi="Calibri" w:cs="Calibri"/>
                <w:kern w:val="0"/>
                <w14:ligatures w14:val="none"/>
              </w:rPr>
              <w:t>23</w:t>
            </w:r>
            <w:r w:rsidRPr="007D4C62">
              <w:rPr>
                <w:rFonts w:ascii="Calibri" w:eastAsia="Times New Roman" w:hAnsi="Calibri" w:cs="Calibri"/>
                <w:kern w:val="0"/>
                <w14:ligatures w14:val="none"/>
              </w:rPr>
              <w:t xml:space="preserve"> </w:t>
            </w:r>
          </w:p>
          <w:p w14:paraId="624AE09F" w14:textId="4060E935" w:rsidR="00467FF3" w:rsidRPr="007D4C62" w:rsidRDefault="002A358D" w:rsidP="00673637">
            <w:pPr>
              <w:tabs>
                <w:tab w:val="left" w:pos="580"/>
              </w:tabs>
              <w:spacing w:after="0"/>
              <w:ind w:left="-105" w:right="-560" w:firstLine="1134"/>
              <w:rPr>
                <w:rFonts w:ascii="Calibri" w:eastAsia="Times New Roman" w:hAnsi="Calibri" w:cs="Calibri"/>
                <w:kern w:val="0"/>
                <w14:ligatures w14:val="none"/>
              </w:rPr>
            </w:pPr>
            <w:r>
              <w:rPr>
                <w:rFonts w:ascii="Calibri" w:eastAsia="Times New Roman" w:hAnsi="Calibri" w:cs="Calibri"/>
                <w:kern w:val="0"/>
                <w14:ligatures w14:val="none"/>
              </w:rPr>
              <w:t>2026</w:t>
            </w:r>
            <w:r w:rsidR="00010C3E">
              <w:rPr>
                <w:rFonts w:ascii="Calibri" w:eastAsia="Times New Roman" w:hAnsi="Calibri" w:cs="Calibri"/>
                <w:kern w:val="0"/>
                <w14:ligatures w14:val="none"/>
              </w:rPr>
              <w:t>-01-22</w:t>
            </w:r>
          </w:p>
        </w:tc>
        <w:tc>
          <w:tcPr>
            <w:tcW w:w="3282" w:type="dxa"/>
            <w:hideMark/>
          </w:tcPr>
          <w:p w14:paraId="40DAFE9B" w14:textId="77777777" w:rsidR="00467FF3" w:rsidRPr="007D4C62" w:rsidRDefault="00467FF3" w:rsidP="00467FF3">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Nr. 4S-</w:t>
            </w:r>
          </w:p>
          <w:p w14:paraId="2C664FA9" w14:textId="77777777" w:rsidR="00467FF3" w:rsidRDefault="00467FF3" w:rsidP="00467FF3">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Nr. </w:t>
            </w:r>
            <w:r w:rsidRPr="00504B8B">
              <w:rPr>
                <w:rFonts w:ascii="Calibri" w:eastAsia="Times New Roman" w:hAnsi="Calibri" w:cs="Calibri"/>
                <w:kern w:val="0"/>
                <w14:ligatures w14:val="none"/>
              </w:rPr>
              <w:t>SD(KC)-1450/2025</w:t>
            </w:r>
          </w:p>
          <w:p w14:paraId="38B07778" w14:textId="1635F86B" w:rsidR="00467FF3" w:rsidRDefault="00467FF3" w:rsidP="00467FF3">
            <w:pPr>
              <w:spacing w:after="0"/>
              <w:ind w:left="-105" w:right="-2379"/>
              <w:rPr>
                <w:rFonts w:ascii="Calibri" w:eastAsia="Times New Roman" w:hAnsi="Calibri" w:cs="Calibri"/>
                <w:kern w:val="0"/>
                <w14:ligatures w14:val="none"/>
              </w:rPr>
            </w:pPr>
            <w:r w:rsidRPr="007D4C62">
              <w:rPr>
                <w:rFonts w:ascii="Calibri" w:eastAsia="Times New Roman" w:hAnsi="Calibri" w:cs="Calibri"/>
                <w:kern w:val="0"/>
                <w14:ligatures w14:val="none"/>
              </w:rPr>
              <w:t xml:space="preserve">Nr. </w:t>
            </w:r>
            <w:r w:rsidRPr="00504B8B">
              <w:rPr>
                <w:rFonts w:ascii="Calibri" w:eastAsia="Times New Roman" w:hAnsi="Calibri" w:cs="Calibri"/>
                <w:kern w:val="0"/>
                <w14:ligatures w14:val="none"/>
              </w:rPr>
              <w:t>SD(KC)-</w:t>
            </w:r>
            <w:r>
              <w:rPr>
                <w:rFonts w:ascii="Calibri" w:eastAsia="Times New Roman" w:hAnsi="Calibri" w:cs="Calibri"/>
                <w:kern w:val="0"/>
                <w14:ligatures w14:val="none"/>
              </w:rPr>
              <w:t>1644</w:t>
            </w:r>
            <w:r w:rsidRPr="00504B8B">
              <w:rPr>
                <w:rFonts w:ascii="Calibri" w:eastAsia="Times New Roman" w:hAnsi="Calibri" w:cs="Calibri"/>
                <w:kern w:val="0"/>
                <w14:ligatures w14:val="none"/>
              </w:rPr>
              <w:t>/2025</w:t>
            </w:r>
          </w:p>
          <w:p w14:paraId="55E29176" w14:textId="05CBD44B" w:rsidR="00467FF3" w:rsidRPr="007D4C62" w:rsidRDefault="00010C3E" w:rsidP="00467FF3">
            <w:pPr>
              <w:spacing w:after="0"/>
              <w:ind w:left="-105" w:right="-2379"/>
              <w:rPr>
                <w:rFonts w:ascii="Calibri" w:eastAsia="Times New Roman" w:hAnsi="Calibri" w:cs="Calibri"/>
                <w:kern w:val="0"/>
                <w14:ligatures w14:val="none"/>
              </w:rPr>
            </w:pPr>
            <w:r>
              <w:rPr>
                <w:rFonts w:ascii="Calibri" w:eastAsia="Times New Roman" w:hAnsi="Calibri" w:cs="Calibri"/>
                <w:kern w:val="0"/>
                <w14:ligatures w14:val="none"/>
              </w:rPr>
              <w:t xml:space="preserve">Nr. </w:t>
            </w:r>
            <w:r w:rsidR="0028112A">
              <w:rPr>
                <w:rFonts w:ascii="Calibri" w:eastAsia="Times New Roman" w:hAnsi="Calibri" w:cs="Calibri"/>
                <w:kern w:val="0"/>
                <w14:ligatures w14:val="none"/>
              </w:rPr>
              <w:t>be numerio</w:t>
            </w:r>
          </w:p>
          <w:p w14:paraId="343D3623" w14:textId="77E254C5" w:rsidR="00467FF3" w:rsidRPr="007D4C62" w:rsidRDefault="00467FF3" w:rsidP="00467FF3">
            <w:pPr>
              <w:ind w:left="-86" w:right="-2379"/>
              <w:rPr>
                <w:rFonts w:ascii="Calibri" w:eastAsia="Times New Roman" w:hAnsi="Calibri" w:cs="Calibri"/>
                <w:kern w:val="0"/>
                <w14:ligatures w14:val="none"/>
              </w:rPr>
            </w:pPr>
          </w:p>
        </w:tc>
        <w:tc>
          <w:tcPr>
            <w:tcW w:w="2409" w:type="dxa"/>
          </w:tcPr>
          <w:p w14:paraId="2B529E94" w14:textId="77777777" w:rsidR="00467FF3" w:rsidRPr="007D4C62" w:rsidRDefault="00467FF3" w:rsidP="00467FF3">
            <w:pPr>
              <w:tabs>
                <w:tab w:val="left" w:pos="1071"/>
              </w:tabs>
              <w:spacing w:after="0"/>
              <w:ind w:left="-105" w:right="-2379"/>
              <w:rPr>
                <w:rFonts w:ascii="Calibri" w:eastAsia="Times New Roman" w:hAnsi="Calibri" w:cs="Calibri"/>
                <w:kern w:val="0"/>
                <w14:ligatures w14:val="none"/>
              </w:rPr>
            </w:pPr>
          </w:p>
        </w:tc>
      </w:tr>
    </w:tbl>
    <w:p w14:paraId="3E585DA1" w14:textId="77777777" w:rsidR="00673637" w:rsidRDefault="00673637" w:rsidP="00467FF3">
      <w:pPr>
        <w:tabs>
          <w:tab w:val="left" w:pos="7176"/>
        </w:tabs>
        <w:spacing w:after="0"/>
        <w:rPr>
          <w:rFonts w:ascii="Calibri" w:eastAsia="Times New Roman" w:hAnsi="Calibri" w:cs="Calibri"/>
          <w:b/>
          <w:bCs/>
          <w:kern w:val="0"/>
          <w:lang w:eastAsia="lt-LT"/>
          <w14:ligatures w14:val="none"/>
        </w:rPr>
      </w:pPr>
      <w:bookmarkStart w:id="3" w:name="_Hlk85523927"/>
      <w:bookmarkStart w:id="4" w:name="_Hlk156483607"/>
    </w:p>
    <w:p w14:paraId="4D0F7B7D" w14:textId="63280236" w:rsidR="00467FF3" w:rsidRPr="00673637" w:rsidRDefault="00467FF3" w:rsidP="00467FF3">
      <w:pPr>
        <w:tabs>
          <w:tab w:val="left" w:pos="7176"/>
        </w:tabs>
        <w:spacing w:after="0"/>
        <w:rPr>
          <w:rFonts w:ascii="Calibri" w:eastAsia="Times New Roman" w:hAnsi="Calibri" w:cs="Calibri"/>
          <w:b/>
          <w:bCs/>
          <w:kern w:val="0"/>
          <w:lang w:eastAsia="lt-LT"/>
          <w14:ligatures w14:val="none"/>
        </w:rPr>
      </w:pPr>
      <w:r w:rsidRPr="007D4C62">
        <w:rPr>
          <w:rFonts w:ascii="Calibri" w:eastAsia="Times New Roman" w:hAnsi="Calibri" w:cs="Calibri"/>
          <w:b/>
          <w:bCs/>
          <w:kern w:val="0"/>
          <w:lang w:eastAsia="lt-LT"/>
          <w14:ligatures w14:val="none"/>
        </w:rPr>
        <w:t>SPRENDIMAS DĖL SUTIKIMO VYKDYTI PIRKIMĄ NESKELBIAMŲ DERYBŲ BŪDU</w:t>
      </w:r>
    </w:p>
    <w:p w14:paraId="06D1F330" w14:textId="77777777" w:rsidR="005E0240" w:rsidRDefault="005E0240" w:rsidP="00E5512B">
      <w:pPr>
        <w:tabs>
          <w:tab w:val="left" w:pos="900"/>
        </w:tabs>
        <w:spacing w:after="0"/>
        <w:ind w:firstLine="709"/>
        <w:rPr>
          <w:rFonts w:ascii="Calibri" w:eastAsia="Times New Roman" w:hAnsi="Calibri" w:cs="Calibri"/>
          <w:kern w:val="0"/>
          <w:lang w:eastAsia="lt-LT"/>
          <w14:ligatures w14:val="none"/>
        </w:rPr>
      </w:pPr>
    </w:p>
    <w:p w14:paraId="6601448C" w14:textId="3A4BBE57" w:rsidR="00467FF3" w:rsidRPr="007D4C62" w:rsidRDefault="00467FF3" w:rsidP="00E5512B">
      <w:pPr>
        <w:tabs>
          <w:tab w:val="left" w:pos="900"/>
        </w:tabs>
        <w:spacing w:after="0"/>
        <w:ind w:firstLine="709"/>
        <w:rPr>
          <w:rFonts w:ascii="Calibri" w:eastAsia="Times New Roman" w:hAnsi="Calibri" w:cs="Calibri"/>
          <w:kern w:val="0"/>
          <w14:ligatures w14:val="none"/>
        </w:rPr>
      </w:pPr>
      <w:r w:rsidRPr="007D4C62">
        <w:rPr>
          <w:rFonts w:ascii="Calibri" w:eastAsia="Times New Roman" w:hAnsi="Calibri" w:cs="Calibri"/>
          <w:kern w:val="0"/>
          <w:lang w:eastAsia="lt-LT"/>
          <w14:ligatures w14:val="none"/>
        </w:rPr>
        <w:t>Viešųjų pirkimų tarnyba (toliau – Tarnyba), vadovaudamasi Lietuvos Respublikos viešųjų pirkimų įstatymo (toliau – Įstatymas) 95 straipsnio 2 dalies 7 punktu ir Perkančiųjų organizacijų prašymų dėl Viešųjų pirkimų tarnybos sutikimų pateikimo ir nagrinėjimo taisyklėmis</w:t>
      </w:r>
      <w:r w:rsidRPr="007D4C62">
        <w:rPr>
          <w:rFonts w:ascii="Calibri" w:eastAsia="Times New Roman" w:hAnsi="Calibri" w:cs="Calibri"/>
          <w:kern w:val="0"/>
          <w:vertAlign w:val="superscript"/>
          <w:lang w:eastAsia="lt-LT"/>
          <w14:ligatures w14:val="none"/>
        </w:rPr>
        <w:footnoteReference w:id="1"/>
      </w:r>
      <w:r w:rsidRPr="007D4C62">
        <w:rPr>
          <w:rFonts w:ascii="Calibri" w:eastAsia="Times New Roman" w:hAnsi="Calibri" w:cs="Calibri"/>
          <w:kern w:val="0"/>
          <w:lang w:eastAsia="lt-LT"/>
          <w14:ligatures w14:val="none"/>
        </w:rPr>
        <w:t xml:space="preserve"> (toliau – Taisyklės), išnagrinėjo </w:t>
      </w:r>
      <w:r w:rsidR="00E5512B" w:rsidRPr="000C6001">
        <w:rPr>
          <w:rFonts w:ascii="Calibri" w:eastAsia="Times New Roman" w:hAnsi="Calibri" w:cs="Calibri"/>
          <w:kern w:val="0"/>
          <w14:ligatures w14:val="none"/>
        </w:rPr>
        <w:t>UAB „LTG Kompetencijų centras“</w:t>
      </w:r>
      <w:r w:rsidR="00E5512B">
        <w:rPr>
          <w:rFonts w:ascii="Calibri" w:eastAsia="Times New Roman" w:hAnsi="Calibri" w:cs="Calibri"/>
          <w:kern w:val="0"/>
          <w14:ligatures w14:val="none"/>
        </w:rPr>
        <w:t xml:space="preserve"> </w:t>
      </w:r>
      <w:r w:rsidR="00DA4236">
        <w:rPr>
          <w:rFonts w:ascii="Calibri" w:eastAsia="Times New Roman" w:hAnsi="Calibri" w:cs="Calibri"/>
          <w:kern w:val="0"/>
          <w14:ligatures w14:val="none"/>
        </w:rPr>
        <w:t xml:space="preserve">(toliau – Pareiškėjas) </w:t>
      </w:r>
      <w:r w:rsidR="00E03914">
        <w:rPr>
          <w:rFonts w:ascii="Calibri" w:eastAsia="Times New Roman" w:hAnsi="Calibri" w:cs="Calibri"/>
          <w:kern w:val="0"/>
          <w14:ligatures w14:val="none"/>
        </w:rPr>
        <w:t xml:space="preserve">pateiktą </w:t>
      </w:r>
      <w:r w:rsidRPr="007D4C62">
        <w:rPr>
          <w:rFonts w:ascii="Calibri" w:eastAsia="Times New Roman" w:hAnsi="Calibri" w:cs="Calibri"/>
          <w:kern w:val="0"/>
          <w:lang w:eastAsia="lt-LT"/>
          <w14:ligatures w14:val="none"/>
        </w:rPr>
        <w:t xml:space="preserve">prašymą sutikti </w:t>
      </w:r>
      <w:r w:rsidR="00E5512B" w:rsidRPr="00E5512B">
        <w:rPr>
          <w:rFonts w:ascii="Calibri" w:eastAsia="Times New Roman" w:hAnsi="Calibri" w:cs="Calibri"/>
          <w:kern w:val="0"/>
          <w:lang w:eastAsia="lt-LT"/>
          <w14:ligatures w14:val="none"/>
        </w:rPr>
        <w:t>AB „Lietuvos geležinkeliai“</w:t>
      </w:r>
      <w:r w:rsidR="00E5512B">
        <w:rPr>
          <w:rFonts w:ascii="Calibri" w:eastAsia="Times New Roman" w:hAnsi="Calibri" w:cs="Calibri"/>
          <w:kern w:val="0"/>
          <w:lang w:eastAsia="lt-LT"/>
          <w14:ligatures w14:val="none"/>
        </w:rPr>
        <w:t xml:space="preserve"> </w:t>
      </w:r>
      <w:r w:rsidR="00E03914">
        <w:rPr>
          <w:rFonts w:ascii="Calibri" w:eastAsia="Times New Roman" w:hAnsi="Calibri" w:cs="Calibri"/>
          <w:kern w:val="0"/>
          <w:lang w:eastAsia="lt-LT"/>
          <w14:ligatures w14:val="none"/>
        </w:rPr>
        <w:t xml:space="preserve">(toliau – </w:t>
      </w:r>
      <w:r w:rsidR="00E03914" w:rsidRPr="00E03914">
        <w:rPr>
          <w:rFonts w:ascii="Calibri" w:eastAsia="Times New Roman" w:hAnsi="Calibri" w:cs="Calibri"/>
          <w:kern w:val="0"/>
          <w:lang w:eastAsia="lt-LT"/>
          <w14:ligatures w14:val="none"/>
        </w:rPr>
        <w:t>Perkančioji organizacija</w:t>
      </w:r>
      <w:r w:rsidR="00E03914">
        <w:rPr>
          <w:rFonts w:ascii="Calibri" w:eastAsia="Times New Roman" w:hAnsi="Calibri" w:cs="Calibri"/>
          <w:kern w:val="0"/>
          <w:lang w:eastAsia="lt-LT"/>
          <w14:ligatures w14:val="none"/>
        </w:rPr>
        <w:t xml:space="preserve">) planuojamą vykdyti </w:t>
      </w:r>
      <w:r w:rsidR="00E5512B">
        <w:rPr>
          <w:rFonts w:ascii="Calibri" w:eastAsia="Times New Roman" w:hAnsi="Calibri" w:cs="Calibri"/>
          <w:kern w:val="0"/>
          <w:lang w:eastAsia="lt-LT"/>
          <w14:ligatures w14:val="none"/>
        </w:rPr>
        <w:t>R</w:t>
      </w:r>
      <w:r w:rsidR="00E5512B" w:rsidRPr="00E5512B">
        <w:rPr>
          <w:rFonts w:ascii="Calibri" w:eastAsia="Times New Roman" w:hAnsi="Calibri" w:cs="Calibri"/>
          <w:kern w:val="0"/>
          <w:lang w:eastAsia="lt-LT"/>
          <w14:ligatures w14:val="none"/>
        </w:rPr>
        <w:t>enginių dalyvių pervežimo paslaugų geležinkeliais (traukiniais) Lietuvos Respublikos teritorijoje</w:t>
      </w:r>
      <w:r w:rsidRPr="007D4C62">
        <w:rPr>
          <w:rFonts w:ascii="Calibri" w:eastAsia="Times New Roman" w:hAnsi="Calibri" w:cs="Calibri"/>
          <w:kern w:val="0"/>
          <w:lang w:eastAsia="lt-LT"/>
          <w14:ligatures w14:val="none"/>
        </w:rPr>
        <w:t xml:space="preserve"> </w:t>
      </w:r>
      <w:r w:rsidR="00E03914">
        <w:rPr>
          <w:rFonts w:ascii="Calibri" w:eastAsia="Times New Roman" w:hAnsi="Calibri" w:cs="Calibri"/>
          <w:kern w:val="0"/>
          <w:lang w:eastAsia="lt-LT"/>
          <w14:ligatures w14:val="none"/>
        </w:rPr>
        <w:t xml:space="preserve">pirkimą </w:t>
      </w:r>
      <w:r w:rsidRPr="007D4C62">
        <w:rPr>
          <w:rFonts w:ascii="Calibri" w:eastAsia="Times New Roman" w:hAnsi="Calibri" w:cs="Calibri"/>
          <w:kern w:val="0"/>
          <w:lang w:eastAsia="lt-LT"/>
          <w14:ligatures w14:val="none"/>
        </w:rPr>
        <w:t xml:space="preserve">(toliau – Pirkimas) vykdyti neskelbiamų derybų būdu vadovaujantis Lietuvos Respublikos viešųjų pirkimų įstatymo (toliau – Įstatymas) 71 straipsnio 1 dalies 2 punkto </w:t>
      </w:r>
      <w:r w:rsidR="00E5512B">
        <w:rPr>
          <w:rFonts w:ascii="Calibri" w:eastAsia="Times New Roman" w:hAnsi="Calibri" w:cs="Calibri"/>
          <w:kern w:val="0"/>
          <w:lang w:eastAsia="lt-LT"/>
          <w14:ligatures w14:val="none"/>
        </w:rPr>
        <w:t>c</w:t>
      </w:r>
      <w:r w:rsidRPr="007D4C62">
        <w:rPr>
          <w:rFonts w:ascii="Calibri" w:eastAsia="Times New Roman" w:hAnsi="Calibri" w:cs="Calibri"/>
          <w:kern w:val="0"/>
          <w:lang w:eastAsia="lt-LT"/>
          <w14:ligatures w14:val="none"/>
        </w:rPr>
        <w:t xml:space="preserve"> papunkčiu</w:t>
      </w:r>
      <w:r w:rsidR="00E5512B">
        <w:rPr>
          <w:rFonts w:ascii="Calibri" w:eastAsia="Times New Roman" w:hAnsi="Calibri" w:cs="Calibri"/>
          <w:kern w:val="0"/>
          <w:lang w:eastAsia="lt-LT"/>
          <w14:ligatures w14:val="none"/>
        </w:rPr>
        <w:t xml:space="preserve"> </w:t>
      </w:r>
      <w:r w:rsidRPr="007D4C62">
        <w:rPr>
          <w:rFonts w:ascii="Calibri" w:eastAsia="Times New Roman" w:hAnsi="Calibri" w:cs="Calibri"/>
          <w:kern w:val="0"/>
          <w:lang w:eastAsia="lt-LT"/>
          <w14:ligatures w14:val="none"/>
        </w:rPr>
        <w:t xml:space="preserve">(toliau – Prašymas). </w:t>
      </w:r>
    </w:p>
    <w:bookmarkEnd w:id="3"/>
    <w:bookmarkEnd w:id="4"/>
    <w:p w14:paraId="7B6429C8" w14:textId="1F8BE156" w:rsidR="00DA4236" w:rsidRDefault="00467FF3" w:rsidP="00E03914">
      <w:pPr>
        <w:spacing w:after="0"/>
        <w:ind w:firstLine="709"/>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Tarnybai pateiktame Prašyme nurodyta, kad </w:t>
      </w:r>
      <w:r w:rsidR="00E5512B" w:rsidRPr="00E5512B">
        <w:rPr>
          <w:rFonts w:ascii="Calibri" w:eastAsia="Times New Roman" w:hAnsi="Calibri" w:cs="Calibri"/>
          <w:kern w:val="0"/>
          <w:lang w:eastAsia="lt-LT"/>
          <w14:ligatures w14:val="none"/>
        </w:rPr>
        <w:t xml:space="preserve">UAB „LTG Link“ yra vienintelis rinkos dalyvis, galintis Lietuvoje teikti keleivių vežimo paslaugas geležinkeliais, nes pagal Lietuvos Respublikos geležinkelių transporto kodeksą ir galiojančias licencijavimo taisykles tik licencijuotas vežėjas turi teisę teikti keleivių vežimo paslaugas geležinkeliais, o šiuo metu tokia licencija suteikta tik vienam subjektui. </w:t>
      </w:r>
      <w:r w:rsidR="00E03914" w:rsidRPr="00E03914">
        <w:rPr>
          <w:rFonts w:ascii="Calibri" w:eastAsia="Times New Roman" w:hAnsi="Calibri" w:cs="Calibri"/>
          <w:kern w:val="0"/>
          <w:lang w:eastAsia="lt-LT"/>
          <w14:ligatures w14:val="none"/>
        </w:rPr>
        <w:t>Lietuvos transporto saugos administracija vežėjo licenciją ir leidimą vežti keleivius geležinkeliais yra suteikusi tik vienam vežėjui – UAB „LTG Link“</w:t>
      </w:r>
      <w:r w:rsidR="00E03914">
        <w:rPr>
          <w:rFonts w:ascii="Calibri" w:eastAsia="Times New Roman" w:hAnsi="Calibri" w:cs="Calibri"/>
          <w:kern w:val="0"/>
          <w:lang w:eastAsia="lt-LT"/>
          <w14:ligatures w14:val="none"/>
        </w:rPr>
        <w:t xml:space="preserve">, todėl, </w:t>
      </w:r>
      <w:r w:rsidR="00E03914" w:rsidRPr="00E03914">
        <w:rPr>
          <w:rFonts w:ascii="Calibri" w:eastAsia="Times New Roman" w:hAnsi="Calibri" w:cs="Calibri"/>
          <w:kern w:val="0"/>
          <w:lang w:eastAsia="lt-LT"/>
          <w14:ligatures w14:val="none"/>
        </w:rPr>
        <w:t xml:space="preserve">nėra galimybių reikiamos paslaugos įsigyti iš kitų rinkos dalyvių. </w:t>
      </w:r>
    </w:p>
    <w:p w14:paraId="566C6932" w14:textId="3B33AE0E" w:rsidR="00DA4236" w:rsidRDefault="00DA4236" w:rsidP="00FE582E">
      <w:pPr>
        <w:spacing w:after="0"/>
        <w:ind w:firstLine="709"/>
        <w:rPr>
          <w:rFonts w:ascii="Calibri" w:eastAsia="Times New Roman" w:hAnsi="Calibri" w:cs="Calibri"/>
          <w:color w:val="000000"/>
          <w:kern w:val="0"/>
          <w:lang w:eastAsia="lt-LT"/>
          <w14:ligatures w14:val="none"/>
        </w:rPr>
      </w:pPr>
      <w:r>
        <w:rPr>
          <w:rFonts w:ascii="Calibri" w:eastAsia="Times New Roman" w:hAnsi="Calibri" w:cs="Calibri"/>
          <w:kern w:val="0"/>
          <w:lang w:eastAsia="lt-LT"/>
          <w14:ligatures w14:val="none"/>
        </w:rPr>
        <w:t>Prašyme taip pat akcentuojama, jog, a</w:t>
      </w:r>
      <w:r w:rsidR="00E03914" w:rsidRPr="00E03914">
        <w:rPr>
          <w:rFonts w:ascii="Calibri" w:eastAsia="Times New Roman" w:hAnsi="Calibri" w:cs="Calibri"/>
          <w:kern w:val="0"/>
          <w:lang w:eastAsia="lt-LT"/>
          <w14:ligatures w14:val="none"/>
        </w:rPr>
        <w:t>tsižvelgiant į pirkimo objekto specifiką – pervežimą būtent traukiniais, kaip žaliausiu transportu</w:t>
      </w:r>
      <w:r w:rsidR="00F35F59">
        <w:rPr>
          <w:rFonts w:ascii="Calibri" w:eastAsia="Times New Roman" w:hAnsi="Calibri" w:cs="Calibri"/>
          <w:kern w:val="0"/>
          <w:lang w:eastAsia="lt-LT"/>
          <w14:ligatures w14:val="none"/>
        </w:rPr>
        <w:t xml:space="preserve">, </w:t>
      </w:r>
      <w:r w:rsidR="00E03914" w:rsidRPr="00E03914">
        <w:rPr>
          <w:rFonts w:ascii="Calibri" w:eastAsia="Times New Roman" w:hAnsi="Calibri" w:cs="Calibri"/>
          <w:kern w:val="0"/>
          <w:lang w:eastAsia="lt-LT"/>
          <w14:ligatures w14:val="none"/>
        </w:rPr>
        <w:t xml:space="preserve">alternatyvūs transporto būdai (pvz., autobusai, automobiliai) neatitinka pirkimo tikslų ir tvarumo kriterijų. </w:t>
      </w:r>
      <w:r w:rsidR="00467FF3" w:rsidRPr="00F74B7E">
        <w:rPr>
          <w:rFonts w:ascii="Calibri" w:eastAsia="Times New Roman" w:hAnsi="Calibri" w:cs="Calibri"/>
          <w:color w:val="000000"/>
          <w:kern w:val="0"/>
          <w:lang w:eastAsia="lt-LT"/>
          <w14:ligatures w14:val="none"/>
        </w:rPr>
        <w:t>Pateikdama</w:t>
      </w:r>
      <w:r>
        <w:rPr>
          <w:rFonts w:ascii="Calibri" w:eastAsia="Times New Roman" w:hAnsi="Calibri" w:cs="Calibri"/>
          <w:color w:val="000000"/>
          <w:kern w:val="0"/>
          <w:lang w:eastAsia="lt-LT"/>
          <w14:ligatures w14:val="none"/>
        </w:rPr>
        <w:t>s</w:t>
      </w:r>
      <w:r w:rsidR="00467FF3" w:rsidRPr="00F74B7E">
        <w:rPr>
          <w:rFonts w:ascii="Calibri" w:eastAsia="Times New Roman" w:hAnsi="Calibri" w:cs="Calibri"/>
          <w:color w:val="000000"/>
          <w:kern w:val="0"/>
          <w:lang w:eastAsia="lt-LT"/>
          <w14:ligatures w14:val="none"/>
        </w:rPr>
        <w:t xml:space="preserve"> papildomą </w:t>
      </w:r>
      <w:r w:rsidR="00467FF3" w:rsidRPr="00DD396C">
        <w:rPr>
          <w:rFonts w:ascii="Calibri" w:eastAsia="Times New Roman" w:hAnsi="Calibri" w:cs="Calibri"/>
          <w:color w:val="000000"/>
          <w:kern w:val="0"/>
          <w:lang w:eastAsia="lt-LT"/>
          <w14:ligatures w14:val="none"/>
        </w:rPr>
        <w:t xml:space="preserve">informaciją, </w:t>
      </w:r>
      <w:r>
        <w:rPr>
          <w:rFonts w:ascii="Calibri" w:eastAsia="Times New Roman" w:hAnsi="Calibri" w:cs="Calibri"/>
          <w:color w:val="000000"/>
          <w:kern w:val="0"/>
          <w:lang w:eastAsia="lt-LT"/>
          <w14:ligatures w14:val="none"/>
        </w:rPr>
        <w:t>Pareiškėjas</w:t>
      </w:r>
      <w:r w:rsidR="00467FF3" w:rsidRPr="00DD396C">
        <w:rPr>
          <w:rFonts w:ascii="Calibri" w:eastAsia="Times New Roman" w:hAnsi="Calibri" w:cs="Calibri"/>
          <w:color w:val="000000"/>
          <w:kern w:val="0"/>
          <w:lang w:eastAsia="lt-LT"/>
          <w14:ligatures w14:val="none"/>
        </w:rPr>
        <w:t xml:space="preserve"> pažymėjo, jog </w:t>
      </w:r>
      <w:r w:rsidRPr="00DA4236">
        <w:rPr>
          <w:rFonts w:ascii="Calibri" w:eastAsia="Times New Roman" w:hAnsi="Calibri" w:cs="Calibri"/>
          <w:color w:val="000000"/>
          <w:kern w:val="0"/>
          <w:lang w:eastAsia="lt-LT"/>
          <w14:ligatures w14:val="none"/>
        </w:rPr>
        <w:t xml:space="preserve">Pirkimo tikslas yra ne tik užtikrinti renginių dalyvių pervežimą, bet ir integruoti jį į LTG grupės veiklą, skatinant geležinkelių transporto naudojimą kaip tvariausią ir efektyviausią masinio pervežimo priemonę. LTG veikla susijusi su kompetencijų ugdymu geležinkelių srityje, todėl pervežimas traukiniais leidžia dalyviams tiesiogiai patirti ir vertinti geležinkelių privalumus, kas nebūtų pasiekiama naudojant kitus transporto būdus. </w:t>
      </w:r>
      <w:r w:rsidR="00FE582E">
        <w:rPr>
          <w:rFonts w:ascii="Calibri" w:eastAsia="Times New Roman" w:hAnsi="Calibri" w:cs="Calibri"/>
          <w:color w:val="000000"/>
          <w:kern w:val="0"/>
          <w:lang w:eastAsia="lt-LT"/>
          <w14:ligatures w14:val="none"/>
        </w:rPr>
        <w:t>Taip pat nurodoma, jog a</w:t>
      </w:r>
      <w:r w:rsidRPr="00DA4236">
        <w:rPr>
          <w:rFonts w:ascii="Calibri" w:eastAsia="Times New Roman" w:hAnsi="Calibri" w:cs="Calibri"/>
          <w:color w:val="000000"/>
          <w:kern w:val="0"/>
          <w:lang w:eastAsia="lt-LT"/>
          <w14:ligatures w14:val="none"/>
        </w:rPr>
        <w:t xml:space="preserve">lternatyvos, tokios kaip autobusai ar automobiliai, </w:t>
      </w:r>
      <w:r w:rsidRPr="00DA4236">
        <w:rPr>
          <w:rFonts w:ascii="Calibri" w:eastAsia="Times New Roman" w:hAnsi="Calibri" w:cs="Calibri"/>
          <w:color w:val="000000"/>
          <w:kern w:val="0"/>
          <w:lang w:eastAsia="lt-LT"/>
          <w14:ligatures w14:val="none"/>
        </w:rPr>
        <w:lastRenderedPageBreak/>
        <w:t xml:space="preserve">neatitinka šio tikslo, nes jos neskatina geležinkelių infrastruktūros plėtros ir naudojimo, o tai yra vienas iš pagrindinių LTG grupės strateginių prioritetų. Tvarumo aspektu geležinkelių transportas, ypač elektriniai traukiniai, kuriuos naudoja UAB „LTG Link“, užtikrina ženkliai mažesnes CO₂ emisijas per keleivį kilometrui, palyginti su autobusais ar automobiliais, net jei pastariesiems būtų taikomi griežti aplinkosauginiai reikalavimai (pvz., elektriniai ar hibridiniai modeliai). </w:t>
      </w:r>
      <w:r w:rsidR="00DA72A8">
        <w:rPr>
          <w:rFonts w:ascii="Calibri" w:eastAsia="Times New Roman" w:hAnsi="Calibri" w:cs="Calibri"/>
          <w:color w:val="000000"/>
          <w:kern w:val="0"/>
          <w:lang w:eastAsia="lt-LT"/>
          <w14:ligatures w14:val="none"/>
        </w:rPr>
        <w:t>Nurodoma, jog r</w:t>
      </w:r>
      <w:r w:rsidRPr="00DA4236">
        <w:rPr>
          <w:rFonts w:ascii="Calibri" w:eastAsia="Times New Roman" w:hAnsi="Calibri" w:cs="Calibri"/>
          <w:color w:val="000000"/>
          <w:kern w:val="0"/>
          <w:lang w:eastAsia="lt-LT"/>
          <w14:ligatures w14:val="none"/>
        </w:rPr>
        <w:t>emiantis tarptautiniais tyrimais, traukiniai vidutiniškai išskiria apie 41 g CO₂ per keleivį kilometrui, o autobusai – nuo 27 g (ilgų distancijų) iki 96 g (dyzeliniai), o privatūs automobiliai – net iki 170–255 g, priklausomai nuo užimtumo. Lietuv</w:t>
      </w:r>
      <w:r w:rsidR="00E50BEB">
        <w:rPr>
          <w:rFonts w:ascii="Calibri" w:eastAsia="Times New Roman" w:hAnsi="Calibri" w:cs="Calibri"/>
          <w:color w:val="000000"/>
          <w:kern w:val="0"/>
          <w:lang w:eastAsia="lt-LT"/>
          <w14:ligatures w14:val="none"/>
        </w:rPr>
        <w:t>os</w:t>
      </w:r>
      <w:r w:rsidRPr="00DA4236">
        <w:rPr>
          <w:rFonts w:ascii="Calibri" w:eastAsia="Times New Roman" w:hAnsi="Calibri" w:cs="Calibri"/>
          <w:color w:val="000000"/>
          <w:kern w:val="0"/>
          <w:lang w:eastAsia="lt-LT"/>
          <w14:ligatures w14:val="none"/>
        </w:rPr>
        <w:t xml:space="preserve"> kontekste, LTG Link elektriniai traukiniai praktiškai neteršia gamtos, o jų naudojimas leidžia sumažinti CO₂ emisijas iki minimumo – pavyzdžiui, nauji elektriniai traukiniai sumažina emisijas apie 6 500 tonų per metus, o transportas elektriniu traukiniu išskiria mažiau CO₂ per keleivio vietą nei autobusai ar automobiliai. Net nustatant tvarumo reikalavimus alternatyvoms (pvz., elektriniai autobusai su 72 g CO₂ per keleivį kilometrui), geležinkelių transportas lieka pranašesnis dėl masinės talpos, energijos efektyvumo ir mažesnio infrastruktūros poveikio gamtai. Kitos transporto priemonės neatitinka saugos, patogumo ir efektyvumo kriterijų renginių dalyvių grupėms: traukiniai leidžia vežti didesnį skaičių keleivių vienu metu be kamščių rizikos, užtikrina aukštesnį saugumo lygį (mažesnė avarijų tikimybė) ir patogesnes keliones ilgais atstumais, kas ypač aktualu Lietuvos teritorijoje. </w:t>
      </w:r>
    </w:p>
    <w:p w14:paraId="21B7C1FC" w14:textId="6C45B325" w:rsidR="005E3019" w:rsidRPr="00FE582E" w:rsidRDefault="00D432AD" w:rsidP="00F01752">
      <w:pPr>
        <w:spacing w:after="0"/>
        <w:ind w:firstLine="709"/>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 xml:space="preserve">Papildomai </w:t>
      </w:r>
      <w:r w:rsidR="005E3019">
        <w:rPr>
          <w:rFonts w:ascii="Calibri" w:eastAsia="Times New Roman" w:hAnsi="Calibri" w:cs="Calibri"/>
          <w:color w:val="000000"/>
          <w:kern w:val="0"/>
          <w:lang w:eastAsia="lt-LT"/>
          <w14:ligatures w14:val="none"/>
        </w:rPr>
        <w:t xml:space="preserve">Pareiškėjas nurodė, jog </w:t>
      </w:r>
      <w:r w:rsidR="00CB0542" w:rsidRPr="00CB0542">
        <w:rPr>
          <w:rFonts w:ascii="Calibri" w:eastAsia="Times New Roman" w:hAnsi="Calibri" w:cs="Calibri"/>
          <w:color w:val="000000"/>
          <w:kern w:val="0"/>
          <w:lang w:eastAsia="lt-LT"/>
          <w14:ligatures w14:val="none"/>
        </w:rPr>
        <w:t>Pirkimu įsigyjamos paslaugos būtų naudojamos organizuojamiems renginiams, kurių turinys ir specifika yra tiesiogiai susiję su geležinkelių veikla, infrastruktūra ar jų pristatymu visuomenei ir partneriams.</w:t>
      </w:r>
      <w:r w:rsidR="00BE317A">
        <w:rPr>
          <w:rFonts w:ascii="Calibri" w:eastAsia="Times New Roman" w:hAnsi="Calibri" w:cs="Calibri"/>
          <w:color w:val="000000"/>
          <w:kern w:val="0"/>
          <w:lang w:eastAsia="lt-LT"/>
          <w14:ligatures w14:val="none"/>
        </w:rPr>
        <w:t xml:space="preserve"> Pareiškėjo teigimu, p</w:t>
      </w:r>
      <w:r w:rsidR="0005276C" w:rsidRPr="0005276C">
        <w:rPr>
          <w:rFonts w:ascii="Calibri" w:eastAsia="Times New Roman" w:hAnsi="Calibri" w:cs="Calibri"/>
          <w:color w:val="000000"/>
          <w:kern w:val="0"/>
          <w:lang w:eastAsia="lt-LT"/>
          <w14:ligatures w14:val="none"/>
        </w:rPr>
        <w:t>ervežimas traukiniais yra renginio sudėtinė dalis</w:t>
      </w:r>
      <w:r w:rsidR="0031259C">
        <w:rPr>
          <w:rFonts w:ascii="Calibri" w:eastAsia="Times New Roman" w:hAnsi="Calibri" w:cs="Calibri"/>
          <w:color w:val="000000"/>
          <w:kern w:val="0"/>
          <w:lang w:eastAsia="lt-LT"/>
          <w14:ligatures w14:val="none"/>
        </w:rPr>
        <w:t xml:space="preserve">, </w:t>
      </w:r>
      <w:r w:rsidR="0031259C" w:rsidRPr="0005276C">
        <w:rPr>
          <w:rFonts w:ascii="Calibri" w:eastAsia="Times New Roman" w:hAnsi="Calibri" w:cs="Calibri"/>
          <w:color w:val="000000"/>
          <w:kern w:val="0"/>
          <w:lang w:eastAsia="lt-LT"/>
          <w14:ligatures w14:val="none"/>
        </w:rPr>
        <w:t>integralus scenarijaus elementas</w:t>
      </w:r>
      <w:r w:rsidR="00BE317A">
        <w:rPr>
          <w:rFonts w:ascii="Calibri" w:eastAsia="Times New Roman" w:hAnsi="Calibri" w:cs="Calibri"/>
          <w:color w:val="000000"/>
          <w:kern w:val="0"/>
          <w:lang w:eastAsia="lt-LT"/>
          <w14:ligatures w14:val="none"/>
        </w:rPr>
        <w:t xml:space="preserve">. </w:t>
      </w:r>
      <w:r w:rsidR="0031259C">
        <w:rPr>
          <w:rFonts w:ascii="Calibri" w:eastAsia="Times New Roman" w:hAnsi="Calibri" w:cs="Calibri"/>
          <w:color w:val="000000"/>
          <w:kern w:val="0"/>
          <w:lang w:eastAsia="lt-LT"/>
          <w14:ligatures w14:val="none"/>
        </w:rPr>
        <w:t xml:space="preserve">Taip pat Pareiškėjas pažymėjo, jog </w:t>
      </w:r>
      <w:r w:rsidR="0005276C" w:rsidRPr="0005276C">
        <w:rPr>
          <w:rFonts w:ascii="Calibri" w:eastAsia="Times New Roman" w:hAnsi="Calibri" w:cs="Calibri"/>
          <w:color w:val="000000"/>
          <w:kern w:val="0"/>
          <w:lang w:eastAsia="lt-LT"/>
          <w14:ligatures w14:val="none"/>
        </w:rPr>
        <w:t>kelionė traukiniu nėra tik logistika, ji yra reikšminga renginio dalis, turinti tiek praktinę, tiek reprezentacinę, tiek edukacinę funkciją.</w:t>
      </w:r>
    </w:p>
    <w:p w14:paraId="4A4397A9" w14:textId="0E05E7A2" w:rsidR="00FE582E" w:rsidRDefault="00FE582E" w:rsidP="00467FF3">
      <w:pPr>
        <w:spacing w:after="0"/>
        <w:ind w:firstLine="709"/>
        <w:rPr>
          <w:rFonts w:ascii="Calibri" w:hAnsi="Calibri" w:cs="Calibri"/>
        </w:rPr>
      </w:pPr>
      <w:r>
        <w:rPr>
          <w:rFonts w:ascii="Calibri" w:hAnsi="Calibri" w:cs="Calibri"/>
        </w:rPr>
        <w:t xml:space="preserve">Atsižvelgiant į </w:t>
      </w:r>
      <w:r w:rsidR="00467FF3" w:rsidRPr="00710868">
        <w:rPr>
          <w:rFonts w:ascii="Calibri" w:hAnsi="Calibri" w:cs="Calibri"/>
        </w:rPr>
        <w:t xml:space="preserve"> visas aukščiau nurodytas aplinkybes, </w:t>
      </w:r>
      <w:r>
        <w:rPr>
          <w:rFonts w:ascii="Calibri" w:hAnsi="Calibri" w:cs="Calibri"/>
        </w:rPr>
        <w:t>Perkančioji organizacija</w:t>
      </w:r>
      <w:r w:rsidR="00467FF3" w:rsidRPr="00710868">
        <w:rPr>
          <w:rFonts w:ascii="Calibri" w:hAnsi="Calibri" w:cs="Calibri"/>
        </w:rPr>
        <w:t xml:space="preserve"> nutarė kreiptis į Tarnybą su prašymu </w:t>
      </w:r>
      <w:bookmarkStart w:id="5" w:name="_Hlk53487890"/>
      <w:r w:rsidR="00467FF3">
        <w:rPr>
          <w:rFonts w:ascii="Calibri" w:hAnsi="Calibri" w:cs="Calibri"/>
        </w:rPr>
        <w:t xml:space="preserve">sutikti </w:t>
      </w:r>
      <w:r w:rsidR="00467FF3" w:rsidRPr="00710868">
        <w:rPr>
          <w:rFonts w:ascii="Calibri" w:hAnsi="Calibri" w:cs="Calibri"/>
        </w:rPr>
        <w:t xml:space="preserve">vykdyti </w:t>
      </w:r>
      <w:r w:rsidR="00467FF3" w:rsidRPr="00710868">
        <w:rPr>
          <w:rFonts w:ascii="Calibri" w:hAnsi="Calibri" w:cs="Calibri"/>
          <w:iCs/>
        </w:rPr>
        <w:t>Pirkim</w:t>
      </w:r>
      <w:r w:rsidR="00467FF3">
        <w:rPr>
          <w:rFonts w:ascii="Calibri" w:hAnsi="Calibri" w:cs="Calibri"/>
          <w:iCs/>
        </w:rPr>
        <w:t>ą</w:t>
      </w:r>
      <w:r w:rsidR="00467FF3" w:rsidRPr="00710868">
        <w:rPr>
          <w:rFonts w:ascii="Calibri" w:hAnsi="Calibri" w:cs="Calibri"/>
          <w:iCs/>
        </w:rPr>
        <w:t xml:space="preserve"> </w:t>
      </w:r>
      <w:bookmarkEnd w:id="5"/>
      <w:r w:rsidR="00467FF3" w:rsidRPr="00710868">
        <w:rPr>
          <w:rFonts w:ascii="Calibri" w:hAnsi="Calibri" w:cs="Calibri"/>
        </w:rPr>
        <w:t xml:space="preserve">neskelbiamų derybų būdu, vadovaujantis Įstatymo 71 straipsnio 1 dalies 2 punkto </w:t>
      </w:r>
      <w:r>
        <w:rPr>
          <w:rFonts w:ascii="Calibri" w:hAnsi="Calibri" w:cs="Calibri"/>
        </w:rPr>
        <w:t>c</w:t>
      </w:r>
      <w:r w:rsidR="00467FF3" w:rsidRPr="00710868">
        <w:rPr>
          <w:rFonts w:ascii="Calibri" w:hAnsi="Calibri" w:cs="Calibri"/>
        </w:rPr>
        <w:t xml:space="preserve"> papunkčio nuostatomis, į derybas kviečiant tiekėj</w:t>
      </w:r>
      <w:r>
        <w:rPr>
          <w:rFonts w:ascii="Calibri" w:hAnsi="Calibri" w:cs="Calibri"/>
        </w:rPr>
        <w:t>ą</w:t>
      </w:r>
      <w:r w:rsidR="00467FF3">
        <w:rPr>
          <w:rFonts w:ascii="Calibri" w:hAnsi="Calibri" w:cs="Calibri"/>
        </w:rPr>
        <w:t xml:space="preserve"> </w:t>
      </w:r>
      <w:r w:rsidRPr="00FE582E">
        <w:rPr>
          <w:rFonts w:ascii="Calibri" w:hAnsi="Calibri" w:cs="Calibri"/>
        </w:rPr>
        <w:t>UAB „LTG Link“</w:t>
      </w:r>
      <w:r w:rsidR="00467FF3">
        <w:rPr>
          <w:rFonts w:ascii="Calibri" w:hAnsi="Calibri" w:cs="Calibri"/>
        </w:rPr>
        <w:t xml:space="preserve">. </w:t>
      </w:r>
    </w:p>
    <w:p w14:paraId="50951035" w14:textId="4FB77CD2" w:rsidR="0095090A" w:rsidRPr="0095090A" w:rsidRDefault="00FE582E" w:rsidP="0095090A">
      <w:pPr>
        <w:spacing w:after="0"/>
        <w:ind w:firstLine="709"/>
        <w:rPr>
          <w:rFonts w:ascii="Calibri" w:hAnsi="Calibri" w:cs="Calibri"/>
        </w:rPr>
      </w:pPr>
      <w:r w:rsidRPr="00FE582E">
        <w:rPr>
          <w:rFonts w:ascii="Calibri" w:hAnsi="Calibri" w:cs="Calibri"/>
        </w:rPr>
        <w:t>Planuojama Pirkimo vertė –</w:t>
      </w:r>
      <w:r>
        <w:rPr>
          <w:rFonts w:ascii="Calibri" w:hAnsi="Calibri" w:cs="Calibri"/>
        </w:rPr>
        <w:t xml:space="preserve"> </w:t>
      </w:r>
      <w:r w:rsidRPr="00FE582E">
        <w:rPr>
          <w:rFonts w:ascii="Calibri" w:hAnsi="Calibri" w:cs="Calibri"/>
        </w:rPr>
        <w:t>250 000 Eur be PVM</w:t>
      </w:r>
      <w:r>
        <w:rPr>
          <w:rFonts w:ascii="Calibri" w:hAnsi="Calibri" w:cs="Calibri"/>
        </w:rPr>
        <w:t>.</w:t>
      </w:r>
    </w:p>
    <w:p w14:paraId="5B389E28" w14:textId="77777777" w:rsidR="0095090A" w:rsidRPr="0095090A" w:rsidRDefault="0095090A" w:rsidP="0095090A">
      <w:pPr>
        <w:spacing w:after="0"/>
        <w:ind w:firstLine="709"/>
        <w:rPr>
          <w:rFonts w:ascii="Calibri" w:eastAsia="Times New Roman" w:hAnsi="Calibri" w:cs="Calibri"/>
          <w:color w:val="000000"/>
          <w:kern w:val="0"/>
          <w:lang w:eastAsia="lt-LT"/>
          <w14:ligatures w14:val="none"/>
        </w:rPr>
      </w:pPr>
      <w:r w:rsidRPr="0095090A">
        <w:rPr>
          <w:rFonts w:ascii="Calibri" w:eastAsia="Times New Roman" w:hAnsi="Calibri" w:cs="Calibri"/>
          <w:color w:val="000000"/>
          <w:kern w:val="0"/>
          <w:lang w:eastAsia="lt-LT"/>
          <w14:ligatures w14:val="none"/>
        </w:rPr>
        <w:t>Įstatymo 71 straipsnio 1 dalies 2 punkto c papunktyje nustatyta, kad paslaugos neskelbiamų derybų būdu gali būti perkamos: „jeigu &lt;...&gt; paslaugas teikti &lt;...&gt; gali tik konkretus tiekėjas dėl &lt;...&gt; c) dėl išimtinių teisių, įskaitant intelektinės nuosavybės teises, apsaugos“.</w:t>
      </w:r>
    </w:p>
    <w:p w14:paraId="4185F8F0" w14:textId="2FAE10DE" w:rsidR="005E0240" w:rsidRDefault="0095090A" w:rsidP="0095090A">
      <w:pPr>
        <w:spacing w:after="0"/>
        <w:ind w:firstLine="709"/>
        <w:rPr>
          <w:rFonts w:ascii="Calibri" w:eastAsia="Times New Roman" w:hAnsi="Calibri" w:cs="Calibri"/>
          <w:color w:val="000000"/>
          <w:kern w:val="0"/>
          <w:lang w:eastAsia="lt-LT"/>
          <w14:ligatures w14:val="none"/>
        </w:rPr>
      </w:pPr>
      <w:r w:rsidRPr="0095090A">
        <w:rPr>
          <w:rFonts w:ascii="Calibri" w:eastAsia="Times New Roman" w:hAnsi="Calibri" w:cs="Calibri"/>
          <w:color w:val="000000"/>
          <w:kern w:val="0"/>
          <w:lang w:eastAsia="lt-LT"/>
          <w14:ligatures w14:val="none"/>
        </w:rPr>
        <w:t xml:space="preserve">Tarnyba, įvertinusi nurodytus argumentus ir papildomus paaiškinimus </w:t>
      </w:r>
      <w:r>
        <w:rPr>
          <w:rFonts w:ascii="Calibri" w:eastAsia="Times New Roman" w:hAnsi="Calibri" w:cs="Calibri"/>
          <w:color w:val="000000"/>
          <w:kern w:val="0"/>
          <w:lang w:eastAsia="lt-LT"/>
          <w14:ligatures w14:val="none"/>
        </w:rPr>
        <w:t xml:space="preserve">bei </w:t>
      </w:r>
      <w:r w:rsidRPr="00E03914">
        <w:rPr>
          <w:rFonts w:ascii="Calibri" w:eastAsia="Times New Roman" w:hAnsi="Calibri" w:cs="Calibri"/>
          <w:kern w:val="0"/>
          <w:lang w:eastAsia="lt-LT"/>
          <w14:ligatures w14:val="none"/>
        </w:rPr>
        <w:t>Lietuvos transporto saugos administracij</w:t>
      </w:r>
      <w:r>
        <w:rPr>
          <w:rFonts w:ascii="Calibri" w:eastAsia="Times New Roman" w:hAnsi="Calibri" w:cs="Calibri"/>
          <w:kern w:val="0"/>
          <w:lang w:eastAsia="lt-LT"/>
          <w14:ligatures w14:val="none"/>
        </w:rPr>
        <w:t>os</w:t>
      </w:r>
      <w:r w:rsidRPr="0095090A">
        <w:rPr>
          <w:rFonts w:ascii="Calibri" w:eastAsia="Times New Roman" w:hAnsi="Calibri" w:cs="Calibri"/>
          <w:color w:val="000000"/>
          <w:kern w:val="0"/>
          <w:lang w:eastAsia="lt-LT"/>
          <w14:ligatures w14:val="none"/>
        </w:rPr>
        <w:t xml:space="preserve"> tinklalapyje viešai skelbiamą informaciją apie licencijų turėtojus</w:t>
      </w:r>
      <w:r w:rsidR="005E0240">
        <w:rPr>
          <w:rStyle w:val="FootnoteReference"/>
          <w:rFonts w:ascii="Calibri" w:eastAsia="Times New Roman" w:hAnsi="Calibri" w:cs="Calibri"/>
          <w:color w:val="000000"/>
          <w:kern w:val="0"/>
          <w:lang w:eastAsia="lt-LT"/>
          <w14:ligatures w14:val="none"/>
        </w:rPr>
        <w:footnoteReference w:id="2"/>
      </w:r>
      <w:r w:rsidRPr="0095090A">
        <w:rPr>
          <w:rFonts w:ascii="Calibri" w:eastAsia="Times New Roman" w:hAnsi="Calibri" w:cs="Calibri"/>
          <w:color w:val="000000"/>
          <w:kern w:val="0"/>
          <w:lang w:eastAsia="lt-LT"/>
          <w14:ligatures w14:val="none"/>
        </w:rPr>
        <w:t xml:space="preserve"> nustatė, kad Perkančiosios organizacijos pasirinktas pirkimo būdas atitinka Įstatymo 71 straipsnio 1 dalies 2 punkto c papunkčio sąlygas, </w:t>
      </w:r>
      <w:r w:rsidR="0086361F">
        <w:rPr>
          <w:rFonts w:ascii="Calibri" w:eastAsia="Times New Roman" w:hAnsi="Calibri" w:cs="Calibri"/>
          <w:color w:val="000000"/>
          <w:kern w:val="0"/>
          <w:lang w:eastAsia="lt-LT"/>
          <w14:ligatures w14:val="none"/>
        </w:rPr>
        <w:t>kadangi</w:t>
      </w:r>
      <w:r w:rsidRPr="0095090A">
        <w:rPr>
          <w:rFonts w:ascii="Calibri" w:eastAsia="Times New Roman" w:hAnsi="Calibri" w:cs="Calibri"/>
          <w:color w:val="000000"/>
          <w:kern w:val="0"/>
          <w:lang w:eastAsia="lt-LT"/>
          <w14:ligatures w14:val="none"/>
        </w:rPr>
        <w:t xml:space="preserve"> Pirkimo objektą</w:t>
      </w:r>
      <w:r w:rsidR="00BA7C79">
        <w:rPr>
          <w:rFonts w:ascii="Calibri" w:eastAsia="Times New Roman" w:hAnsi="Calibri" w:cs="Calibri"/>
          <w:color w:val="000000"/>
          <w:kern w:val="0"/>
          <w:lang w:eastAsia="lt-LT"/>
          <w14:ligatures w14:val="none"/>
        </w:rPr>
        <w:t xml:space="preserve">, t. y. </w:t>
      </w:r>
      <w:r w:rsidR="0086361F">
        <w:rPr>
          <w:rFonts w:ascii="Calibri" w:eastAsia="Times New Roman" w:hAnsi="Calibri" w:cs="Calibri"/>
          <w:kern w:val="0"/>
          <w:lang w:eastAsia="lt-LT"/>
          <w14:ligatures w14:val="none"/>
        </w:rPr>
        <w:t>r</w:t>
      </w:r>
      <w:r w:rsidR="0086361F" w:rsidRPr="00E5512B">
        <w:rPr>
          <w:rFonts w:ascii="Calibri" w:eastAsia="Times New Roman" w:hAnsi="Calibri" w:cs="Calibri"/>
          <w:kern w:val="0"/>
          <w:lang w:eastAsia="lt-LT"/>
          <w14:ligatures w14:val="none"/>
        </w:rPr>
        <w:t>enginių</w:t>
      </w:r>
      <w:r w:rsidR="00D722E1">
        <w:rPr>
          <w:rFonts w:ascii="Calibri" w:eastAsia="Times New Roman" w:hAnsi="Calibri" w:cs="Calibri"/>
          <w:kern w:val="0"/>
          <w:lang w:eastAsia="lt-LT"/>
          <w14:ligatures w14:val="none"/>
        </w:rPr>
        <w:t xml:space="preserve">, kurie pagal koncepciją yra </w:t>
      </w:r>
      <w:r w:rsidR="007E388C">
        <w:rPr>
          <w:rFonts w:ascii="Calibri" w:eastAsia="Times New Roman" w:hAnsi="Calibri" w:cs="Calibri"/>
          <w:kern w:val="0"/>
          <w:lang w:eastAsia="lt-LT"/>
          <w14:ligatures w14:val="none"/>
        </w:rPr>
        <w:t xml:space="preserve">susiję su </w:t>
      </w:r>
      <w:r w:rsidR="00AC5541">
        <w:rPr>
          <w:rFonts w:ascii="Calibri" w:eastAsia="Times New Roman" w:hAnsi="Calibri" w:cs="Calibri"/>
          <w:kern w:val="0"/>
          <w:lang w:eastAsia="lt-LT"/>
          <w14:ligatures w14:val="none"/>
        </w:rPr>
        <w:t>geležinkeli</w:t>
      </w:r>
      <w:r w:rsidR="002F7E54">
        <w:rPr>
          <w:rFonts w:ascii="Calibri" w:eastAsia="Times New Roman" w:hAnsi="Calibri" w:cs="Calibri"/>
          <w:kern w:val="0"/>
          <w:lang w:eastAsia="lt-LT"/>
          <w14:ligatures w14:val="none"/>
        </w:rPr>
        <w:t xml:space="preserve">ų </w:t>
      </w:r>
      <w:r w:rsidR="00454D73">
        <w:rPr>
          <w:rFonts w:ascii="Calibri" w:eastAsia="Times New Roman" w:hAnsi="Calibri" w:cs="Calibri"/>
          <w:kern w:val="0"/>
          <w:lang w:eastAsia="lt-LT"/>
          <w14:ligatures w14:val="none"/>
        </w:rPr>
        <w:t>veikla</w:t>
      </w:r>
      <w:r w:rsidR="002F7E54">
        <w:rPr>
          <w:rFonts w:ascii="Calibri" w:eastAsia="Times New Roman" w:hAnsi="Calibri" w:cs="Calibri"/>
          <w:kern w:val="0"/>
          <w:lang w:eastAsia="lt-LT"/>
          <w14:ligatures w14:val="none"/>
        </w:rPr>
        <w:t xml:space="preserve">, </w:t>
      </w:r>
      <w:r w:rsidR="0086361F" w:rsidRPr="00E5512B">
        <w:rPr>
          <w:rFonts w:ascii="Calibri" w:eastAsia="Times New Roman" w:hAnsi="Calibri" w:cs="Calibri"/>
          <w:kern w:val="0"/>
          <w:lang w:eastAsia="lt-LT"/>
          <w14:ligatures w14:val="none"/>
        </w:rPr>
        <w:t>dalyvių pervežimo paslaugų geležinkeliais (traukiniais) Lietuvos Respublikos teritorijoje</w:t>
      </w:r>
      <w:r w:rsidR="0086361F" w:rsidRPr="007D4C62">
        <w:rPr>
          <w:rFonts w:ascii="Calibri" w:eastAsia="Times New Roman" w:hAnsi="Calibri" w:cs="Calibri"/>
          <w:kern w:val="0"/>
          <w:lang w:eastAsia="lt-LT"/>
          <w14:ligatures w14:val="none"/>
        </w:rPr>
        <w:t xml:space="preserve"> </w:t>
      </w:r>
      <w:r w:rsidRPr="0095090A">
        <w:rPr>
          <w:rFonts w:ascii="Calibri" w:eastAsia="Times New Roman" w:hAnsi="Calibri" w:cs="Calibri"/>
          <w:color w:val="000000"/>
          <w:kern w:val="0"/>
          <w:lang w:eastAsia="lt-LT"/>
          <w14:ligatures w14:val="none"/>
        </w:rPr>
        <w:t xml:space="preserve">visa apimtimi gali suteikti tik konkretus tiekėjas – </w:t>
      </w:r>
      <w:r w:rsidRPr="00DA4236">
        <w:rPr>
          <w:rFonts w:ascii="Calibri" w:eastAsia="Times New Roman" w:hAnsi="Calibri" w:cs="Calibri"/>
          <w:color w:val="000000"/>
          <w:kern w:val="0"/>
          <w:lang w:eastAsia="lt-LT"/>
          <w14:ligatures w14:val="none"/>
        </w:rPr>
        <w:lastRenderedPageBreak/>
        <w:t>UAB „LTG Link“</w:t>
      </w:r>
      <w:r w:rsidRPr="0095090A">
        <w:rPr>
          <w:rFonts w:ascii="Calibri" w:eastAsia="Times New Roman" w:hAnsi="Calibri" w:cs="Calibri"/>
          <w:color w:val="000000"/>
          <w:kern w:val="0"/>
          <w:lang w:eastAsia="lt-LT"/>
          <w14:ligatures w14:val="none"/>
        </w:rPr>
        <w:t>, kuri</w:t>
      </w:r>
      <w:r>
        <w:rPr>
          <w:rFonts w:ascii="Calibri" w:eastAsia="Times New Roman" w:hAnsi="Calibri" w:cs="Calibri"/>
          <w:color w:val="000000"/>
          <w:kern w:val="0"/>
          <w:lang w:eastAsia="lt-LT"/>
          <w14:ligatures w14:val="none"/>
        </w:rPr>
        <w:t>am</w:t>
      </w:r>
      <w:r w:rsidRPr="0095090A">
        <w:rPr>
          <w:rFonts w:ascii="Calibri" w:eastAsia="Times New Roman" w:hAnsi="Calibri" w:cs="Calibri"/>
          <w:color w:val="000000"/>
          <w:kern w:val="0"/>
          <w:lang w:eastAsia="lt-LT"/>
          <w14:ligatures w14:val="none"/>
        </w:rPr>
        <w:t xml:space="preserve"> vieninteli</w:t>
      </w:r>
      <w:r>
        <w:rPr>
          <w:rFonts w:ascii="Calibri" w:eastAsia="Times New Roman" w:hAnsi="Calibri" w:cs="Calibri"/>
          <w:color w:val="000000"/>
          <w:kern w:val="0"/>
          <w:lang w:eastAsia="lt-LT"/>
          <w14:ligatures w14:val="none"/>
        </w:rPr>
        <w:t>am yra suteikta</w:t>
      </w:r>
      <w:r w:rsidRPr="0095090A">
        <w:rPr>
          <w:rFonts w:ascii="Calibri" w:eastAsia="Times New Roman" w:hAnsi="Calibri" w:cs="Calibri"/>
          <w:color w:val="000000"/>
          <w:kern w:val="0"/>
          <w:lang w:eastAsia="lt-LT"/>
          <w14:ligatures w14:val="none"/>
        </w:rPr>
        <w:t xml:space="preserve"> </w:t>
      </w:r>
      <w:r>
        <w:rPr>
          <w:rFonts w:ascii="Calibri" w:eastAsia="Times New Roman" w:hAnsi="Calibri" w:cs="Calibri"/>
          <w:color w:val="000000"/>
          <w:kern w:val="0"/>
          <w:lang w:eastAsia="lt-LT"/>
          <w14:ligatures w14:val="none"/>
        </w:rPr>
        <w:t xml:space="preserve">išimtinė teisė (licencija) vežti keleivius geležinkelių transportu. </w:t>
      </w:r>
    </w:p>
    <w:p w14:paraId="122068D9" w14:textId="06B05347" w:rsidR="005E0240" w:rsidRDefault="0095090A" w:rsidP="00981842">
      <w:pPr>
        <w:spacing w:after="0"/>
        <w:ind w:firstLine="709"/>
        <w:rPr>
          <w:rFonts w:ascii="Calibri" w:eastAsia="Times New Roman" w:hAnsi="Calibri" w:cs="Calibri"/>
          <w:color w:val="000000"/>
          <w:kern w:val="0"/>
          <w:lang w:eastAsia="lt-LT"/>
          <w14:ligatures w14:val="none"/>
        </w:rPr>
      </w:pPr>
      <w:r w:rsidRPr="0095090A">
        <w:rPr>
          <w:rFonts w:ascii="Calibri" w:eastAsia="Times New Roman" w:hAnsi="Calibri" w:cs="Calibri"/>
          <w:color w:val="000000"/>
          <w:kern w:val="0"/>
          <w:lang w:eastAsia="lt-LT"/>
          <w14:ligatures w14:val="none"/>
        </w:rPr>
        <w:t xml:space="preserve">Atsižvelgdama į tai kas išdėstyta ir vadovaudamasi Įstatymo 95 straipsnio 2 dalies 7 punktu ir Taisyklėmis, Tarnyba </w:t>
      </w:r>
      <w:r w:rsidRPr="0095090A">
        <w:rPr>
          <w:rFonts w:ascii="Calibri" w:eastAsia="Times New Roman" w:hAnsi="Calibri" w:cs="Calibri"/>
          <w:b/>
          <w:bCs/>
          <w:color w:val="000000"/>
          <w:kern w:val="0"/>
          <w:lang w:eastAsia="lt-LT"/>
          <w14:ligatures w14:val="none"/>
        </w:rPr>
        <w:t>sutinka</w:t>
      </w:r>
      <w:r w:rsidRPr="0095090A">
        <w:rPr>
          <w:rFonts w:ascii="Calibri" w:eastAsia="Times New Roman" w:hAnsi="Calibri" w:cs="Calibri"/>
          <w:color w:val="000000"/>
          <w:kern w:val="0"/>
          <w:lang w:eastAsia="lt-LT"/>
          <w14:ligatures w14:val="none"/>
        </w:rPr>
        <w:t xml:space="preserve">, kad Pirkimas būtų vykdomas neskelbiamų derybų būdu, vadovaujantis Įstatymo 71 straipsnio 1 dalies 2 punkto c papunkčiu, į derybas kviečiant konkretų tiekėją – </w:t>
      </w:r>
      <w:r w:rsidR="005E0240" w:rsidRPr="00DA4236">
        <w:rPr>
          <w:rFonts w:ascii="Calibri" w:eastAsia="Times New Roman" w:hAnsi="Calibri" w:cs="Calibri"/>
          <w:color w:val="000000"/>
          <w:kern w:val="0"/>
          <w:lang w:eastAsia="lt-LT"/>
          <w14:ligatures w14:val="none"/>
        </w:rPr>
        <w:t>UAB „LTG Link“</w:t>
      </w:r>
      <w:r w:rsidRPr="0095090A">
        <w:rPr>
          <w:rFonts w:ascii="Calibri" w:eastAsia="Times New Roman" w:hAnsi="Calibri" w:cs="Calibri"/>
          <w:color w:val="000000"/>
          <w:kern w:val="0"/>
          <w:lang w:eastAsia="lt-LT"/>
          <w14:ligatures w14:val="none"/>
        </w:rPr>
        <w:t>.</w:t>
      </w:r>
    </w:p>
    <w:p w14:paraId="02AC779E" w14:textId="77777777" w:rsidR="005E0240" w:rsidRPr="001B4ED5" w:rsidRDefault="005E0240" w:rsidP="00093016">
      <w:pPr>
        <w:tabs>
          <w:tab w:val="left" w:pos="6240"/>
        </w:tabs>
        <w:spacing w:after="0" w:line="276" w:lineRule="auto"/>
        <w:ind w:firstLine="709"/>
        <w:rPr>
          <w:rFonts w:ascii="Calibri" w:eastAsia="Times New Roman" w:hAnsi="Calibri" w:cs="Calibri"/>
          <w:color w:val="000000"/>
          <w:kern w:val="0"/>
          <w:lang w:eastAsia="lt-LT"/>
          <w14:ligatures w14:val="none"/>
        </w:rPr>
      </w:pPr>
      <w:r w:rsidRPr="0067449B">
        <w:rPr>
          <w:rFonts w:ascii="Calibri" w:eastAsia="Times New Roman" w:hAnsi="Calibri" w:cs="Calibri"/>
          <w:kern w:val="0"/>
          <w:lang w:eastAsia="lt-LT"/>
          <w14:ligatures w14:val="none"/>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Pr="00731D76">
        <w:rPr>
          <w:rFonts w:ascii="Calibri" w:eastAsia="Times New Roman" w:hAnsi="Calibri" w:cs="Calibri"/>
          <w:kern w:val="0"/>
          <w:lang w:eastAsia="lt-LT"/>
          <w14:ligatures w14:val="none"/>
        </w:rPr>
        <w:t>A. Goštauto g.12-100</w:t>
      </w:r>
      <w:r w:rsidRPr="0067449B">
        <w:rPr>
          <w:rFonts w:ascii="Calibri" w:eastAsia="Times New Roman" w:hAnsi="Calibri" w:cs="Calibri"/>
          <w:kern w:val="0"/>
          <w:lang w:eastAsia="lt-LT"/>
          <w14:ligatures w14:val="none"/>
        </w:rPr>
        <w:t xml:space="preserve">, </w:t>
      </w:r>
      <w:r w:rsidRPr="00731D76">
        <w:rPr>
          <w:rFonts w:ascii="Calibri" w:eastAsia="Times New Roman" w:hAnsi="Calibri" w:cs="Calibri"/>
          <w:kern w:val="0"/>
          <w:lang w:eastAsia="lt-LT"/>
          <w14:ligatures w14:val="none"/>
        </w:rPr>
        <w:t>01108</w:t>
      </w:r>
      <w:r w:rsidRPr="0067449B">
        <w:rPr>
          <w:rFonts w:ascii="Calibri" w:eastAsia="Times New Roman" w:hAnsi="Calibri" w:cs="Calibri"/>
          <w:kern w:val="0"/>
          <w:lang w:eastAsia="lt-LT"/>
          <w14:ligatures w14:val="none"/>
        </w:rPr>
        <w:t xml:space="preserve"> Vilnius) ar </w:t>
      </w:r>
      <w:r w:rsidRPr="001B4ED5">
        <w:rPr>
          <w:rFonts w:ascii="Calibri" w:eastAsia="Times New Roman" w:hAnsi="Calibri" w:cs="Calibri"/>
          <w:color w:val="000000"/>
          <w:kern w:val="0"/>
          <w:lang w:eastAsia="lt-LT"/>
          <w14:ligatures w14:val="none"/>
        </w:rPr>
        <w:t>Regionų administraciniam teismui (Žygimantų g. 2, 01102 Vilnius).</w:t>
      </w:r>
    </w:p>
    <w:p w14:paraId="14181F66" w14:textId="0BDA91E1" w:rsidR="005E0240" w:rsidRPr="00A13494" w:rsidRDefault="005E0240" w:rsidP="005E0240">
      <w:pPr>
        <w:tabs>
          <w:tab w:val="left" w:pos="7176"/>
        </w:tabs>
        <w:spacing w:after="0"/>
        <w:ind w:firstLine="851"/>
        <w:rPr>
          <w:rFonts w:ascii="Calibri" w:eastAsia="Times New Roman" w:hAnsi="Calibri" w:cs="Calibri"/>
          <w:color w:val="000000"/>
          <w:kern w:val="0"/>
          <w:sz w:val="20"/>
          <w:szCs w:val="20"/>
          <w:lang w:eastAsia="lt-LT"/>
          <w14:ligatures w14:val="none"/>
        </w:rPr>
      </w:pPr>
    </w:p>
    <w:p w14:paraId="112E8673" w14:textId="77777777" w:rsidR="0095090A" w:rsidRDefault="0095090A" w:rsidP="005E0240">
      <w:pPr>
        <w:spacing w:after="0"/>
        <w:rPr>
          <w:rFonts w:ascii="Calibri" w:eastAsia="Times New Roman" w:hAnsi="Calibri" w:cs="Calibri"/>
          <w:color w:val="000000"/>
          <w:kern w:val="0"/>
          <w:lang w:eastAsia="lt-LT"/>
          <w14:ligatures w14:val="none"/>
        </w:rPr>
      </w:pPr>
    </w:p>
    <w:p w14:paraId="4D0ABD51" w14:textId="5B1B1D9C" w:rsidR="00467FF3" w:rsidRPr="007D4C62" w:rsidRDefault="00467FF3" w:rsidP="00467FF3">
      <w:pPr>
        <w:tabs>
          <w:tab w:val="left" w:pos="7176"/>
        </w:tabs>
        <w:spacing w:after="0"/>
        <w:ind w:firstLine="851"/>
        <w:rPr>
          <w:rFonts w:ascii="Calibri" w:eastAsia="Times New Roman" w:hAnsi="Calibri" w:cs="Calibri"/>
          <w:kern w:val="0"/>
          <w:lang w:eastAsia="lt-LT"/>
          <w14:ligatures w14:val="none"/>
        </w:rPr>
      </w:pPr>
    </w:p>
    <w:tbl>
      <w:tblPr>
        <w:tblW w:w="0" w:type="auto"/>
        <w:tblLook w:val="04A0" w:firstRow="1" w:lastRow="0" w:firstColumn="1" w:lastColumn="0" w:noHBand="0" w:noVBand="1"/>
      </w:tblPr>
      <w:tblGrid>
        <w:gridCol w:w="4603"/>
        <w:gridCol w:w="4751"/>
      </w:tblGrid>
      <w:tr w:rsidR="00467FF3" w:rsidRPr="007D4C62" w14:paraId="70E7B13F" w14:textId="77777777" w:rsidTr="00B5112F">
        <w:tc>
          <w:tcPr>
            <w:tcW w:w="4814" w:type="dxa"/>
            <w:hideMark/>
          </w:tcPr>
          <w:p w14:paraId="300DA43E" w14:textId="77777777" w:rsidR="00467FF3" w:rsidRPr="007D4C62" w:rsidRDefault="00467FF3" w:rsidP="00B5112F">
            <w:pPr>
              <w:tabs>
                <w:tab w:val="left" w:pos="1176"/>
              </w:tabs>
              <w:spacing w:after="0"/>
              <w:rPr>
                <w:rFonts w:ascii="Calibri" w:eastAsia="Times New Roman" w:hAnsi="Calibri" w:cs="Calibri"/>
                <w:kern w:val="0"/>
                <w:lang w:eastAsia="lt-LT"/>
                <w14:ligatures w14:val="none"/>
              </w:rPr>
            </w:pPr>
          </w:p>
          <w:p w14:paraId="1662B3DF" w14:textId="77777777" w:rsidR="00467FF3" w:rsidRPr="007D4C62" w:rsidRDefault="00467FF3" w:rsidP="00B5112F">
            <w:pPr>
              <w:tabs>
                <w:tab w:val="left" w:pos="7176"/>
              </w:tabs>
              <w:spacing w:after="0"/>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 xml:space="preserve">Direktorius </w:t>
            </w:r>
          </w:p>
        </w:tc>
        <w:tc>
          <w:tcPr>
            <w:tcW w:w="4815" w:type="dxa"/>
            <w:hideMark/>
          </w:tcPr>
          <w:p w14:paraId="639B2137" w14:textId="77777777" w:rsidR="00467FF3" w:rsidRPr="007D4C62" w:rsidRDefault="00467FF3" w:rsidP="00B5112F">
            <w:pPr>
              <w:tabs>
                <w:tab w:val="left" w:pos="7176"/>
              </w:tabs>
              <w:spacing w:after="0"/>
              <w:ind w:left="2593"/>
              <w:rPr>
                <w:rFonts w:ascii="Calibri" w:eastAsia="Times New Roman" w:hAnsi="Calibri" w:cs="Calibri"/>
                <w:kern w:val="0"/>
                <w:lang w:eastAsia="lt-LT"/>
                <w14:ligatures w14:val="none"/>
              </w:rPr>
            </w:pPr>
          </w:p>
          <w:p w14:paraId="51562574" w14:textId="77777777" w:rsidR="00467FF3" w:rsidRPr="007D4C62" w:rsidRDefault="00467FF3" w:rsidP="00B5112F">
            <w:pPr>
              <w:tabs>
                <w:tab w:val="left" w:pos="7176"/>
              </w:tabs>
              <w:spacing w:after="0"/>
              <w:ind w:left="2593"/>
              <w:rPr>
                <w:rFonts w:ascii="Calibri" w:eastAsia="Times New Roman" w:hAnsi="Calibri" w:cs="Calibri"/>
                <w:kern w:val="0"/>
                <w:lang w:eastAsia="lt-LT"/>
                <w14:ligatures w14:val="none"/>
              </w:rPr>
            </w:pPr>
            <w:r w:rsidRPr="007D4C62">
              <w:rPr>
                <w:rFonts w:ascii="Calibri" w:eastAsia="Times New Roman" w:hAnsi="Calibri" w:cs="Calibri"/>
                <w:kern w:val="0"/>
                <w:lang w:eastAsia="lt-LT"/>
                <w14:ligatures w14:val="none"/>
              </w:rPr>
              <w:t>Darius Vedrickas</w:t>
            </w:r>
          </w:p>
        </w:tc>
      </w:tr>
    </w:tbl>
    <w:p w14:paraId="0387C37D" w14:textId="77777777" w:rsidR="00467FF3" w:rsidRPr="007D4C62" w:rsidRDefault="00467FF3" w:rsidP="00467FF3">
      <w:pPr>
        <w:spacing w:after="0"/>
        <w:rPr>
          <w:rFonts w:ascii="Calibri" w:eastAsia="Times New Roman" w:hAnsi="Calibri" w:cs="Calibri"/>
          <w:color w:val="000000"/>
          <w:kern w:val="0"/>
          <w:sz w:val="20"/>
          <w:szCs w:val="20"/>
          <w:lang w:eastAsia="lt-LT"/>
          <w14:ligatures w14:val="none"/>
        </w:rPr>
      </w:pPr>
    </w:p>
    <w:p w14:paraId="0A6340CB" w14:textId="77777777" w:rsidR="00467FF3" w:rsidRPr="007D4C62" w:rsidRDefault="00467FF3" w:rsidP="00467FF3">
      <w:pPr>
        <w:spacing w:after="0"/>
        <w:rPr>
          <w:rFonts w:ascii="Calibri" w:eastAsia="Times New Roman" w:hAnsi="Calibri" w:cs="Calibri"/>
          <w:color w:val="000000"/>
          <w:kern w:val="0"/>
          <w:sz w:val="20"/>
          <w:szCs w:val="20"/>
          <w:lang w:eastAsia="lt-LT"/>
          <w14:ligatures w14:val="none"/>
        </w:rPr>
      </w:pPr>
    </w:p>
    <w:p w14:paraId="1CB96FEF" w14:textId="77777777" w:rsidR="00467FF3" w:rsidRPr="007D4C62" w:rsidRDefault="00467FF3" w:rsidP="00467FF3">
      <w:pPr>
        <w:spacing w:after="0"/>
        <w:rPr>
          <w:rFonts w:ascii="Calibri" w:eastAsia="Times New Roman" w:hAnsi="Calibri" w:cs="Calibri"/>
          <w:color w:val="000000"/>
          <w:kern w:val="0"/>
          <w:sz w:val="20"/>
          <w:szCs w:val="20"/>
          <w:lang w:eastAsia="lt-LT"/>
          <w14:ligatures w14:val="none"/>
        </w:rPr>
      </w:pPr>
    </w:p>
    <w:p w14:paraId="1107E28B" w14:textId="77777777" w:rsidR="00467FF3" w:rsidRPr="007D4C62" w:rsidRDefault="00467FF3" w:rsidP="00467FF3">
      <w:pPr>
        <w:spacing w:after="0"/>
        <w:rPr>
          <w:rFonts w:ascii="Calibri" w:hAnsi="Calibri" w:cs="Calibri"/>
          <w:color w:val="000000"/>
          <w:sz w:val="22"/>
          <w:szCs w:val="22"/>
          <w:lang w:eastAsia="lt-LT"/>
        </w:rPr>
      </w:pPr>
    </w:p>
    <w:p w14:paraId="768AA33E" w14:textId="77777777" w:rsidR="00467FF3" w:rsidRPr="007D4C62" w:rsidRDefault="00467FF3" w:rsidP="00467FF3">
      <w:pPr>
        <w:spacing w:after="0"/>
        <w:rPr>
          <w:rFonts w:ascii="Calibri" w:hAnsi="Calibri" w:cs="Calibri"/>
          <w:color w:val="000000"/>
          <w:sz w:val="22"/>
          <w:szCs w:val="22"/>
          <w:lang w:eastAsia="lt-LT"/>
        </w:rPr>
      </w:pPr>
    </w:p>
    <w:p w14:paraId="3FA57CEE" w14:textId="77777777" w:rsidR="00467FF3" w:rsidRDefault="00467FF3" w:rsidP="00467FF3">
      <w:pPr>
        <w:spacing w:after="0"/>
        <w:rPr>
          <w:rFonts w:ascii="Calibri" w:hAnsi="Calibri" w:cs="Calibri"/>
          <w:color w:val="000000"/>
          <w:sz w:val="22"/>
          <w:szCs w:val="22"/>
          <w:lang w:eastAsia="lt-LT"/>
        </w:rPr>
      </w:pPr>
    </w:p>
    <w:p w14:paraId="4AB69698" w14:textId="77777777" w:rsidR="00467FF3" w:rsidRDefault="00467FF3" w:rsidP="00467FF3">
      <w:pPr>
        <w:spacing w:after="0"/>
        <w:rPr>
          <w:rFonts w:ascii="Calibri" w:hAnsi="Calibri" w:cs="Calibri"/>
          <w:color w:val="000000"/>
          <w:sz w:val="22"/>
          <w:szCs w:val="22"/>
          <w:lang w:eastAsia="lt-LT"/>
        </w:rPr>
      </w:pPr>
    </w:p>
    <w:p w14:paraId="59BC20C8" w14:textId="77777777" w:rsidR="00467FF3" w:rsidRDefault="00467FF3" w:rsidP="00467FF3">
      <w:pPr>
        <w:spacing w:after="0"/>
        <w:rPr>
          <w:rFonts w:ascii="Calibri" w:hAnsi="Calibri" w:cs="Calibri"/>
          <w:color w:val="000000"/>
          <w:sz w:val="22"/>
          <w:szCs w:val="22"/>
          <w:lang w:eastAsia="lt-LT"/>
        </w:rPr>
      </w:pPr>
    </w:p>
    <w:p w14:paraId="21427126" w14:textId="77777777" w:rsidR="00467FF3" w:rsidRDefault="00467FF3" w:rsidP="00467FF3">
      <w:pPr>
        <w:spacing w:after="0"/>
        <w:rPr>
          <w:rFonts w:ascii="Calibri" w:hAnsi="Calibri" w:cs="Calibri"/>
          <w:color w:val="000000"/>
          <w:sz w:val="22"/>
          <w:szCs w:val="22"/>
          <w:lang w:eastAsia="lt-LT"/>
        </w:rPr>
      </w:pPr>
    </w:p>
    <w:p w14:paraId="0CFB8624" w14:textId="77777777" w:rsidR="00467FF3" w:rsidRDefault="00467FF3" w:rsidP="00467FF3">
      <w:pPr>
        <w:spacing w:after="0"/>
        <w:rPr>
          <w:rFonts w:ascii="Calibri" w:hAnsi="Calibri" w:cs="Calibri"/>
          <w:color w:val="000000"/>
          <w:sz w:val="22"/>
          <w:szCs w:val="22"/>
          <w:lang w:eastAsia="lt-LT"/>
        </w:rPr>
      </w:pPr>
    </w:p>
    <w:p w14:paraId="2855C38F" w14:textId="77777777" w:rsidR="00467FF3" w:rsidRDefault="00467FF3" w:rsidP="00467FF3">
      <w:pPr>
        <w:spacing w:after="0"/>
        <w:rPr>
          <w:rFonts w:ascii="Calibri" w:hAnsi="Calibri" w:cs="Calibri"/>
          <w:color w:val="000000"/>
          <w:sz w:val="22"/>
          <w:szCs w:val="22"/>
          <w:lang w:eastAsia="lt-LT"/>
        </w:rPr>
      </w:pPr>
    </w:p>
    <w:p w14:paraId="7D3C0C6D" w14:textId="77777777" w:rsidR="00467FF3" w:rsidRDefault="00467FF3" w:rsidP="00467FF3">
      <w:pPr>
        <w:spacing w:after="0"/>
        <w:rPr>
          <w:rFonts w:ascii="Calibri" w:hAnsi="Calibri" w:cs="Calibri"/>
          <w:color w:val="000000"/>
          <w:sz w:val="22"/>
          <w:szCs w:val="22"/>
          <w:lang w:eastAsia="lt-LT"/>
        </w:rPr>
      </w:pPr>
    </w:p>
    <w:p w14:paraId="03B5BCBE" w14:textId="77777777" w:rsidR="00467FF3" w:rsidRDefault="00467FF3" w:rsidP="00467FF3">
      <w:pPr>
        <w:spacing w:after="0"/>
        <w:rPr>
          <w:rFonts w:ascii="Calibri" w:hAnsi="Calibri" w:cs="Calibri"/>
          <w:color w:val="000000"/>
          <w:sz w:val="22"/>
          <w:szCs w:val="22"/>
          <w:lang w:eastAsia="lt-LT"/>
        </w:rPr>
      </w:pPr>
    </w:p>
    <w:p w14:paraId="6E168456" w14:textId="77777777" w:rsidR="00467FF3" w:rsidRDefault="00467FF3" w:rsidP="00467FF3">
      <w:pPr>
        <w:spacing w:after="0"/>
        <w:rPr>
          <w:rFonts w:ascii="Calibri" w:hAnsi="Calibri" w:cs="Calibri"/>
          <w:color w:val="000000"/>
          <w:sz w:val="22"/>
          <w:szCs w:val="22"/>
          <w:lang w:eastAsia="lt-LT"/>
        </w:rPr>
      </w:pPr>
    </w:p>
    <w:p w14:paraId="70DFC3BC" w14:textId="77777777" w:rsidR="00467FF3" w:rsidRDefault="00467FF3" w:rsidP="00467FF3">
      <w:pPr>
        <w:spacing w:after="0"/>
        <w:rPr>
          <w:rFonts w:ascii="Calibri" w:hAnsi="Calibri" w:cs="Calibri"/>
          <w:color w:val="000000"/>
          <w:sz w:val="22"/>
          <w:szCs w:val="22"/>
          <w:lang w:eastAsia="lt-LT"/>
        </w:rPr>
      </w:pPr>
    </w:p>
    <w:p w14:paraId="53650419" w14:textId="77777777" w:rsidR="00467FF3" w:rsidRDefault="00467FF3" w:rsidP="00467FF3">
      <w:pPr>
        <w:spacing w:after="0"/>
        <w:rPr>
          <w:rFonts w:ascii="Calibri" w:hAnsi="Calibri" w:cs="Calibri"/>
          <w:color w:val="000000"/>
          <w:sz w:val="22"/>
          <w:szCs w:val="22"/>
          <w:lang w:eastAsia="lt-LT"/>
        </w:rPr>
      </w:pPr>
    </w:p>
    <w:p w14:paraId="655B1636" w14:textId="77777777" w:rsidR="00467FF3" w:rsidRDefault="00467FF3" w:rsidP="00467FF3">
      <w:pPr>
        <w:spacing w:after="0"/>
        <w:rPr>
          <w:rFonts w:ascii="Calibri" w:hAnsi="Calibri" w:cs="Calibri"/>
          <w:color w:val="000000"/>
          <w:sz w:val="22"/>
          <w:szCs w:val="22"/>
          <w:lang w:eastAsia="lt-LT"/>
        </w:rPr>
      </w:pPr>
    </w:p>
    <w:p w14:paraId="726FFB5E" w14:textId="77777777" w:rsidR="00467FF3" w:rsidRDefault="00467FF3" w:rsidP="00467FF3">
      <w:pPr>
        <w:spacing w:after="0"/>
        <w:rPr>
          <w:rFonts w:ascii="Calibri" w:hAnsi="Calibri" w:cs="Calibri"/>
          <w:color w:val="000000"/>
          <w:sz w:val="22"/>
          <w:szCs w:val="22"/>
          <w:lang w:eastAsia="lt-LT"/>
        </w:rPr>
      </w:pPr>
    </w:p>
    <w:p w14:paraId="50A04B13" w14:textId="77777777" w:rsidR="00467FF3" w:rsidRDefault="00467FF3" w:rsidP="00467FF3">
      <w:pPr>
        <w:spacing w:after="0"/>
        <w:rPr>
          <w:rFonts w:ascii="Calibri" w:hAnsi="Calibri" w:cs="Calibri"/>
          <w:color w:val="000000"/>
          <w:sz w:val="22"/>
          <w:szCs w:val="22"/>
          <w:lang w:eastAsia="lt-LT"/>
        </w:rPr>
      </w:pPr>
    </w:p>
    <w:p w14:paraId="306CF32B" w14:textId="77777777" w:rsidR="00467FF3" w:rsidRDefault="00467FF3" w:rsidP="00467FF3">
      <w:pPr>
        <w:spacing w:after="0"/>
        <w:rPr>
          <w:rFonts w:ascii="Calibri" w:hAnsi="Calibri" w:cs="Calibri"/>
          <w:color w:val="000000"/>
          <w:sz w:val="22"/>
          <w:szCs w:val="22"/>
          <w:lang w:eastAsia="lt-LT"/>
        </w:rPr>
      </w:pPr>
    </w:p>
    <w:p w14:paraId="5EB9753D" w14:textId="77777777" w:rsidR="00467FF3" w:rsidRDefault="00467FF3" w:rsidP="00467FF3">
      <w:pPr>
        <w:spacing w:after="0"/>
        <w:rPr>
          <w:rFonts w:ascii="Calibri" w:hAnsi="Calibri" w:cs="Calibri"/>
          <w:color w:val="000000"/>
          <w:sz w:val="22"/>
          <w:szCs w:val="22"/>
          <w:lang w:eastAsia="lt-LT"/>
        </w:rPr>
      </w:pPr>
    </w:p>
    <w:p w14:paraId="26FA08CE" w14:textId="77777777" w:rsidR="00093016" w:rsidRDefault="00093016" w:rsidP="00467FF3">
      <w:pPr>
        <w:spacing w:after="0"/>
        <w:rPr>
          <w:rFonts w:ascii="Calibri" w:hAnsi="Calibri" w:cs="Calibri"/>
          <w:color w:val="000000"/>
          <w:sz w:val="22"/>
          <w:szCs w:val="22"/>
          <w:lang w:eastAsia="lt-LT"/>
        </w:rPr>
      </w:pPr>
    </w:p>
    <w:p w14:paraId="1C46FB6F" w14:textId="77777777" w:rsidR="00093016" w:rsidRDefault="00093016" w:rsidP="00467FF3">
      <w:pPr>
        <w:spacing w:after="0"/>
        <w:rPr>
          <w:rFonts w:ascii="Calibri" w:hAnsi="Calibri" w:cs="Calibri"/>
          <w:color w:val="000000"/>
          <w:sz w:val="22"/>
          <w:szCs w:val="22"/>
          <w:lang w:eastAsia="lt-LT"/>
        </w:rPr>
      </w:pPr>
    </w:p>
    <w:p w14:paraId="32D6F77A" w14:textId="77777777" w:rsidR="00093016" w:rsidRDefault="00093016" w:rsidP="00467FF3">
      <w:pPr>
        <w:spacing w:after="0"/>
        <w:rPr>
          <w:rFonts w:ascii="Calibri" w:hAnsi="Calibri" w:cs="Calibri"/>
          <w:color w:val="000000"/>
          <w:sz w:val="22"/>
          <w:szCs w:val="22"/>
          <w:lang w:eastAsia="lt-LT"/>
        </w:rPr>
      </w:pPr>
    </w:p>
    <w:p w14:paraId="7BD0A83A" w14:textId="77777777" w:rsidR="00093016" w:rsidRDefault="00093016" w:rsidP="00467FF3">
      <w:pPr>
        <w:spacing w:after="0"/>
        <w:rPr>
          <w:rFonts w:ascii="Calibri" w:hAnsi="Calibri" w:cs="Calibri"/>
          <w:color w:val="000000"/>
          <w:sz w:val="22"/>
          <w:szCs w:val="22"/>
          <w:lang w:eastAsia="lt-LT"/>
        </w:rPr>
      </w:pPr>
    </w:p>
    <w:p w14:paraId="462E77C3" w14:textId="77777777" w:rsidR="00093016" w:rsidRDefault="00093016" w:rsidP="00467FF3">
      <w:pPr>
        <w:spacing w:after="0"/>
        <w:rPr>
          <w:rFonts w:ascii="Calibri" w:hAnsi="Calibri" w:cs="Calibri"/>
          <w:color w:val="000000"/>
          <w:sz w:val="22"/>
          <w:szCs w:val="22"/>
          <w:lang w:eastAsia="lt-LT"/>
        </w:rPr>
      </w:pPr>
    </w:p>
    <w:bookmarkEnd w:id="0"/>
    <w:bookmarkEnd w:id="1"/>
    <w:bookmarkEnd w:id="2"/>
    <w:p w14:paraId="5413EBAB" w14:textId="77777777" w:rsidR="00FB4091" w:rsidRDefault="00FB4091"/>
    <w:sectPr w:rsidR="00FB4091" w:rsidSect="0028112A">
      <w:headerReference w:type="default" r:id="rId8"/>
      <w:footerReference w:type="firs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FE9F" w14:textId="77777777" w:rsidR="00D37141" w:rsidRDefault="00D37141" w:rsidP="00467FF3">
      <w:pPr>
        <w:spacing w:after="0" w:line="240" w:lineRule="auto"/>
      </w:pPr>
      <w:r>
        <w:separator/>
      </w:r>
    </w:p>
  </w:endnote>
  <w:endnote w:type="continuationSeparator" w:id="0">
    <w:p w14:paraId="46818D23" w14:textId="77777777" w:rsidR="00D37141" w:rsidRDefault="00D37141" w:rsidP="0046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FEAC" w14:textId="77777777" w:rsidR="00467FF3" w:rsidRPr="007D4C62" w:rsidRDefault="00467FF3" w:rsidP="0067449B">
    <w:pPr>
      <w:pBdr>
        <w:top w:val="single" w:sz="4" w:space="1" w:color="auto"/>
      </w:pBdr>
      <w:spacing w:after="0" w:line="240" w:lineRule="auto"/>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Biudžetinė įstaiga                                 Tel.  +370 603 89015                           Duomenys kaupiami ir saugomi </w:t>
    </w:r>
  </w:p>
  <w:p w14:paraId="322ADAEF" w14:textId="77777777" w:rsidR="00467FF3" w:rsidRPr="007D4C62" w:rsidRDefault="00467FF3" w:rsidP="0067449B">
    <w:pPr>
      <w:pBdr>
        <w:top w:val="single" w:sz="4" w:space="1" w:color="auto"/>
      </w:pBdr>
      <w:spacing w:after="0" w:line="240" w:lineRule="auto"/>
      <w:jc w:val="both"/>
      <w:rPr>
        <w:rFonts w:ascii="Calibri" w:eastAsia="Times New Roman" w:hAnsi="Calibri" w:cs="Calibri"/>
        <w:kern w:val="0"/>
        <w:sz w:val="20"/>
        <w:szCs w:val="20"/>
        <w14:ligatures w14:val="none"/>
      </w:rPr>
    </w:pPr>
    <w:r w:rsidRPr="007D4C62">
      <w:rPr>
        <w:rFonts w:ascii="Calibri" w:eastAsia="Times New Roman" w:hAnsi="Calibri" w:cs="Calibri"/>
        <w:kern w:val="0"/>
        <w:sz w:val="20"/>
        <w:szCs w:val="20"/>
        <w14:ligatures w14:val="none"/>
      </w:rPr>
      <w:t xml:space="preserve">Kareivių g. 1, LT-08221 Vilnius            </w:t>
    </w:r>
    <w:proofErr w:type="spellStart"/>
    <w:r w:rsidRPr="007D4C62">
      <w:rPr>
        <w:rFonts w:ascii="Calibri" w:eastAsia="Times New Roman" w:hAnsi="Calibri" w:cs="Calibri"/>
        <w:kern w:val="0"/>
        <w:sz w:val="20"/>
        <w:szCs w:val="20"/>
        <w14:ligatures w14:val="none"/>
      </w:rPr>
      <w:t>El.p</w:t>
    </w:r>
    <w:proofErr w:type="spellEnd"/>
    <w:r w:rsidRPr="007D4C62">
      <w:rPr>
        <w:rFonts w:ascii="Calibri" w:eastAsia="Times New Roman" w:hAnsi="Calibri" w:cs="Calibri"/>
        <w:kern w:val="0"/>
        <w:sz w:val="20"/>
        <w:szCs w:val="20"/>
        <w14:ligatures w14:val="none"/>
      </w:rPr>
      <w:t xml:space="preserve">. </w:t>
    </w:r>
    <w:proofErr w:type="spellStart"/>
    <w:r w:rsidRPr="007D4C62">
      <w:rPr>
        <w:rFonts w:ascii="Calibri" w:eastAsia="Times New Roman" w:hAnsi="Calibri" w:cs="Calibri"/>
        <w:kern w:val="0"/>
        <w:sz w:val="20"/>
        <w:szCs w:val="20"/>
        <w14:ligatures w14:val="none"/>
      </w:rPr>
      <w:t>info@vpt.lt</w:t>
    </w:r>
    <w:proofErr w:type="spellEnd"/>
    <w:r w:rsidRPr="007D4C62">
      <w:rPr>
        <w:rFonts w:ascii="Calibri" w:eastAsia="Times New Roman" w:hAnsi="Calibri" w:cs="Calibri"/>
        <w:kern w:val="0"/>
        <w:sz w:val="20"/>
        <w:szCs w:val="20"/>
        <w14:ligatures w14:val="none"/>
      </w:rPr>
      <w:t xml:space="preserve">                                  Juridinių asmenų registre </w:t>
    </w:r>
  </w:p>
  <w:p w14:paraId="311DE37C" w14:textId="77777777" w:rsidR="00467FF3" w:rsidRPr="007D4C62" w:rsidRDefault="00467FF3" w:rsidP="0067449B">
    <w:pPr>
      <w:pBdr>
        <w:top w:val="single" w:sz="4" w:space="1" w:color="auto"/>
      </w:pBdr>
      <w:spacing w:after="0" w:line="240" w:lineRule="auto"/>
      <w:jc w:val="both"/>
      <w:rPr>
        <w:rFonts w:ascii="Times New Roman" w:eastAsia="Times New Roman" w:hAnsi="Times New Roman" w:cs="Times New Roman"/>
        <w:kern w:val="0"/>
        <w:sz w:val="18"/>
        <w:szCs w:val="20"/>
        <w14:ligatures w14:val="none"/>
      </w:rPr>
    </w:pPr>
    <w:r w:rsidRPr="007D4C62">
      <w:rPr>
        <w:rFonts w:ascii="Calibri" w:eastAsia="Times New Roman" w:hAnsi="Calibri" w:cs="Calibri"/>
        <w:kern w:val="0"/>
        <w:sz w:val="20"/>
        <w:szCs w:val="20"/>
        <w14:ligatures w14:val="none"/>
      </w:rPr>
      <w:t>http://www.vpt.lt                                                                                                 Kodas 188656261</w:t>
    </w:r>
  </w:p>
  <w:p w14:paraId="62ACCBA9" w14:textId="77777777" w:rsidR="00467FF3" w:rsidRPr="007D4C62" w:rsidRDefault="00467FF3" w:rsidP="00A47EC6">
    <w:pPr>
      <w:pStyle w:val="Footer"/>
    </w:pPr>
  </w:p>
  <w:p w14:paraId="1A0DF467" w14:textId="77777777" w:rsidR="00467FF3" w:rsidRPr="007D4C62" w:rsidRDefault="0046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9FB4" w14:textId="77777777" w:rsidR="00D37141" w:rsidRDefault="00D37141" w:rsidP="00467FF3">
      <w:pPr>
        <w:spacing w:after="0" w:line="240" w:lineRule="auto"/>
      </w:pPr>
      <w:r>
        <w:separator/>
      </w:r>
    </w:p>
  </w:footnote>
  <w:footnote w:type="continuationSeparator" w:id="0">
    <w:p w14:paraId="4F1F528F" w14:textId="77777777" w:rsidR="00D37141" w:rsidRDefault="00D37141" w:rsidP="00467FF3">
      <w:pPr>
        <w:spacing w:after="0" w:line="240" w:lineRule="auto"/>
      </w:pPr>
      <w:r>
        <w:continuationSeparator/>
      </w:r>
    </w:p>
  </w:footnote>
  <w:footnote w:id="1">
    <w:p w14:paraId="0D2146BD" w14:textId="77777777" w:rsidR="00467FF3" w:rsidRPr="007D4C62" w:rsidRDefault="00467FF3" w:rsidP="00467FF3">
      <w:pPr>
        <w:pStyle w:val="FootnoteText"/>
        <w:jc w:val="both"/>
        <w:rPr>
          <w:rFonts w:ascii="Calibri" w:hAnsi="Calibri" w:cs="Calibri"/>
        </w:rPr>
      </w:pPr>
      <w:r w:rsidRPr="007D4C62">
        <w:rPr>
          <w:rStyle w:val="FootnoteReference"/>
          <w:rFonts w:cstheme="minorHAnsi"/>
        </w:rPr>
        <w:footnoteRef/>
      </w:r>
      <w:r w:rsidRPr="007D4C62">
        <w:rPr>
          <w:rFonts w:cstheme="minorHAnsi"/>
        </w:rPr>
        <w:t xml:space="preserve"> </w:t>
      </w:r>
      <w:r w:rsidRPr="007D4C62">
        <w:rPr>
          <w:rFonts w:ascii="Calibri" w:hAnsi="Calibri" w:cs="Calibri"/>
        </w:rPr>
        <w:t>Patvirtintos Viešųjų pirkimų tarnybos direktoriaus 2017 m. birželio 29 d. įsakymu Nr. 1S-99.</w:t>
      </w:r>
    </w:p>
  </w:footnote>
  <w:footnote w:id="2">
    <w:p w14:paraId="306AABCD" w14:textId="0993D5FF" w:rsidR="005E0240" w:rsidRPr="005E0240" w:rsidRDefault="005E0240">
      <w:pPr>
        <w:pStyle w:val="FootnoteText"/>
        <w:rPr>
          <w:rFonts w:ascii="Calibri" w:hAnsi="Calibri" w:cs="Calibri"/>
        </w:rPr>
      </w:pPr>
      <w:r>
        <w:rPr>
          <w:rStyle w:val="FootnoteReference"/>
        </w:rPr>
        <w:footnoteRef/>
      </w:r>
      <w:r>
        <w:t xml:space="preserve"> </w:t>
      </w:r>
      <w:hyperlink r:id="rId1" w:history="1">
        <w:r w:rsidRPr="005E0240">
          <w:rPr>
            <w:rStyle w:val="Hyperlink"/>
            <w:rFonts w:ascii="Calibri" w:hAnsi="Calibri" w:cs="Calibri"/>
          </w:rPr>
          <w:t>https://ltsa.lrv.lt/lt/paslaugos/administraciniu-paslaugu-sarasas/gelezinkeliu-transporto-2/gelezinkelio-imones-vezejo-licencija/informacija-apie-imones-kurioms-yra-isduotos-licencijos-verstis-gelezinkeliu-transporto-ukine-komercine-veikla/</w:t>
        </w:r>
      </w:hyperlink>
      <w:r w:rsidRPr="005E0240">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2BD35B7C" w14:textId="77777777" w:rsidR="00467FF3" w:rsidRPr="007D4C62" w:rsidRDefault="00467FF3">
        <w:pPr>
          <w:pStyle w:val="Header"/>
          <w:jc w:val="center"/>
        </w:pPr>
        <w:r w:rsidRPr="007D4C62">
          <w:fldChar w:fldCharType="begin"/>
        </w:r>
        <w:r w:rsidRPr="007D4C62">
          <w:instrText>PAGE   \* MERGEFORMAT</w:instrText>
        </w:r>
        <w:r w:rsidRPr="007D4C62">
          <w:fldChar w:fldCharType="separate"/>
        </w:r>
        <w:r w:rsidRPr="007D4C62">
          <w:t>2</w:t>
        </w:r>
        <w:r w:rsidRPr="007D4C62">
          <w:fldChar w:fldCharType="end"/>
        </w:r>
      </w:p>
    </w:sdtContent>
  </w:sdt>
  <w:p w14:paraId="666966E2" w14:textId="77777777" w:rsidR="00467FF3" w:rsidRPr="007D4C62" w:rsidRDefault="00467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F3"/>
    <w:rsid w:val="00010C3E"/>
    <w:rsid w:val="00011FBC"/>
    <w:rsid w:val="0005276C"/>
    <w:rsid w:val="00093016"/>
    <w:rsid w:val="00153FE9"/>
    <w:rsid w:val="00184483"/>
    <w:rsid w:val="0028112A"/>
    <w:rsid w:val="002A358D"/>
    <w:rsid w:val="002F7A29"/>
    <w:rsid w:val="002F7E54"/>
    <w:rsid w:val="0031259C"/>
    <w:rsid w:val="003C6B15"/>
    <w:rsid w:val="00454D73"/>
    <w:rsid w:val="00467FF3"/>
    <w:rsid w:val="005404E2"/>
    <w:rsid w:val="005D5E49"/>
    <w:rsid w:val="005E0240"/>
    <w:rsid w:val="005E3019"/>
    <w:rsid w:val="00673637"/>
    <w:rsid w:val="006D73B3"/>
    <w:rsid w:val="00797AB9"/>
    <w:rsid w:val="007D78D1"/>
    <w:rsid w:val="007E388C"/>
    <w:rsid w:val="0086361F"/>
    <w:rsid w:val="0095090A"/>
    <w:rsid w:val="00981842"/>
    <w:rsid w:val="00A148EF"/>
    <w:rsid w:val="00AC5541"/>
    <w:rsid w:val="00B76A5C"/>
    <w:rsid w:val="00BA7C79"/>
    <w:rsid w:val="00BE317A"/>
    <w:rsid w:val="00CB0542"/>
    <w:rsid w:val="00D37141"/>
    <w:rsid w:val="00D40FC6"/>
    <w:rsid w:val="00D432AD"/>
    <w:rsid w:val="00D722E1"/>
    <w:rsid w:val="00D96BBE"/>
    <w:rsid w:val="00DA4236"/>
    <w:rsid w:val="00DA72A8"/>
    <w:rsid w:val="00E03914"/>
    <w:rsid w:val="00E50BEB"/>
    <w:rsid w:val="00E5512B"/>
    <w:rsid w:val="00F01752"/>
    <w:rsid w:val="00F1198E"/>
    <w:rsid w:val="00F35F59"/>
    <w:rsid w:val="00FB4091"/>
    <w:rsid w:val="00FE5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BCB3"/>
  <w15:chartTrackingRefBased/>
  <w15:docId w15:val="{0D8220E5-9F94-482D-B41A-0F155B13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FF3"/>
    <w:rPr>
      <w:lang w:val="lt-LT"/>
    </w:rPr>
  </w:style>
  <w:style w:type="paragraph" w:styleId="Heading1">
    <w:name w:val="heading 1"/>
    <w:basedOn w:val="Normal"/>
    <w:next w:val="Normal"/>
    <w:link w:val="Heading1Char"/>
    <w:uiPriority w:val="9"/>
    <w:qFormat/>
    <w:rsid w:val="0046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FF3"/>
    <w:rPr>
      <w:rFonts w:eastAsiaTheme="majorEastAsia" w:cstheme="majorBidi"/>
      <w:color w:val="272727" w:themeColor="text1" w:themeTint="D8"/>
    </w:rPr>
  </w:style>
  <w:style w:type="paragraph" w:styleId="Title">
    <w:name w:val="Title"/>
    <w:basedOn w:val="Normal"/>
    <w:next w:val="Normal"/>
    <w:link w:val="TitleChar"/>
    <w:uiPriority w:val="10"/>
    <w:qFormat/>
    <w:rsid w:val="0046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FF3"/>
    <w:pPr>
      <w:spacing w:before="160"/>
      <w:jc w:val="center"/>
    </w:pPr>
    <w:rPr>
      <w:i/>
      <w:iCs/>
      <w:color w:val="404040" w:themeColor="text1" w:themeTint="BF"/>
    </w:rPr>
  </w:style>
  <w:style w:type="character" w:customStyle="1" w:styleId="QuoteChar">
    <w:name w:val="Quote Char"/>
    <w:basedOn w:val="DefaultParagraphFont"/>
    <w:link w:val="Quote"/>
    <w:uiPriority w:val="29"/>
    <w:rsid w:val="00467FF3"/>
    <w:rPr>
      <w:i/>
      <w:iCs/>
      <w:color w:val="404040" w:themeColor="text1" w:themeTint="BF"/>
    </w:rPr>
  </w:style>
  <w:style w:type="paragraph" w:styleId="ListParagraph">
    <w:name w:val="List Paragraph"/>
    <w:basedOn w:val="Normal"/>
    <w:uiPriority w:val="34"/>
    <w:qFormat/>
    <w:rsid w:val="00467FF3"/>
    <w:pPr>
      <w:ind w:left="720"/>
      <w:contextualSpacing/>
    </w:pPr>
  </w:style>
  <w:style w:type="character" w:styleId="IntenseEmphasis">
    <w:name w:val="Intense Emphasis"/>
    <w:basedOn w:val="DefaultParagraphFont"/>
    <w:uiPriority w:val="21"/>
    <w:qFormat/>
    <w:rsid w:val="00467FF3"/>
    <w:rPr>
      <w:i/>
      <w:iCs/>
      <w:color w:val="0F4761" w:themeColor="accent1" w:themeShade="BF"/>
    </w:rPr>
  </w:style>
  <w:style w:type="paragraph" w:styleId="IntenseQuote">
    <w:name w:val="Intense Quote"/>
    <w:basedOn w:val="Normal"/>
    <w:next w:val="Normal"/>
    <w:link w:val="IntenseQuoteChar"/>
    <w:uiPriority w:val="30"/>
    <w:qFormat/>
    <w:rsid w:val="0046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FF3"/>
    <w:rPr>
      <w:i/>
      <w:iCs/>
      <w:color w:val="0F4761" w:themeColor="accent1" w:themeShade="BF"/>
    </w:rPr>
  </w:style>
  <w:style w:type="character" w:styleId="IntenseReference">
    <w:name w:val="Intense Reference"/>
    <w:basedOn w:val="DefaultParagraphFont"/>
    <w:uiPriority w:val="32"/>
    <w:qFormat/>
    <w:rsid w:val="00467FF3"/>
    <w:rPr>
      <w:b/>
      <w:bCs/>
      <w:smallCaps/>
      <w:color w:val="0F4761" w:themeColor="accent1" w:themeShade="BF"/>
      <w:spacing w:val="5"/>
    </w:rPr>
  </w:style>
  <w:style w:type="paragraph" w:styleId="Header">
    <w:name w:val="header"/>
    <w:aliases w:val="Specialioji žyma"/>
    <w:basedOn w:val="Normal"/>
    <w:link w:val="HeaderChar"/>
    <w:uiPriority w:val="99"/>
    <w:unhideWhenUsed/>
    <w:rsid w:val="00467FF3"/>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aliases w:val="Specialioji žyma Char"/>
    <w:basedOn w:val="DefaultParagraphFont"/>
    <w:link w:val="Header"/>
    <w:uiPriority w:val="99"/>
    <w:rsid w:val="00467FF3"/>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467FF3"/>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67FF3"/>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467FF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67FF3"/>
    <w:rPr>
      <w:kern w:val="0"/>
      <w:sz w:val="20"/>
      <w:szCs w:val="20"/>
      <w:lang w:val="lt-LT"/>
      <w14:ligatures w14:val="none"/>
    </w:rPr>
  </w:style>
  <w:style w:type="character" w:styleId="FootnoteReference">
    <w:name w:val="footnote reference"/>
    <w:basedOn w:val="DefaultParagraphFont"/>
    <w:uiPriority w:val="99"/>
    <w:semiHidden/>
    <w:unhideWhenUsed/>
    <w:rsid w:val="00467FF3"/>
    <w:rPr>
      <w:vertAlign w:val="superscript"/>
    </w:rPr>
  </w:style>
  <w:style w:type="character" w:styleId="Hyperlink">
    <w:name w:val="Hyperlink"/>
    <w:basedOn w:val="DefaultParagraphFont"/>
    <w:uiPriority w:val="99"/>
    <w:unhideWhenUsed/>
    <w:rsid w:val="0095090A"/>
    <w:rPr>
      <w:color w:val="467886" w:themeColor="hyperlink"/>
      <w:u w:val="single"/>
    </w:rPr>
  </w:style>
  <w:style w:type="character" w:styleId="UnresolvedMention">
    <w:name w:val="Unresolved Mention"/>
    <w:basedOn w:val="DefaultParagraphFont"/>
    <w:uiPriority w:val="99"/>
    <w:semiHidden/>
    <w:unhideWhenUsed/>
    <w:rsid w:val="0095090A"/>
    <w:rPr>
      <w:color w:val="605E5C"/>
      <w:shd w:val="clear" w:color="auto" w:fill="E1DFDD"/>
    </w:rPr>
  </w:style>
  <w:style w:type="character" w:styleId="FollowedHyperlink">
    <w:name w:val="FollowedHyperlink"/>
    <w:basedOn w:val="DefaultParagraphFont"/>
    <w:uiPriority w:val="99"/>
    <w:semiHidden/>
    <w:unhideWhenUsed/>
    <w:rsid w:val="005E02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tsa.lrv.lt/lt/paslaugos/administraciniu-paslaugu-sarasas/gelezinkeliu-transporto-2/gelezinkelio-imones-vezejo-licencija/informacija-apie-imones-kurioms-yra-isduotos-licencijos-verstis-gelezinkeliu-transporto-ukine-komercine-vei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9FB81-4149-4595-9D0D-CCF29BBC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33</cp:revision>
  <dcterms:created xsi:type="dcterms:W3CDTF">2026-01-09T11:05:00Z</dcterms:created>
  <dcterms:modified xsi:type="dcterms:W3CDTF">2026-02-02T07:06:00Z</dcterms:modified>
</cp:coreProperties>
</file>