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B36" w:rsidRPr="005D5B36" w:rsidRDefault="005D5B36">
      <w:pPr>
        <w:widowControl w:val="0"/>
        <w:autoSpaceDE w:val="0"/>
        <w:autoSpaceDN w:val="0"/>
        <w:adjustRightInd w:val="0"/>
        <w:rPr>
          <w:rFonts w:ascii="Arial Narrow" w:hAnsi="Arial Narrow" w:cs="Arial"/>
          <w:b/>
          <w:lang w:val="lt-LT"/>
        </w:rPr>
      </w:pPr>
      <w:bookmarkStart w:id="0" w:name="page1"/>
      <w:bookmarkStart w:id="1" w:name="_GoBack"/>
      <w:bookmarkEnd w:id="0"/>
      <w:bookmarkEnd w:id="1"/>
      <w:r w:rsidRPr="005D5B36">
        <w:rPr>
          <w:rFonts w:ascii="Arial Narrow" w:hAnsi="Arial Narrow" w:cs="Arial"/>
          <w:b/>
          <w:sz w:val="48"/>
          <w:szCs w:val="48"/>
          <w:lang w:val="lt-LT"/>
        </w:rPr>
        <w:t>„MAY-GRUENWALD“ TIRPALAS</w:t>
      </w:r>
    </w:p>
    <w:p w:rsidR="005D5B36" w:rsidRPr="005D5B36" w:rsidRDefault="005D5B36">
      <w:pPr>
        <w:widowControl w:val="0"/>
        <w:autoSpaceDE w:val="0"/>
        <w:autoSpaceDN w:val="0"/>
        <w:adjustRightInd w:val="0"/>
        <w:spacing w:line="24" w:lineRule="exact"/>
        <w:rPr>
          <w:rFonts w:ascii="Arial Narrow" w:hAnsi="Arial Narrow" w:cs="Arial"/>
          <w:lang w:val="lt-LT"/>
        </w:rPr>
      </w:pPr>
    </w:p>
    <w:p w:rsidR="005D5B36" w:rsidRPr="005D5B36" w:rsidRDefault="005D5B36">
      <w:pPr>
        <w:widowControl w:val="0"/>
        <w:autoSpaceDE w:val="0"/>
        <w:autoSpaceDN w:val="0"/>
        <w:adjustRightInd w:val="0"/>
        <w:spacing w:line="239" w:lineRule="auto"/>
        <w:ind w:left="60"/>
        <w:rPr>
          <w:rFonts w:ascii="Arial Narrow" w:hAnsi="Arial Narrow" w:cs="Arial"/>
          <w:lang w:val="lt-LT"/>
        </w:rPr>
      </w:pPr>
      <w:r w:rsidRPr="005D5B36">
        <w:rPr>
          <w:rFonts w:ascii="Arial Narrow" w:hAnsi="Arial Narrow" w:cs="Arial"/>
          <w:sz w:val="18"/>
          <w:szCs w:val="18"/>
          <w:bdr w:val="single" w:sz="4" w:space="0" w:color="auto"/>
          <w:lang w:val="lt-LT"/>
        </w:rPr>
        <w:t>IVD</w:t>
      </w:r>
      <w:r w:rsidRPr="005D5B36">
        <w:rPr>
          <w:rFonts w:ascii="Arial Narrow" w:hAnsi="Arial Narrow" w:cs="Arial"/>
          <w:sz w:val="18"/>
          <w:szCs w:val="18"/>
          <w:lang w:val="lt-LT"/>
        </w:rPr>
        <w:t xml:space="preserve">  In vitro diagnostinis medicininis prietaisas           </w:t>
      </w:r>
      <w:r w:rsidRPr="005D5B36">
        <w:rPr>
          <w:rFonts w:ascii="Arial Narrow" w:hAnsi="Arial Narrow" w:cs="Arial"/>
          <w:b/>
          <w:sz w:val="18"/>
          <w:szCs w:val="18"/>
          <w:lang w:val="lt-LT"/>
        </w:rPr>
        <w:t>CE</w:t>
      </w:r>
    </w:p>
    <w:p w:rsidR="005D5B36" w:rsidRPr="005D5B36" w:rsidRDefault="005D5B36">
      <w:pPr>
        <w:widowControl w:val="0"/>
        <w:autoSpaceDE w:val="0"/>
        <w:autoSpaceDN w:val="0"/>
        <w:adjustRightInd w:val="0"/>
        <w:spacing w:line="108" w:lineRule="exact"/>
        <w:rPr>
          <w:rFonts w:ascii="Arial Narrow" w:hAnsi="Arial Narrow" w:cs="Arial"/>
          <w:lang w:val="lt-LT"/>
        </w:rPr>
      </w:pPr>
    </w:p>
    <w:p w:rsidR="005D5B36" w:rsidRPr="005D5B36" w:rsidRDefault="005D5B36">
      <w:pPr>
        <w:widowControl w:val="0"/>
        <w:autoSpaceDE w:val="0"/>
        <w:autoSpaceDN w:val="0"/>
        <w:adjustRightInd w:val="0"/>
        <w:rPr>
          <w:rFonts w:ascii="Arial Narrow" w:hAnsi="Arial Narrow" w:cs="Arial"/>
          <w:lang w:val="lt-LT"/>
        </w:rPr>
      </w:pPr>
      <w:r w:rsidRPr="005D5B36">
        <w:rPr>
          <w:rFonts w:ascii="Arial Narrow" w:hAnsi="Arial Narrow" w:cs="Arial"/>
          <w:b/>
          <w:bCs/>
          <w:sz w:val="28"/>
          <w:szCs w:val="28"/>
          <w:lang w:val="lt-LT"/>
        </w:rPr>
        <w:t>Polichromatinio eozino, metileno mėlio ir žydrų dažomųjų medžiagų tirpalas</w:t>
      </w:r>
    </w:p>
    <w:p w:rsidR="005D5B36" w:rsidRPr="005D5B36" w:rsidRDefault="005D5B36">
      <w:pPr>
        <w:widowControl w:val="0"/>
        <w:autoSpaceDE w:val="0"/>
        <w:autoSpaceDN w:val="0"/>
        <w:adjustRightInd w:val="0"/>
        <w:spacing w:line="39" w:lineRule="exact"/>
        <w:rPr>
          <w:rFonts w:ascii="Arial Narrow" w:hAnsi="Arial Narrow" w:cs="Arial"/>
          <w:lang w:val="lt-LT"/>
        </w:rPr>
      </w:pPr>
    </w:p>
    <w:p w:rsidR="005D5B36" w:rsidRPr="005D5B36" w:rsidRDefault="005D5B36">
      <w:pPr>
        <w:widowControl w:val="0"/>
        <w:autoSpaceDE w:val="0"/>
        <w:autoSpaceDN w:val="0"/>
        <w:adjustRightInd w:val="0"/>
        <w:spacing w:line="239" w:lineRule="auto"/>
        <w:rPr>
          <w:rFonts w:ascii="Arial Narrow" w:hAnsi="Arial Narrow" w:cs="Arial"/>
          <w:lang w:val="lt-LT"/>
        </w:rPr>
      </w:pPr>
      <w:r w:rsidRPr="005D5B36">
        <w:rPr>
          <w:rFonts w:ascii="Arial Narrow" w:hAnsi="Arial Narrow" w:cs="Arial"/>
          <w:b/>
          <w:bCs/>
          <w:sz w:val="22"/>
          <w:szCs w:val="22"/>
          <w:lang w:val="lt-LT"/>
        </w:rPr>
        <w:t>Dažymui hematologinių ir citologinių tyr</w:t>
      </w:r>
      <w:r>
        <w:rPr>
          <w:rFonts w:ascii="Arial Narrow" w:hAnsi="Arial Narrow" w:cs="Arial"/>
          <w:b/>
          <w:bCs/>
          <w:sz w:val="22"/>
          <w:szCs w:val="22"/>
          <w:lang w:val="lt-LT"/>
        </w:rPr>
        <w:t>i</w:t>
      </w:r>
      <w:r w:rsidRPr="005D5B36">
        <w:rPr>
          <w:rFonts w:ascii="Arial Narrow" w:hAnsi="Arial Narrow" w:cs="Arial"/>
          <w:b/>
          <w:bCs/>
          <w:sz w:val="22"/>
          <w:szCs w:val="22"/>
          <w:lang w:val="lt-LT"/>
        </w:rPr>
        <w:t>mų metu</w:t>
      </w:r>
    </w:p>
    <w:p w:rsidR="005D5B36" w:rsidRPr="005D5B36" w:rsidRDefault="005D5B36">
      <w:pPr>
        <w:widowControl w:val="0"/>
        <w:autoSpaceDE w:val="0"/>
        <w:autoSpaceDN w:val="0"/>
        <w:adjustRightInd w:val="0"/>
        <w:spacing w:line="124" w:lineRule="exact"/>
        <w:rPr>
          <w:rFonts w:ascii="Arial Narrow" w:hAnsi="Arial Narrow" w:cs="Arial"/>
          <w:lang w:val="lt-LT"/>
        </w:rPr>
      </w:pPr>
    </w:p>
    <w:p w:rsidR="005D5B36" w:rsidRPr="005D5B36" w:rsidRDefault="005D5B36" w:rsidP="005D5B36">
      <w:pPr>
        <w:widowControl w:val="0"/>
        <w:autoSpaceDE w:val="0"/>
        <w:autoSpaceDN w:val="0"/>
        <w:adjustRightInd w:val="0"/>
        <w:rPr>
          <w:rFonts w:ascii="Arial Narrow" w:hAnsi="Arial Narrow" w:cs="Arial"/>
          <w:lang w:val="lt-LT"/>
        </w:rPr>
      </w:pPr>
      <w:r w:rsidRPr="005D5B36">
        <w:rPr>
          <w:rFonts w:ascii="Arial Narrow" w:hAnsi="Arial Narrow" w:cs="Arial"/>
          <w:b/>
          <w:bCs/>
          <w:lang w:val="lt-LT"/>
        </w:rPr>
        <w:t>NAUDOJIMO INSTRUKCIJA</w:t>
      </w:r>
    </w:p>
    <w:p w:rsidR="005D5B36" w:rsidRPr="005D5B36" w:rsidRDefault="005D5B36" w:rsidP="005D5B36">
      <w:pPr>
        <w:widowControl w:val="0"/>
        <w:tabs>
          <w:tab w:val="left" w:pos="1600"/>
          <w:tab w:val="left" w:pos="6620"/>
          <w:tab w:val="left" w:pos="8440"/>
        </w:tabs>
        <w:autoSpaceDE w:val="0"/>
        <w:autoSpaceDN w:val="0"/>
        <w:adjustRightInd w:val="0"/>
        <w:rPr>
          <w:rFonts w:ascii="Arial Narrow" w:hAnsi="Arial Narrow" w:cs="Arial"/>
          <w:sz w:val="18"/>
          <w:szCs w:val="18"/>
          <w:lang w:val="lt-LT"/>
        </w:rPr>
      </w:pPr>
      <w:r w:rsidRPr="005D5B36">
        <w:rPr>
          <w:rFonts w:ascii="Arial Narrow" w:hAnsi="Arial Narrow" w:cs="Arial"/>
          <w:sz w:val="18"/>
          <w:szCs w:val="18"/>
          <w:bdr w:val="single" w:sz="4" w:space="0" w:color="auto"/>
          <w:lang w:val="lt-LT"/>
        </w:rPr>
        <w:t>REF</w:t>
      </w:r>
      <w:r w:rsidRPr="005D5B36">
        <w:rPr>
          <w:rFonts w:ascii="Arial Narrow" w:hAnsi="Arial Narrow" w:cs="Arial"/>
          <w:sz w:val="18"/>
          <w:szCs w:val="18"/>
          <w:lang w:val="lt-LT"/>
        </w:rPr>
        <w:t xml:space="preserve"> Gaminio kodas: MG-OT-100 (100 ml)   MG-OT-110 (10 x 100 ml)    MG-OT-500 (500 ml) MG-OT-1L (1000 ml)</w:t>
      </w:r>
      <w:r w:rsidRPr="005D5B36">
        <w:rPr>
          <w:rFonts w:ascii="Arial Narrow" w:hAnsi="Arial Narrow" w:cs="Arial"/>
          <w:sz w:val="18"/>
          <w:szCs w:val="18"/>
          <w:lang w:val="lt-LT"/>
        </w:rPr>
        <w:tab/>
        <w:t>GM-OT-2.5L (2500 ml)</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Įvadas</w:t>
      </w:r>
    </w:p>
    <w:p w:rsidR="005D5B36" w:rsidRPr="005D5B36" w:rsidRDefault="005D5B36" w:rsidP="005D5B36">
      <w:pPr>
        <w:widowControl w:val="0"/>
        <w:overflowPunct w:val="0"/>
        <w:autoSpaceDE w:val="0"/>
        <w:autoSpaceDN w:val="0"/>
        <w:adjustRightInd w:val="0"/>
        <w:jc w:val="both"/>
        <w:rPr>
          <w:rFonts w:ascii="Arial Narrow" w:hAnsi="Arial Narrow" w:cs="Arial"/>
          <w:sz w:val="18"/>
          <w:szCs w:val="18"/>
          <w:lang w:val="lt-LT"/>
        </w:rPr>
      </w:pPr>
      <w:r w:rsidRPr="005D5B36">
        <w:rPr>
          <w:rFonts w:ascii="Arial Narrow" w:hAnsi="Arial Narrow" w:cs="Arial"/>
          <w:sz w:val="18"/>
          <w:szCs w:val="18"/>
          <w:lang w:val="lt-LT"/>
        </w:rPr>
        <w:t>Polichromatiniai Romanowsky dažai yra standartiniai dažai, naudojami hematologinių kraujo tepinėlių ir kaulų čiulpų dažymui. Įvairių rūšių Romanowsky dažomosios medžiagos (Giemsa, May-Gruenwald, Leishman, Wright, Jenner ir kt.) savo sudėtyje skirtingu santykiu turi metileno mėlio (ir su reagentu susijusios tiazino dažomosios medžiagos, pvz., „Azure B“), veikiančio kaip katijonas, ir „Eosin Y“, veikiančio kaip anijonas. Katijonų ir anijonų komponentų sąveika sukelia žinomą Romanowsky poveikį, kuris neįmanomas, jei kiekvienas komponentas naudojamas atskirai. Violetinė spalva žymi poveikį. Dažymo intensyvumas priklauso nuo „Azure B“ turinio bei „Azure B“ ir „Eosin Y“ santykio, tuo tarpu keli kiti veiksniai lemia dažymo rezultatą: darbinio tirpalo pH vertė, paruošimo metodo ir dažomųjų medžiagų veikimo trukmės. „BioGnost“ May-Gruenwald tirpalas naudojamas kaulų čiulpų ir periferinių kraujagyslių kraujo mėginių dažymui, limfocitų, monocitų, granulocitų (neutrofilų, eozinofilų, bazofilų), trombocitų ir eritrocitų dažymui. May-Gruenwald tirpalas naudojamas citologijoje dažyti citodiagnostinių punkcijų aspiratus, diarėjos ir sekrecijos procesų ląsteles. Vienas iš dažniausių May-Gruenwald tirpalo naudojimo būdų yra May-Gruenwald Giemsa metodas, arba Pappenheim metodas.</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Gaminio aprašymas</w:t>
      </w:r>
    </w:p>
    <w:p w:rsidR="005D5B36" w:rsidRPr="005D5B36" w:rsidRDefault="005D5B36" w:rsidP="005D5B36">
      <w:pPr>
        <w:widowControl w:val="0"/>
        <w:autoSpaceDE w:val="0"/>
        <w:autoSpaceDN w:val="0"/>
        <w:adjustRightInd w:val="0"/>
        <w:ind w:left="80"/>
        <w:rPr>
          <w:rFonts w:ascii="Arial Narrow" w:hAnsi="Arial Narrow" w:cs="Arial"/>
          <w:sz w:val="18"/>
          <w:szCs w:val="18"/>
          <w:lang w:val="lt-LT"/>
        </w:rPr>
      </w:pPr>
      <w:r w:rsidRPr="005D5B36">
        <w:rPr>
          <w:rFonts w:ascii="Arial Narrow" w:hAnsi="Arial Narrow" w:cs="Arial"/>
          <w:sz w:val="18"/>
          <w:szCs w:val="18"/>
          <w:vertAlign w:val="subscript"/>
          <w:lang w:val="lt-LT"/>
        </w:rPr>
        <w:t></w:t>
      </w:r>
      <w:r w:rsidRPr="005D5B36">
        <w:rPr>
          <w:rFonts w:ascii="Arial Narrow" w:hAnsi="Arial Narrow" w:cs="Arial"/>
          <w:b/>
          <w:bCs/>
          <w:sz w:val="18"/>
          <w:szCs w:val="18"/>
          <w:lang w:val="lt-LT"/>
        </w:rPr>
        <w:t xml:space="preserve"> MAY-GRUENWALD TIRPALAS </w:t>
      </w:r>
      <w:r w:rsidRPr="005D5B36">
        <w:rPr>
          <w:rFonts w:ascii="Arial Narrow" w:hAnsi="Arial Narrow" w:cs="Arial"/>
          <w:sz w:val="18"/>
          <w:szCs w:val="18"/>
          <w:lang w:val="lt-LT"/>
        </w:rPr>
        <w:t>– eozino ir metileno mėlio tirpalas metanolyje su stabilizatoriais.</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Kiti produktai ir reagentai, kurie gali būti naudojami dažant</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Tvirtinamosios medžiagos, pavyzdžiui, „BioGnost“ neutralūs buferiniai formaldehido tirpalai: formaldehidas NB 4 proc., formaldehidas NB 10 proc.</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Polichromatiniai Romanowsky reagentai, pavyzdžiui, „BioGnost“ Giemsa tirpalas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Dehidracijos / rehidracijos medžiaga, pavyzdžiui, „BioGnost“ alkoholio tirpalai: „Histanol 70“, „Histanol 80“, „Histanol 95“ ir „Histanol 100“.</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Valymo medžiagos, pavyzdžiui, „BioClear“ ksilenas arba jo pakaitalas, pavyzdžiui, limoneno pagrindu pagamintas „BioNene“ arba alifatinio angliavandenilio pagrindu pagaminta „BioClear New“ medžiaga.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Padengimo ir tvirtinimo terpė, pavyzdžiui, „BioGnost“ gaminiai: „BioMount“, „BioMount High“, „BioMount M“, „BioMount New“, „BioMount DPX“, „BioMount DPX High“, „BioMount DPX Low“, „BioMount C“, „BioMount Aqua“, „Canada Balsam“ arba „MountQuick Tube“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Infiltracijos ir sujungimo medžiaga, pavyzdžiui, „BioGnost“ granuliuotas parafinas „BioWax 52/54“, „BioWax 56/58“, „BioWax Blue“, „BioWax Micro“, „BioWax Plus 56/58“.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Hematologijoje naudojami stikleliai, pavyzdžiui, „VitroGnost STANDARD GRADE“, arba histopatologijoje ir citologijoje naudojami aukštos kokybės stikleliai, pavyzdžiui, „VitroGnost SUPER GRADE“, arba vieni iš daugiau nei 30 „VitroGnost“ stiklelių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„VitroGnost“ padengimo stikliukas. Matmenys nuo 18 x 18 mm iki 24 x 60 mm.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Panardinimo aliejai, pavyzdžiui, „BioGnost“ panardinimo aliejus, kedro medžio aliejus, panardinimo aliejų tipai: 37, A, B, FF ir NVH.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„BioGnost“ buferio tabletės, pH 6,8 arba 7,2  </w:t>
      </w:r>
    </w:p>
    <w:p w:rsidR="005D5B36" w:rsidRPr="005D5B36" w:rsidRDefault="005D5B36" w:rsidP="005D5B36">
      <w:pPr>
        <w:widowControl w:val="0"/>
        <w:numPr>
          <w:ilvl w:val="0"/>
          <w:numId w:val="1"/>
        </w:numPr>
        <w:tabs>
          <w:tab w:val="clear" w:pos="720"/>
          <w:tab w:val="num" w:pos="280"/>
        </w:tabs>
        <w:overflowPunct w:val="0"/>
        <w:autoSpaceDE w:val="0"/>
        <w:autoSpaceDN w:val="0"/>
        <w:adjustRightInd w:val="0"/>
        <w:ind w:left="280" w:hanging="203"/>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Fiksuojantis reagentas, pavyzdžiui, „BioGnost Histanol M“. </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Tirpalų paruošimas</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Buferio tirpalas, pH 6,8</w:t>
      </w:r>
    </w:p>
    <w:p w:rsidR="005D5B36" w:rsidRPr="005D5B36" w:rsidRDefault="005D5B36" w:rsidP="005D5B36">
      <w:pPr>
        <w:widowControl w:val="0"/>
        <w:numPr>
          <w:ilvl w:val="0"/>
          <w:numId w:val="2"/>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Ištirpinkite 1 pH 6,8 buferio tabletę 1 distiliuoto vandens litre intensyviai maišydami. </w:t>
      </w:r>
    </w:p>
    <w:p w:rsidR="005D5B36" w:rsidRPr="005D5B36" w:rsidRDefault="005D5B36" w:rsidP="005D5B36">
      <w:pPr>
        <w:widowControl w:val="0"/>
        <w:overflowPunct w:val="0"/>
        <w:autoSpaceDE w:val="0"/>
        <w:autoSpaceDN w:val="0"/>
        <w:adjustRightInd w:val="0"/>
        <w:ind w:left="280"/>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Pastaba: Dažymo proceso metu galima naudoti pH 7,2 buferio tirpalą arba pH 6,8 ir 7,2 buferio tirpalų mišinį. Proceso rezultatai gali būti raudonos arba mėlynos spalvos. </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Ištirpintas „May-Gruenwald“ tirpalas</w:t>
      </w:r>
    </w:p>
    <w:p w:rsidR="005D5B36" w:rsidRPr="005D5B36" w:rsidRDefault="005D5B36" w:rsidP="005D5B36">
      <w:pPr>
        <w:widowControl w:val="0"/>
        <w:numPr>
          <w:ilvl w:val="0"/>
          <w:numId w:val="3"/>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Sumaišykite 30 ml </w:t>
      </w:r>
      <w:r>
        <w:rPr>
          <w:rFonts w:ascii="Arial Narrow" w:hAnsi="Arial Narrow" w:cs="Arial"/>
          <w:sz w:val="18"/>
          <w:szCs w:val="18"/>
          <w:lang w:val="lt-LT"/>
        </w:rPr>
        <w:t>„</w:t>
      </w:r>
      <w:r w:rsidRPr="005D5B36">
        <w:rPr>
          <w:rFonts w:ascii="Arial Narrow" w:hAnsi="Arial Narrow" w:cs="Arial"/>
          <w:sz w:val="18"/>
          <w:szCs w:val="18"/>
          <w:lang w:val="lt-LT"/>
        </w:rPr>
        <w:t>May-Gruenwald</w:t>
      </w:r>
      <w:r>
        <w:rPr>
          <w:rFonts w:ascii="Arial Narrow" w:hAnsi="Arial Narrow" w:cs="Arial"/>
          <w:sz w:val="18"/>
          <w:szCs w:val="18"/>
          <w:lang w:val="lt-LT"/>
        </w:rPr>
        <w:t>“</w:t>
      </w:r>
      <w:r w:rsidRPr="005D5B36">
        <w:rPr>
          <w:rFonts w:ascii="Arial Narrow" w:hAnsi="Arial Narrow" w:cs="Arial"/>
          <w:sz w:val="18"/>
          <w:szCs w:val="18"/>
          <w:lang w:val="lt-LT"/>
        </w:rPr>
        <w:t xml:space="preserve"> tirpalo su 150 ml distiliuoto ar demineralizuoto vandens ir 20 ml buferio tirpalo. </w:t>
      </w:r>
    </w:p>
    <w:p w:rsidR="005D5B36" w:rsidRPr="005D5B36" w:rsidRDefault="005D5B36" w:rsidP="005D5B36">
      <w:pPr>
        <w:widowControl w:val="0"/>
        <w:overflowPunct w:val="0"/>
        <w:autoSpaceDE w:val="0"/>
        <w:autoSpaceDN w:val="0"/>
        <w:adjustRightInd w:val="0"/>
        <w:jc w:val="both"/>
        <w:rPr>
          <w:rFonts w:ascii="Arial Narrow" w:hAnsi="Arial Narrow" w:cs="Arial"/>
          <w:sz w:val="18"/>
          <w:szCs w:val="18"/>
          <w:vertAlign w:val="subscript"/>
          <w:lang w:val="lt-LT"/>
        </w:rPr>
      </w:pPr>
      <w:r w:rsidRPr="005D5B36">
        <w:rPr>
          <w:rFonts w:ascii="Arial Narrow" w:hAnsi="Arial Narrow" w:cs="Arial"/>
          <w:b/>
          <w:bCs/>
          <w:sz w:val="18"/>
          <w:szCs w:val="18"/>
          <w:lang w:val="lt-LT"/>
        </w:rPr>
        <w:t xml:space="preserve">Darbinis </w:t>
      </w:r>
      <w:r>
        <w:rPr>
          <w:rFonts w:ascii="Arial Narrow" w:hAnsi="Arial Narrow" w:cs="Arial"/>
          <w:b/>
          <w:bCs/>
          <w:sz w:val="18"/>
          <w:szCs w:val="18"/>
          <w:lang w:val="lt-LT"/>
        </w:rPr>
        <w:t>„</w:t>
      </w:r>
      <w:r w:rsidRPr="005D5B36">
        <w:rPr>
          <w:rFonts w:ascii="Arial Narrow" w:hAnsi="Arial Narrow" w:cs="Arial"/>
          <w:b/>
          <w:bCs/>
          <w:sz w:val="18"/>
          <w:szCs w:val="18"/>
          <w:lang w:val="lt-LT"/>
        </w:rPr>
        <w:t>Giemsa</w:t>
      </w:r>
      <w:r>
        <w:rPr>
          <w:rFonts w:ascii="Arial Narrow" w:hAnsi="Arial Narrow" w:cs="Arial"/>
          <w:b/>
          <w:bCs/>
          <w:sz w:val="18"/>
          <w:szCs w:val="18"/>
          <w:lang w:val="lt-LT"/>
        </w:rPr>
        <w:t>“</w:t>
      </w:r>
      <w:r w:rsidRPr="005D5B36">
        <w:rPr>
          <w:rFonts w:ascii="Arial Narrow" w:hAnsi="Arial Narrow" w:cs="Arial"/>
          <w:b/>
          <w:bCs/>
          <w:sz w:val="18"/>
          <w:szCs w:val="18"/>
          <w:lang w:val="lt-LT"/>
        </w:rPr>
        <w:t xml:space="preserve"> tirpalas </w:t>
      </w:r>
    </w:p>
    <w:p w:rsidR="005D5B36" w:rsidRPr="005D5B36" w:rsidRDefault="005D5B36" w:rsidP="005D5B36">
      <w:pPr>
        <w:widowControl w:val="0"/>
        <w:numPr>
          <w:ilvl w:val="0"/>
          <w:numId w:val="3"/>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Įpilkite 10 ml </w:t>
      </w:r>
      <w:r>
        <w:rPr>
          <w:rFonts w:ascii="Arial Narrow" w:hAnsi="Arial Narrow" w:cs="Arial"/>
          <w:sz w:val="18"/>
          <w:szCs w:val="18"/>
          <w:lang w:val="lt-LT"/>
        </w:rPr>
        <w:t>„</w:t>
      </w:r>
      <w:r w:rsidRPr="005D5B36">
        <w:rPr>
          <w:rFonts w:ascii="Arial Narrow" w:hAnsi="Arial Narrow" w:cs="Arial"/>
          <w:sz w:val="18"/>
          <w:szCs w:val="18"/>
          <w:lang w:val="lt-LT"/>
        </w:rPr>
        <w:t>Giemsa</w:t>
      </w:r>
      <w:r>
        <w:rPr>
          <w:rFonts w:ascii="Arial Narrow" w:hAnsi="Arial Narrow" w:cs="Arial"/>
          <w:sz w:val="18"/>
          <w:szCs w:val="18"/>
          <w:lang w:val="lt-LT"/>
        </w:rPr>
        <w:t>“</w:t>
      </w:r>
      <w:r w:rsidRPr="005D5B36">
        <w:rPr>
          <w:rFonts w:ascii="Arial Narrow" w:hAnsi="Arial Narrow" w:cs="Arial"/>
          <w:sz w:val="18"/>
          <w:szCs w:val="18"/>
          <w:lang w:val="lt-LT"/>
        </w:rPr>
        <w:t xml:space="preserve"> tirpalo į 190 ml pH 6,8 buferio tirpalą, gerai išmaišykite ir palikite 10 min. atvėsti. Išfiltruokite, jei reikia. </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 xml:space="preserve">A1) Kraujo tepinėlio dažymo procedūra naudojant </w:t>
      </w:r>
      <w:r>
        <w:rPr>
          <w:rFonts w:ascii="Arial Narrow" w:hAnsi="Arial Narrow" w:cs="Arial"/>
          <w:b/>
          <w:bCs/>
          <w:sz w:val="18"/>
          <w:szCs w:val="18"/>
          <w:lang w:val="lt-LT"/>
        </w:rPr>
        <w:t>„</w:t>
      </w:r>
      <w:r w:rsidRPr="005D5B36">
        <w:rPr>
          <w:rFonts w:ascii="Arial Narrow" w:hAnsi="Arial Narrow" w:cs="Arial"/>
          <w:b/>
          <w:bCs/>
          <w:sz w:val="18"/>
          <w:szCs w:val="18"/>
          <w:lang w:val="lt-LT"/>
        </w:rPr>
        <w:t>May-Gruenwald</w:t>
      </w:r>
      <w:r>
        <w:rPr>
          <w:rFonts w:ascii="Arial Narrow" w:hAnsi="Arial Narrow" w:cs="Arial"/>
          <w:b/>
          <w:bCs/>
          <w:sz w:val="18"/>
          <w:szCs w:val="18"/>
          <w:lang w:val="lt-LT"/>
        </w:rPr>
        <w:t>“</w:t>
      </w:r>
      <w:r w:rsidRPr="005D5B36">
        <w:rPr>
          <w:rFonts w:ascii="Arial Narrow" w:hAnsi="Arial Narrow" w:cs="Arial"/>
          <w:b/>
          <w:bCs/>
          <w:sz w:val="18"/>
          <w:szCs w:val="18"/>
          <w:lang w:val="lt-LT"/>
        </w:rPr>
        <w:t xml:space="preserve"> tirpalą</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Paruoškite periferinio kraujo tepinėlį užlašinę kraujo iš šviežio kraujo mėginio. </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Užfiksuokite išdžiūvusio kraujo tepinėlius įmerkę juos į metanolį ir palaikę jame 1 min. („Histanol M“). </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Leiskite tepinėliui nudžiūti. </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Panardinkite fiksuotą išdžiovintą tepinėlį 3–4 min. į „May-Gruenwald“ tirpalą. </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Panardinkite fiksuotą išdžiovintą tepinėlį 6 min. į tirpintą „May-Gruenwald“ tirpalą. </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Du kartus nuplaukite tepinėlį pH 6.8 buferio tirpalu. Tai turi trukti 1 min. </w:t>
      </w:r>
    </w:p>
    <w:p w:rsidR="005D5B36" w:rsidRPr="005D5B36" w:rsidRDefault="005D5B36" w:rsidP="005D5B36">
      <w:pPr>
        <w:widowControl w:val="0"/>
        <w:numPr>
          <w:ilvl w:val="0"/>
          <w:numId w:val="4"/>
        </w:numPr>
        <w:tabs>
          <w:tab w:val="clear" w:pos="720"/>
          <w:tab w:val="num" w:pos="280"/>
        </w:tabs>
        <w:overflowPunct w:val="0"/>
        <w:autoSpaceDE w:val="0"/>
        <w:autoSpaceDN w:val="0"/>
        <w:adjustRightInd w:val="0"/>
        <w:ind w:left="280" w:hanging="203"/>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Išdžiovinkite preparatą. </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Rezultatas (pH 6,8)</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Branduolys – raudonai rausvos spalvos</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Limfocitų plazma – mėlyna</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Monocitų plazma – pilkai mėlyna</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Neutrofilų granulė – šviesiai violetinė</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Eozinofilų granulė – nuo raudonos iki raudonai rudos</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Bazofilų granulė – nuo tamsiai violetinės iki juodos</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Trombocitai – violetinė</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Eritrocitai – rausva</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Pr>
          <w:rFonts w:ascii="Arial Narrow" w:hAnsi="Arial Narrow" w:cs="Arial"/>
          <w:sz w:val="18"/>
          <w:szCs w:val="18"/>
          <w:lang w:val="lt-LT"/>
        </w:rPr>
        <w:br w:type="page"/>
      </w:r>
    </w:p>
    <w:p w:rsidR="005D5B36" w:rsidRPr="005D5B36" w:rsidRDefault="005D5B36" w:rsidP="005D5B36">
      <w:pPr>
        <w:widowControl w:val="0"/>
        <w:autoSpaceDE w:val="0"/>
        <w:autoSpaceDN w:val="0"/>
        <w:adjustRightInd w:val="0"/>
        <w:rPr>
          <w:rFonts w:ascii="Arial Narrow" w:hAnsi="Arial Narrow" w:cs="Arial"/>
          <w:sz w:val="18"/>
          <w:szCs w:val="18"/>
          <w:lang w:val="lt-LT"/>
        </w:rPr>
      </w:pPr>
      <w:bookmarkStart w:id="2" w:name="page2"/>
      <w:bookmarkEnd w:id="2"/>
      <w:r w:rsidRPr="005D5B36">
        <w:rPr>
          <w:rFonts w:ascii="Arial Narrow" w:hAnsi="Arial Narrow" w:cs="Arial"/>
          <w:b/>
          <w:bCs/>
          <w:sz w:val="18"/>
          <w:szCs w:val="18"/>
          <w:lang w:val="lt-LT"/>
        </w:rPr>
        <w:lastRenderedPageBreak/>
        <w:t>A2) Kraujo tepinėlio dažymo procedūra naudojant May-Grünwald Giemsa (Pappenheim) metodą</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Paruoškite periferinio kraujo tepinėlį užlašinę kraujo iš šviežio kraujo mėginio. </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Leiskite tepinėliui nudžiūti. </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Ant nudžiūvusio tepinėlio užlašinkite </w:t>
      </w:r>
      <w:r>
        <w:rPr>
          <w:rFonts w:ascii="Arial Narrow" w:hAnsi="Arial Narrow" w:cs="Arial"/>
          <w:sz w:val="18"/>
          <w:szCs w:val="18"/>
          <w:lang w:val="lt-LT"/>
        </w:rPr>
        <w:t>„</w:t>
      </w:r>
      <w:r w:rsidRPr="005D5B36">
        <w:rPr>
          <w:rFonts w:ascii="Arial Narrow" w:hAnsi="Arial Narrow" w:cs="Arial"/>
          <w:sz w:val="18"/>
          <w:szCs w:val="18"/>
          <w:lang w:val="lt-LT"/>
        </w:rPr>
        <w:t>May-Gruenwald</w:t>
      </w:r>
      <w:r>
        <w:rPr>
          <w:rFonts w:ascii="Arial Narrow" w:hAnsi="Arial Narrow" w:cs="Arial"/>
          <w:sz w:val="18"/>
          <w:szCs w:val="18"/>
          <w:lang w:val="lt-LT"/>
        </w:rPr>
        <w:t>“</w:t>
      </w:r>
      <w:r w:rsidRPr="005D5B36">
        <w:rPr>
          <w:rFonts w:ascii="Arial Narrow" w:hAnsi="Arial Narrow" w:cs="Arial"/>
          <w:sz w:val="18"/>
          <w:szCs w:val="18"/>
          <w:lang w:val="lt-LT"/>
        </w:rPr>
        <w:t xml:space="preserve"> tirpalo ir palaukite 5 min.  </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Greitai nuplaukite tepinėlį pH 6,8 buferio tirpalu. </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Ant nudžiūvusio tepinėlio užlašinkite </w:t>
      </w:r>
      <w:r>
        <w:rPr>
          <w:rFonts w:ascii="Arial Narrow" w:hAnsi="Arial Narrow" w:cs="Arial"/>
          <w:sz w:val="18"/>
          <w:szCs w:val="18"/>
          <w:lang w:val="lt-LT"/>
        </w:rPr>
        <w:t>„</w:t>
      </w:r>
      <w:r w:rsidRPr="005D5B36">
        <w:rPr>
          <w:rFonts w:ascii="Arial Narrow" w:hAnsi="Arial Narrow" w:cs="Arial"/>
          <w:sz w:val="18"/>
          <w:szCs w:val="18"/>
          <w:lang w:val="lt-LT"/>
        </w:rPr>
        <w:t>Giemsa</w:t>
      </w:r>
      <w:r>
        <w:rPr>
          <w:rFonts w:ascii="Arial Narrow" w:hAnsi="Arial Narrow" w:cs="Arial"/>
          <w:sz w:val="18"/>
          <w:szCs w:val="18"/>
          <w:lang w:val="lt-LT"/>
        </w:rPr>
        <w:t>“</w:t>
      </w:r>
      <w:r w:rsidRPr="005D5B36">
        <w:rPr>
          <w:rFonts w:ascii="Arial Narrow" w:hAnsi="Arial Narrow" w:cs="Arial"/>
          <w:sz w:val="18"/>
          <w:szCs w:val="18"/>
          <w:lang w:val="lt-LT"/>
        </w:rPr>
        <w:t xml:space="preserve"> tirpalo ir palaukite 25 min.  </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Greitai nuplaukite tepinėlį pH 6,8 buferio tirpalu. </w:t>
      </w:r>
    </w:p>
    <w:p w:rsidR="005D5B36" w:rsidRPr="005D5B36" w:rsidRDefault="005D5B36" w:rsidP="005D5B36">
      <w:pPr>
        <w:widowControl w:val="0"/>
        <w:overflowPunct w:val="0"/>
        <w:autoSpaceDE w:val="0"/>
        <w:autoSpaceDN w:val="0"/>
        <w:adjustRightInd w:val="0"/>
        <w:ind w:left="280"/>
        <w:jc w:val="both"/>
        <w:rPr>
          <w:rFonts w:ascii="Arial Narrow" w:hAnsi="Arial Narrow" w:cs="Arial"/>
          <w:sz w:val="16"/>
          <w:szCs w:val="16"/>
          <w:vertAlign w:val="subscript"/>
          <w:lang w:val="lt-LT"/>
        </w:rPr>
      </w:pPr>
      <w:r w:rsidRPr="005D5B36">
        <w:rPr>
          <w:rFonts w:ascii="Arial Narrow" w:hAnsi="Arial Narrow" w:cs="Arial"/>
          <w:sz w:val="16"/>
          <w:szCs w:val="16"/>
          <w:lang w:val="lt-LT"/>
        </w:rPr>
        <w:t xml:space="preserve">Pastaba: Jei reikia, naudokite mažesnį buferio tirpalo kiekį, kad kruopščiai pašalintumėte dažomosios medžiagos perteklių, o nudažytos struktūros gerai matytųsi. Nuplaukite tirpalą po 10–30 sekundžių. </w:t>
      </w:r>
    </w:p>
    <w:p w:rsidR="005D5B36" w:rsidRPr="005D5B36" w:rsidRDefault="005D5B36" w:rsidP="005D5B36">
      <w:pPr>
        <w:widowControl w:val="0"/>
        <w:numPr>
          <w:ilvl w:val="0"/>
          <w:numId w:val="5"/>
        </w:numPr>
        <w:tabs>
          <w:tab w:val="clear" w:pos="720"/>
          <w:tab w:val="num" w:pos="280"/>
        </w:tabs>
        <w:overflowPunct w:val="0"/>
        <w:autoSpaceDE w:val="0"/>
        <w:autoSpaceDN w:val="0"/>
        <w:adjustRightInd w:val="0"/>
        <w:ind w:left="280" w:hanging="204"/>
        <w:jc w:val="both"/>
        <w:rPr>
          <w:rFonts w:ascii="Arial Narrow" w:hAnsi="Arial Narrow" w:cs="Arial"/>
          <w:sz w:val="18"/>
          <w:szCs w:val="18"/>
          <w:vertAlign w:val="subscript"/>
          <w:lang w:val="lt-LT"/>
        </w:rPr>
      </w:pPr>
      <w:r w:rsidRPr="005D5B36">
        <w:rPr>
          <w:rFonts w:ascii="Arial Narrow" w:hAnsi="Arial Narrow" w:cs="Arial"/>
          <w:sz w:val="18"/>
          <w:szCs w:val="18"/>
          <w:lang w:val="lt-LT"/>
        </w:rPr>
        <w:t xml:space="preserve">Išdžiovinkite preparatą. </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Rezultatas (pH 6,8)</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Branduolys – violetinė</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Limfocitų plazma – mėlyna</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Monocitų plazma – pilkai mėlyna</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Neutrofilų granulė – šviesiai violetinė</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Eozinofilų granulė – nuo raudonos iki tamsiai violetinės</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Bazofilų granulė – nuo tamsiai violetinės iki juodos</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Trombocitai – violetinė</w:t>
      </w: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Eritrocitai – rausva</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Pastaba.</w:t>
      </w:r>
    </w:p>
    <w:p w:rsidR="005D5B36" w:rsidRPr="005D5B36" w:rsidRDefault="005D5B36" w:rsidP="005D5B36">
      <w:pPr>
        <w:widowControl w:val="0"/>
        <w:overflowPunct w:val="0"/>
        <w:autoSpaceDE w:val="0"/>
        <w:autoSpaceDN w:val="0"/>
        <w:adjustRightInd w:val="0"/>
        <w:jc w:val="both"/>
        <w:rPr>
          <w:rFonts w:ascii="Arial Narrow" w:hAnsi="Arial Narrow" w:cs="Arial"/>
          <w:sz w:val="18"/>
          <w:szCs w:val="18"/>
          <w:lang w:val="lt-LT"/>
        </w:rPr>
      </w:pPr>
      <w:r w:rsidRPr="005D5B36">
        <w:rPr>
          <w:rFonts w:ascii="Arial Narrow" w:hAnsi="Arial Narrow" w:cs="Arial"/>
          <w:sz w:val="18"/>
          <w:szCs w:val="18"/>
          <w:lang w:val="lt-LT"/>
        </w:rPr>
        <w:t>Dažymo procesų trukmės nėra visiškai standartizuotos. Instrukcijoje pateiktos trukmės atitinka klinikinę ir praktinę laboratorijų patirtį. Dažymo intensyvumas priklauso nuo panardinimo į dažomąją medžiagą trukmės. Realus dažymo protokolas priklauso nuo asmeninių pageidavimų ir prioritetų.</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Mėginio paruošimas ir diagnostika</w:t>
      </w:r>
    </w:p>
    <w:p w:rsidR="005D5B36" w:rsidRPr="005D5B36" w:rsidRDefault="005D5B36" w:rsidP="005D5B36">
      <w:pPr>
        <w:widowControl w:val="0"/>
        <w:overflowPunct w:val="0"/>
        <w:autoSpaceDE w:val="0"/>
        <w:autoSpaceDN w:val="0"/>
        <w:adjustRightInd w:val="0"/>
        <w:jc w:val="both"/>
        <w:rPr>
          <w:rFonts w:ascii="Arial Narrow" w:hAnsi="Arial Narrow" w:cs="Arial"/>
          <w:sz w:val="18"/>
          <w:szCs w:val="18"/>
          <w:lang w:val="lt-LT"/>
        </w:rPr>
      </w:pPr>
      <w:r w:rsidRPr="005D5B36">
        <w:rPr>
          <w:rFonts w:ascii="Arial Narrow" w:hAnsi="Arial Narrow" w:cs="Arial"/>
          <w:sz w:val="18"/>
          <w:szCs w:val="18"/>
          <w:lang w:val="lt-LT"/>
        </w:rPr>
        <w:t>Mėginiams paimti ir paruošti naudokite tik tinkamus instrumentus. Apdorokite mėginius naudodami modernią technologiją ir aiškiai juos pažymėkite. Vadovaukitės gamintojo naudojimo nurodymais. Siekiant išvengti klaidų, dažymo procedūrą ir diagnostiką turėtų atlikti įgaliotieji ir kvalifikuoti darbuotojai. Mikroskopą naudokite tik pagal laboratorijos medicininės diagnostikos standartus.</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Sauga darbe ir aplinkos apsauga</w:t>
      </w:r>
    </w:p>
    <w:p w:rsidR="005D5B36" w:rsidRPr="005D5B36" w:rsidRDefault="005D5B36" w:rsidP="005D5B36">
      <w:pPr>
        <w:widowControl w:val="0"/>
        <w:overflowPunct w:val="0"/>
        <w:autoSpaceDE w:val="0"/>
        <w:autoSpaceDN w:val="0"/>
        <w:adjustRightInd w:val="0"/>
        <w:jc w:val="both"/>
        <w:rPr>
          <w:rFonts w:ascii="Arial Narrow" w:hAnsi="Arial Narrow" w:cs="Arial"/>
          <w:sz w:val="18"/>
          <w:szCs w:val="18"/>
          <w:lang w:val="lt-LT"/>
        </w:rPr>
      </w:pPr>
      <w:r w:rsidRPr="005D5B36">
        <w:rPr>
          <w:rFonts w:ascii="Arial Narrow" w:hAnsi="Arial Narrow" w:cs="Arial"/>
          <w:sz w:val="18"/>
          <w:szCs w:val="18"/>
          <w:lang w:val="lt-LT"/>
        </w:rPr>
        <w:t>Naudokite gaminį pagal saugos darbe ir aplinkos apsaugos gaires. Panaudotus tirpalus ir pasibaigusio naudojimo termino tirpalus reikia šalinti kaip specialias atliekas, laikantis nacionalinių gairių. Šios procedūros metu naudojami reagentai gali kelti pavojų žmonių sveikatai. Patikrinti audinių mėginiai gali kelti infekcijos pavojų. Vadovaujantis gera laboratorijos praktika, reikėtų imtis būtinų priemonių žmonių sveikatai apsaugoti. Procedūras atlikite vadovaudamiesi ženklais ir perspėjimais, atspausdintais gaminio etiketėje, taip pat pateikiamais „BioGnost“ medžiagos saugos duomenų lape.</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Laikymas, stabilumas ir galiojimo data</w:t>
      </w:r>
    </w:p>
    <w:p w:rsidR="005D5B36" w:rsidRPr="005D5B36" w:rsidRDefault="005D5B36" w:rsidP="005D5B36">
      <w:pPr>
        <w:widowControl w:val="0"/>
        <w:overflowPunct w:val="0"/>
        <w:autoSpaceDE w:val="0"/>
        <w:autoSpaceDN w:val="0"/>
        <w:adjustRightInd w:val="0"/>
        <w:jc w:val="both"/>
        <w:rPr>
          <w:rFonts w:ascii="Arial Narrow" w:hAnsi="Arial Narrow" w:cs="Arial"/>
          <w:sz w:val="18"/>
          <w:szCs w:val="18"/>
          <w:lang w:val="lt-LT"/>
        </w:rPr>
      </w:pPr>
      <w:r w:rsidRPr="005D5B36">
        <w:rPr>
          <w:rFonts w:ascii="Arial Narrow" w:hAnsi="Arial Narrow" w:cs="Arial"/>
          <w:sz w:val="18"/>
          <w:szCs w:val="18"/>
          <w:lang w:val="lt-LT"/>
        </w:rPr>
        <w:t>Laikykite „Hematoxylin M“ sandariai uždarytoje originalioje pakuotėje 15–25 °C temperatūroje. Nelaikykite šaltose vietose, neužšaldykite ir venkite tiesioginių saulės spindulių poveikio. Pagaminimo data ir galiojimo data yra nurodytos gaminio etiketėje.</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b/>
          <w:bCs/>
          <w:sz w:val="18"/>
          <w:szCs w:val="18"/>
          <w:lang w:val="lt-LT"/>
        </w:rPr>
        <w:t>Nuorodos</w:t>
      </w:r>
    </w:p>
    <w:p w:rsidR="005D5B36" w:rsidRPr="005D5B36" w:rsidRDefault="005D5B36" w:rsidP="005D5B36">
      <w:pPr>
        <w:widowControl w:val="0"/>
        <w:numPr>
          <w:ilvl w:val="0"/>
          <w:numId w:val="6"/>
        </w:numPr>
        <w:tabs>
          <w:tab w:val="clear" w:pos="720"/>
          <w:tab w:val="num" w:pos="280"/>
        </w:tabs>
        <w:overflowPunct w:val="0"/>
        <w:autoSpaceDE w:val="0"/>
        <w:autoSpaceDN w:val="0"/>
        <w:adjustRightInd w:val="0"/>
        <w:ind w:left="280" w:hanging="204"/>
        <w:jc w:val="both"/>
        <w:rPr>
          <w:rFonts w:ascii="Arial Narrow" w:hAnsi="Arial Narrow" w:cs="Arial"/>
          <w:sz w:val="16"/>
          <w:szCs w:val="16"/>
          <w:lang w:val="lt-LT"/>
        </w:rPr>
      </w:pPr>
      <w:r w:rsidRPr="005D5B36">
        <w:rPr>
          <w:rFonts w:ascii="Arial Narrow" w:hAnsi="Arial Narrow" w:cs="Arial"/>
          <w:sz w:val="16"/>
          <w:szCs w:val="16"/>
          <w:lang w:val="lt-LT"/>
        </w:rPr>
        <w:t xml:space="preserve">Beck, R.C. (1938): </w:t>
      </w:r>
      <w:r w:rsidRPr="005D5B36">
        <w:rPr>
          <w:rFonts w:ascii="Arial Narrow" w:hAnsi="Arial Narrow" w:cs="Arial"/>
          <w:i/>
          <w:iCs/>
          <w:sz w:val="16"/>
          <w:szCs w:val="16"/>
          <w:lang w:val="lt-LT"/>
        </w:rPr>
        <w:t>Laboratory Manual of Heamtological Technique,</w:t>
      </w:r>
      <w:r w:rsidRPr="005D5B36">
        <w:rPr>
          <w:rFonts w:ascii="Arial Narrow" w:hAnsi="Arial Narrow" w:cs="Arial"/>
          <w:sz w:val="16"/>
          <w:szCs w:val="16"/>
          <w:lang w:val="lt-LT"/>
        </w:rPr>
        <w:t xml:space="preserve"> Philadelphia, W.B. Saunders &amp; Co. </w:t>
      </w:r>
    </w:p>
    <w:p w:rsidR="005D5B36" w:rsidRPr="005D5B36" w:rsidRDefault="005D5B36" w:rsidP="005D5B36">
      <w:pPr>
        <w:widowControl w:val="0"/>
        <w:numPr>
          <w:ilvl w:val="0"/>
          <w:numId w:val="6"/>
        </w:numPr>
        <w:tabs>
          <w:tab w:val="clear" w:pos="720"/>
          <w:tab w:val="num" w:pos="280"/>
        </w:tabs>
        <w:overflowPunct w:val="0"/>
        <w:autoSpaceDE w:val="0"/>
        <w:autoSpaceDN w:val="0"/>
        <w:adjustRightInd w:val="0"/>
        <w:ind w:left="280" w:hanging="204"/>
        <w:jc w:val="both"/>
        <w:rPr>
          <w:rFonts w:ascii="Arial Narrow" w:hAnsi="Arial Narrow" w:cs="Arial"/>
          <w:sz w:val="16"/>
          <w:szCs w:val="16"/>
          <w:lang w:val="lt-LT"/>
        </w:rPr>
      </w:pPr>
      <w:r w:rsidRPr="005D5B36">
        <w:rPr>
          <w:rFonts w:ascii="Arial Narrow" w:hAnsi="Arial Narrow" w:cs="Arial"/>
          <w:sz w:val="16"/>
          <w:szCs w:val="16"/>
          <w:lang w:val="lt-LT"/>
        </w:rPr>
        <w:t xml:space="preserve">Dacie, J. et Lewis S. (1995): </w:t>
      </w:r>
      <w:r w:rsidRPr="005D5B36">
        <w:rPr>
          <w:rFonts w:ascii="Arial Narrow" w:hAnsi="Arial Narrow" w:cs="Arial"/>
          <w:i/>
          <w:iCs/>
          <w:sz w:val="16"/>
          <w:szCs w:val="16"/>
          <w:lang w:val="lt-LT"/>
        </w:rPr>
        <w:t>Practical haematology</w:t>
      </w:r>
      <w:r w:rsidRPr="005D5B36">
        <w:rPr>
          <w:rFonts w:ascii="Arial Narrow" w:hAnsi="Arial Narrow" w:cs="Arial"/>
          <w:sz w:val="16"/>
          <w:szCs w:val="16"/>
          <w:lang w:val="lt-LT"/>
        </w:rPr>
        <w:t>, 4</w:t>
      </w:r>
      <w:r w:rsidRPr="005D5B36">
        <w:rPr>
          <w:rFonts w:ascii="Arial Narrow" w:hAnsi="Arial Narrow" w:cs="Arial"/>
          <w:sz w:val="16"/>
          <w:szCs w:val="16"/>
          <w:vertAlign w:val="superscript"/>
          <w:lang w:val="lt-LT"/>
        </w:rPr>
        <w:t>th</w:t>
      </w:r>
      <w:r w:rsidRPr="005D5B36">
        <w:rPr>
          <w:rFonts w:ascii="Arial Narrow" w:hAnsi="Arial Narrow" w:cs="Arial"/>
          <w:sz w:val="16"/>
          <w:szCs w:val="16"/>
          <w:lang w:val="lt-LT"/>
        </w:rPr>
        <w:t xml:space="preserve"> ed., London, Churchill Livingstone. </w:t>
      </w:r>
    </w:p>
    <w:p w:rsidR="005D5B36" w:rsidRPr="005D5B36" w:rsidRDefault="005D5B36" w:rsidP="005D5B36">
      <w:pPr>
        <w:widowControl w:val="0"/>
        <w:numPr>
          <w:ilvl w:val="0"/>
          <w:numId w:val="6"/>
        </w:numPr>
        <w:tabs>
          <w:tab w:val="clear" w:pos="720"/>
          <w:tab w:val="num" w:pos="280"/>
        </w:tabs>
        <w:overflowPunct w:val="0"/>
        <w:autoSpaceDE w:val="0"/>
        <w:autoSpaceDN w:val="0"/>
        <w:adjustRightInd w:val="0"/>
        <w:ind w:left="280" w:hanging="204"/>
        <w:jc w:val="both"/>
        <w:rPr>
          <w:rFonts w:ascii="Arial Narrow" w:hAnsi="Arial Narrow" w:cs="Arial"/>
          <w:sz w:val="16"/>
          <w:szCs w:val="16"/>
          <w:lang w:val="lt-LT"/>
        </w:rPr>
      </w:pPr>
      <w:r w:rsidRPr="005D5B36">
        <w:rPr>
          <w:rFonts w:ascii="Arial Narrow" w:hAnsi="Arial Narrow" w:cs="Arial"/>
          <w:sz w:val="16"/>
          <w:szCs w:val="16"/>
          <w:lang w:val="lt-LT"/>
        </w:rPr>
        <w:t xml:space="preserve">Garcia, L. S. (2001): </w:t>
      </w:r>
      <w:r w:rsidRPr="005D5B36">
        <w:rPr>
          <w:rFonts w:ascii="Arial Narrow" w:hAnsi="Arial Narrow" w:cs="Arial"/>
          <w:i/>
          <w:iCs/>
          <w:sz w:val="16"/>
          <w:szCs w:val="16"/>
          <w:lang w:val="lt-LT"/>
        </w:rPr>
        <w:t>Diagnostic Medical Parasitology</w:t>
      </w:r>
      <w:r w:rsidRPr="005D5B36">
        <w:rPr>
          <w:rFonts w:ascii="Arial Narrow" w:hAnsi="Arial Narrow" w:cs="Arial"/>
          <w:sz w:val="16"/>
          <w:szCs w:val="16"/>
          <w:lang w:val="lt-LT"/>
        </w:rPr>
        <w:t>, 4</w:t>
      </w:r>
      <w:r w:rsidRPr="005D5B36">
        <w:rPr>
          <w:rFonts w:ascii="Arial Narrow" w:hAnsi="Arial Narrow" w:cs="Arial"/>
          <w:sz w:val="16"/>
          <w:szCs w:val="16"/>
          <w:vertAlign w:val="superscript"/>
          <w:lang w:val="lt-LT"/>
        </w:rPr>
        <w:t>th</w:t>
      </w:r>
      <w:r w:rsidRPr="005D5B36">
        <w:rPr>
          <w:rFonts w:ascii="Arial Narrow" w:hAnsi="Arial Narrow" w:cs="Arial"/>
          <w:sz w:val="16"/>
          <w:szCs w:val="16"/>
          <w:lang w:val="lt-LT"/>
        </w:rPr>
        <w:t xml:space="preserve"> ed., Washington, D.C., ASM Press. </w:t>
      </w:r>
    </w:p>
    <w:p w:rsidR="005D5B36" w:rsidRPr="005D5B36" w:rsidRDefault="005D5B36" w:rsidP="005D5B36">
      <w:pPr>
        <w:widowControl w:val="0"/>
        <w:numPr>
          <w:ilvl w:val="0"/>
          <w:numId w:val="6"/>
        </w:numPr>
        <w:tabs>
          <w:tab w:val="clear" w:pos="720"/>
          <w:tab w:val="num" w:pos="280"/>
        </w:tabs>
        <w:overflowPunct w:val="0"/>
        <w:autoSpaceDE w:val="0"/>
        <w:autoSpaceDN w:val="0"/>
        <w:adjustRightInd w:val="0"/>
        <w:ind w:left="280" w:hanging="204"/>
        <w:jc w:val="both"/>
        <w:rPr>
          <w:rFonts w:ascii="Arial Narrow" w:hAnsi="Arial Narrow" w:cs="Arial"/>
          <w:sz w:val="16"/>
          <w:szCs w:val="16"/>
          <w:lang w:val="lt-LT"/>
        </w:rPr>
      </w:pPr>
      <w:r w:rsidRPr="005D5B36">
        <w:rPr>
          <w:rFonts w:ascii="Arial Narrow" w:hAnsi="Arial Narrow" w:cs="Arial"/>
          <w:sz w:val="16"/>
          <w:szCs w:val="16"/>
          <w:lang w:val="lt-LT"/>
        </w:rPr>
        <w:t xml:space="preserve">Giemsa, G. (1922): Das Wesen der Giemsa-Farbung, </w:t>
      </w:r>
      <w:r w:rsidRPr="005D5B36">
        <w:rPr>
          <w:rFonts w:ascii="Arial Narrow" w:hAnsi="Arial Narrow" w:cs="Arial"/>
          <w:i/>
          <w:iCs/>
          <w:sz w:val="16"/>
          <w:szCs w:val="16"/>
          <w:lang w:val="lt-LT"/>
        </w:rPr>
        <w:t>Zentralb f Bakt</w:t>
      </w:r>
      <w:r w:rsidRPr="005D5B36">
        <w:rPr>
          <w:rFonts w:ascii="Arial Narrow" w:hAnsi="Arial Narrow" w:cs="Arial"/>
          <w:sz w:val="16"/>
          <w:szCs w:val="16"/>
          <w:lang w:val="lt-LT"/>
        </w:rPr>
        <w:t xml:space="preserve">; 89, p 99-106 </w:t>
      </w:r>
    </w:p>
    <w:p w:rsidR="005D5B36" w:rsidRPr="005D5B36" w:rsidRDefault="005D5B36" w:rsidP="005D5B36">
      <w:pPr>
        <w:widowControl w:val="0"/>
        <w:numPr>
          <w:ilvl w:val="0"/>
          <w:numId w:val="6"/>
        </w:numPr>
        <w:tabs>
          <w:tab w:val="clear" w:pos="720"/>
          <w:tab w:val="num" w:pos="280"/>
        </w:tabs>
        <w:overflowPunct w:val="0"/>
        <w:autoSpaceDE w:val="0"/>
        <w:autoSpaceDN w:val="0"/>
        <w:adjustRightInd w:val="0"/>
        <w:ind w:left="280" w:hanging="204"/>
        <w:jc w:val="both"/>
        <w:rPr>
          <w:rFonts w:ascii="Arial Narrow" w:hAnsi="Arial Narrow" w:cs="Arial"/>
          <w:sz w:val="16"/>
          <w:szCs w:val="16"/>
          <w:lang w:val="lt-LT"/>
        </w:rPr>
      </w:pPr>
      <w:r w:rsidRPr="005D5B36">
        <w:rPr>
          <w:rFonts w:ascii="Arial Narrow" w:hAnsi="Arial Narrow" w:cs="Arial"/>
          <w:sz w:val="16"/>
          <w:szCs w:val="16"/>
          <w:lang w:val="lt-LT"/>
        </w:rPr>
        <w:t xml:space="preserve">Kiernan, J.A. (2008): </w:t>
      </w:r>
      <w:r w:rsidRPr="005D5B36">
        <w:rPr>
          <w:rFonts w:ascii="Arial Narrow" w:hAnsi="Arial Narrow" w:cs="Arial"/>
          <w:i/>
          <w:iCs/>
          <w:sz w:val="16"/>
          <w:szCs w:val="16"/>
          <w:lang w:val="lt-LT"/>
        </w:rPr>
        <w:t>Histological and histochemical methods: Theory and Practice,</w:t>
      </w:r>
      <w:r w:rsidRPr="005D5B36">
        <w:rPr>
          <w:rFonts w:ascii="Arial Narrow" w:hAnsi="Arial Narrow" w:cs="Arial"/>
          <w:sz w:val="16"/>
          <w:szCs w:val="16"/>
          <w:lang w:val="lt-LT"/>
        </w:rPr>
        <w:t xml:space="preserve"> 4</w:t>
      </w:r>
      <w:r w:rsidRPr="005D5B36">
        <w:rPr>
          <w:rFonts w:ascii="Arial Narrow" w:hAnsi="Arial Narrow" w:cs="Arial"/>
          <w:sz w:val="16"/>
          <w:szCs w:val="16"/>
          <w:vertAlign w:val="superscript"/>
          <w:lang w:val="lt-LT"/>
        </w:rPr>
        <w:t>th</w:t>
      </w:r>
      <w:r w:rsidRPr="005D5B36">
        <w:rPr>
          <w:rFonts w:ascii="Arial Narrow" w:hAnsi="Arial Narrow" w:cs="Arial"/>
          <w:sz w:val="16"/>
          <w:szCs w:val="16"/>
          <w:lang w:val="lt-LT"/>
        </w:rPr>
        <w:t xml:space="preserve"> ed., Bloxham, Scion Publishing Ltd. </w:t>
      </w:r>
    </w:p>
    <w:p w:rsidR="005D5B36" w:rsidRPr="005D5B36" w:rsidRDefault="005D5B36" w:rsidP="005D5B36">
      <w:pPr>
        <w:widowControl w:val="0"/>
        <w:numPr>
          <w:ilvl w:val="0"/>
          <w:numId w:val="6"/>
        </w:numPr>
        <w:tabs>
          <w:tab w:val="clear" w:pos="720"/>
          <w:tab w:val="num" w:pos="280"/>
        </w:tabs>
        <w:overflowPunct w:val="0"/>
        <w:autoSpaceDE w:val="0"/>
        <w:autoSpaceDN w:val="0"/>
        <w:adjustRightInd w:val="0"/>
        <w:ind w:left="280" w:hanging="204"/>
        <w:jc w:val="both"/>
        <w:rPr>
          <w:rFonts w:ascii="Arial Narrow" w:hAnsi="Arial Narrow" w:cs="Arial"/>
          <w:sz w:val="16"/>
          <w:szCs w:val="16"/>
          <w:lang w:val="lt-LT"/>
        </w:rPr>
      </w:pPr>
      <w:r w:rsidRPr="005D5B36">
        <w:rPr>
          <w:rFonts w:ascii="Arial Narrow" w:hAnsi="Arial Narrow" w:cs="Arial"/>
          <w:sz w:val="16"/>
          <w:szCs w:val="16"/>
          <w:lang w:val="lt-LT"/>
        </w:rPr>
        <w:t xml:space="preserve">May, R. et Grünwald L. (1909): </w:t>
      </w:r>
      <w:r w:rsidRPr="005D5B36">
        <w:rPr>
          <w:rFonts w:ascii="Arial Narrow" w:hAnsi="Arial Narrow" w:cs="Arial"/>
          <w:i/>
          <w:iCs/>
          <w:sz w:val="16"/>
          <w:szCs w:val="16"/>
          <w:lang w:val="lt-LT"/>
        </w:rPr>
        <w:t>Über die Farbung von Feutchpraparaten mit meiner Azur-Eosine methode,</w:t>
      </w:r>
      <w:r w:rsidRPr="005D5B36">
        <w:rPr>
          <w:rFonts w:ascii="Arial Narrow" w:hAnsi="Arial Narrow" w:cs="Arial"/>
          <w:sz w:val="16"/>
          <w:szCs w:val="16"/>
          <w:lang w:val="lt-LT"/>
        </w:rPr>
        <w:t xml:space="preserve"> Deutsche med Xschr, 35, p 1751-1752 </w:t>
      </w:r>
    </w:p>
    <w:p w:rsidR="005D5B36" w:rsidRPr="005D5B36" w:rsidRDefault="005D5B36" w:rsidP="005D5B36">
      <w:pPr>
        <w:widowControl w:val="0"/>
        <w:autoSpaceDE w:val="0"/>
        <w:autoSpaceDN w:val="0"/>
        <w:adjustRightInd w:val="0"/>
        <w:rPr>
          <w:rFonts w:ascii="Arial Narrow" w:hAnsi="Arial Narrow" w:cs="Arial"/>
          <w:sz w:val="18"/>
          <w:szCs w:val="18"/>
          <w:lang w:val="lt-LT"/>
        </w:rPr>
      </w:pPr>
    </w:p>
    <w:p w:rsidR="005D5B36" w:rsidRPr="005D5B36" w:rsidRDefault="005D5B36" w:rsidP="005D5B36">
      <w:pPr>
        <w:widowControl w:val="0"/>
        <w:autoSpaceDE w:val="0"/>
        <w:autoSpaceDN w:val="0"/>
        <w:adjustRightInd w:val="0"/>
        <w:rPr>
          <w:rFonts w:ascii="Arial Narrow" w:hAnsi="Arial Narrow" w:cs="Arial"/>
          <w:sz w:val="18"/>
          <w:szCs w:val="18"/>
          <w:lang w:val="lt-LT"/>
        </w:rPr>
      </w:pPr>
      <w:r w:rsidRPr="005D5B36">
        <w:rPr>
          <w:rFonts w:ascii="Arial Narrow" w:hAnsi="Arial Narrow" w:cs="Arial"/>
          <w:sz w:val="18"/>
          <w:szCs w:val="18"/>
          <w:lang w:val="lt-LT"/>
        </w:rPr>
        <w:t>Instrukcijos MG-OT-100  MG-OT-110  MG-OT-500  MG-OT-1L  MG-OT-2.5L, 4 versija, 2014 m. sausio 16 d. Patvirtino: VR</w:t>
      </w:r>
    </w:p>
    <w:p w:rsidR="005D5B36" w:rsidRPr="005D5B36" w:rsidRDefault="005D5B36">
      <w:pPr>
        <w:widowControl w:val="0"/>
        <w:autoSpaceDE w:val="0"/>
        <w:autoSpaceDN w:val="0"/>
        <w:adjustRightInd w:val="0"/>
        <w:spacing w:line="48" w:lineRule="exact"/>
        <w:rPr>
          <w:rFonts w:ascii="Arial Narrow" w:hAnsi="Arial Narrow" w:cs="Arial"/>
          <w:lang w:val="lt-LT"/>
        </w:rPr>
      </w:pPr>
    </w:p>
    <w:p w:rsidR="005D5B36" w:rsidRPr="005D5B36" w:rsidRDefault="005D5B36">
      <w:pPr>
        <w:widowControl w:val="0"/>
        <w:autoSpaceDE w:val="0"/>
        <w:autoSpaceDN w:val="0"/>
        <w:adjustRightInd w:val="0"/>
        <w:spacing w:line="1" w:lineRule="exact"/>
        <w:rPr>
          <w:rFonts w:ascii="Arial Narrow" w:hAnsi="Arial Narrow" w:cs="Arial"/>
          <w:sz w:val="2"/>
          <w:szCs w:val="2"/>
          <w:lang w:val="lt-LT"/>
        </w:rPr>
      </w:pPr>
    </w:p>
    <w:tbl>
      <w:tblPr>
        <w:tblStyle w:val="TableGrid"/>
        <w:tblW w:w="9896" w:type="dxa"/>
        <w:tblLayout w:type="fixed"/>
        <w:tblLook w:val="01E0" w:firstRow="1" w:lastRow="1" w:firstColumn="1" w:lastColumn="1" w:noHBand="0" w:noVBand="0"/>
      </w:tblPr>
      <w:tblGrid>
        <w:gridCol w:w="440"/>
        <w:gridCol w:w="1088"/>
        <w:gridCol w:w="244"/>
        <w:gridCol w:w="468"/>
        <w:gridCol w:w="962"/>
        <w:gridCol w:w="244"/>
        <w:gridCol w:w="500"/>
        <w:gridCol w:w="1000"/>
        <w:gridCol w:w="244"/>
        <w:gridCol w:w="447"/>
        <w:gridCol w:w="639"/>
        <w:gridCol w:w="244"/>
        <w:gridCol w:w="251"/>
        <w:gridCol w:w="691"/>
        <w:gridCol w:w="358"/>
        <w:gridCol w:w="1260"/>
        <w:gridCol w:w="816"/>
      </w:tblGrid>
      <w:tr w:rsidR="005D5B36" w:rsidRPr="005D5B36" w:rsidTr="005D5B36">
        <w:tc>
          <w:tcPr>
            <w:tcW w:w="440"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14287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p>
        </w:tc>
        <w:tc>
          <w:tcPr>
            <w:tcW w:w="1088"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Žr. pateiktą dokumentaciją</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468"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15240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tc>
        <w:tc>
          <w:tcPr>
            <w:tcW w:w="962"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Laikymo temperatūros diapazonas</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500"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1619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p>
        </w:tc>
        <w:tc>
          <w:tcPr>
            <w:tcW w:w="1000"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Testų skaičius pakuotėje</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447"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21907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p>
        </w:tc>
        <w:tc>
          <w:tcPr>
            <w:tcW w:w="639"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Gaminio kodas</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251" w:type="dxa"/>
            <w:vAlign w:val="center"/>
          </w:tcPr>
          <w:p w:rsidR="005D5B36" w:rsidRPr="005D5B36" w:rsidRDefault="00FD5D66" w:rsidP="005D5B36">
            <w:pPr>
              <w:ind w:left="-141"/>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142875" cy="11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p>
        </w:tc>
        <w:tc>
          <w:tcPr>
            <w:tcW w:w="691" w:type="dxa"/>
            <w:tcBorders>
              <w:right w:val="single" w:sz="4" w:space="0" w:color="auto"/>
            </w:tcBorders>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Europos atitiktis</w:t>
            </w:r>
          </w:p>
        </w:tc>
        <w:tc>
          <w:tcPr>
            <w:tcW w:w="358" w:type="dxa"/>
            <w:vMerge w:val="restart"/>
            <w:tcBorders>
              <w:top w:val="nil"/>
              <w:left w:val="single" w:sz="4" w:space="0" w:color="auto"/>
              <w:bottom w:val="nil"/>
              <w:right w:val="nil"/>
            </w:tcBorders>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15240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p>
        </w:tc>
        <w:tc>
          <w:tcPr>
            <w:tcW w:w="1260" w:type="dxa"/>
            <w:vMerge w:val="restart"/>
            <w:tcBorders>
              <w:top w:val="nil"/>
              <w:left w:val="nil"/>
              <w:right w:val="nil"/>
            </w:tcBorders>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 xml:space="preserve">BIOGNOST Ltd. </w:t>
            </w:r>
          </w:p>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 xml:space="preserve">Medjugorska 59 </w:t>
            </w:r>
          </w:p>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 xml:space="preserve">10040 Zagreb </w:t>
            </w:r>
          </w:p>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 xml:space="preserve">CROATIA </w:t>
            </w:r>
          </w:p>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 xml:space="preserve">www.biognost.com </w:t>
            </w:r>
          </w:p>
        </w:tc>
        <w:tc>
          <w:tcPr>
            <w:tcW w:w="816" w:type="dxa"/>
            <w:tcBorders>
              <w:top w:val="nil"/>
              <w:left w:val="nil"/>
              <w:bottom w:val="nil"/>
              <w:right w:val="nil"/>
            </w:tcBorders>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26670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p>
        </w:tc>
      </w:tr>
      <w:tr w:rsidR="005D5B36" w:rsidRPr="005D5B36" w:rsidTr="005D5B36">
        <w:tc>
          <w:tcPr>
            <w:tcW w:w="440"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200025" cy="13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33350"/>
                          </a:xfrm>
                          <a:prstGeom prst="rect">
                            <a:avLst/>
                          </a:prstGeom>
                          <a:noFill/>
                          <a:ln>
                            <a:noFill/>
                          </a:ln>
                        </pic:spPr>
                      </pic:pic>
                    </a:graphicData>
                  </a:graphic>
                </wp:inline>
              </w:drawing>
            </w:r>
          </w:p>
        </w:tc>
        <w:tc>
          <w:tcPr>
            <w:tcW w:w="1088"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Žr. pateiktą instrukciją</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468"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152400"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tc>
        <w:tc>
          <w:tcPr>
            <w:tcW w:w="962"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Saugoti nuo karščio ir saulės šviesos.</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500"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161925" cy="190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p>
        </w:tc>
        <w:tc>
          <w:tcPr>
            <w:tcW w:w="1000"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Taikoma imtinai nuo</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447"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228600" cy="142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p>
        </w:tc>
        <w:tc>
          <w:tcPr>
            <w:tcW w:w="639"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Partijos numeris</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251" w:type="dxa"/>
            <w:vAlign w:val="center"/>
          </w:tcPr>
          <w:p w:rsidR="005D5B36" w:rsidRPr="005D5B36" w:rsidRDefault="00FD5D66" w:rsidP="005D5B36">
            <w:pPr>
              <w:ind w:left="-141"/>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152400" cy="133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p>
        </w:tc>
        <w:tc>
          <w:tcPr>
            <w:tcW w:w="691" w:type="dxa"/>
            <w:tcBorders>
              <w:right w:val="single" w:sz="4" w:space="0" w:color="auto"/>
            </w:tcBorders>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Gamintojas</w:t>
            </w:r>
          </w:p>
        </w:tc>
        <w:tc>
          <w:tcPr>
            <w:tcW w:w="358" w:type="dxa"/>
            <w:vMerge/>
            <w:tcBorders>
              <w:top w:val="nil"/>
              <w:left w:val="single" w:sz="4" w:space="0" w:color="auto"/>
              <w:bottom w:val="nil"/>
              <w:right w:val="nil"/>
            </w:tcBorders>
            <w:vAlign w:val="center"/>
          </w:tcPr>
          <w:p w:rsidR="005D5B36" w:rsidRPr="005D5B36" w:rsidRDefault="005D5B36" w:rsidP="005D5B36">
            <w:pPr>
              <w:rPr>
                <w:rFonts w:ascii="Arial Narrow" w:hAnsi="Arial Narrow" w:cs="Arial"/>
                <w:sz w:val="12"/>
                <w:szCs w:val="12"/>
                <w:lang w:val="lt-LT"/>
              </w:rPr>
            </w:pPr>
          </w:p>
        </w:tc>
        <w:tc>
          <w:tcPr>
            <w:tcW w:w="1260" w:type="dxa"/>
            <w:vMerge/>
            <w:tcBorders>
              <w:left w:val="nil"/>
              <w:right w:val="nil"/>
            </w:tcBorders>
            <w:vAlign w:val="center"/>
          </w:tcPr>
          <w:p w:rsidR="005D5B36" w:rsidRPr="005D5B36" w:rsidRDefault="005D5B36" w:rsidP="005D5B36">
            <w:pPr>
              <w:rPr>
                <w:rFonts w:ascii="Arial Narrow" w:hAnsi="Arial Narrow" w:cs="Arial"/>
                <w:sz w:val="12"/>
                <w:szCs w:val="12"/>
                <w:lang w:val="lt-LT"/>
              </w:rPr>
            </w:pPr>
          </w:p>
        </w:tc>
        <w:tc>
          <w:tcPr>
            <w:tcW w:w="816" w:type="dxa"/>
            <w:tcBorders>
              <w:top w:val="nil"/>
              <w:left w:val="nil"/>
              <w:bottom w:val="nil"/>
              <w:right w:val="nil"/>
            </w:tcBorders>
          </w:tcPr>
          <w:p w:rsidR="005D5B36" w:rsidRPr="005D5B36" w:rsidRDefault="005D5B36" w:rsidP="005D5B36">
            <w:pPr>
              <w:rPr>
                <w:rFonts w:ascii="Arial Narrow" w:hAnsi="Arial Narrow" w:cs="Arial"/>
                <w:sz w:val="12"/>
                <w:szCs w:val="12"/>
                <w:lang w:val="lt-LT"/>
              </w:rPr>
            </w:pPr>
          </w:p>
        </w:tc>
      </w:tr>
      <w:tr w:rsidR="005D5B36" w:rsidRPr="005D5B36" w:rsidTr="005D5B36">
        <w:tc>
          <w:tcPr>
            <w:tcW w:w="440"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161925" cy="85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85725"/>
                          </a:xfrm>
                          <a:prstGeom prst="rect">
                            <a:avLst/>
                          </a:prstGeom>
                          <a:noFill/>
                          <a:ln>
                            <a:noFill/>
                          </a:ln>
                        </pic:spPr>
                      </pic:pic>
                    </a:graphicData>
                  </a:graphic>
                </wp:inline>
              </w:drawing>
            </w:r>
          </w:p>
        </w:tc>
        <w:tc>
          <w:tcPr>
            <w:tcW w:w="1088"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Diagnostiniam naudojimui</w:t>
            </w:r>
            <w:r w:rsidRPr="005D5B36">
              <w:rPr>
                <w:rFonts w:ascii="Arial Narrow" w:hAnsi="Arial Narrow" w:cs="Arial"/>
                <w:i/>
                <w:iCs/>
                <w:sz w:val="12"/>
                <w:szCs w:val="12"/>
                <w:lang w:val="lt-LT"/>
              </w:rPr>
              <w:t xml:space="preserve"> in vitro</w:t>
            </w:r>
            <w:r w:rsidRPr="005D5B36">
              <w:rPr>
                <w:rFonts w:ascii="Arial Narrow" w:hAnsi="Arial Narrow" w:cs="Arial"/>
                <w:sz w:val="12"/>
                <w:szCs w:val="12"/>
                <w:lang w:val="lt-LT"/>
              </w:rPr>
              <w:t>.</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468"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152400" cy="123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p>
        </w:tc>
        <w:tc>
          <w:tcPr>
            <w:tcW w:w="962"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Laikyti sausoje vietoje</w:t>
            </w:r>
          </w:p>
        </w:tc>
        <w:tc>
          <w:tcPr>
            <w:tcW w:w="244" w:type="dxa"/>
            <w:tcBorders>
              <w:top w:val="nil"/>
              <w:bottom w:val="nil"/>
            </w:tcBorders>
            <w:vAlign w:val="center"/>
          </w:tcPr>
          <w:p w:rsidR="005D5B36" w:rsidRPr="005D5B36" w:rsidRDefault="005D5B36" w:rsidP="005D5B36">
            <w:pPr>
              <w:rPr>
                <w:rFonts w:ascii="Arial Narrow" w:hAnsi="Arial Narrow" w:cs="Arial"/>
                <w:sz w:val="12"/>
                <w:szCs w:val="12"/>
                <w:lang w:val="lt-LT"/>
              </w:rPr>
            </w:pPr>
          </w:p>
        </w:tc>
        <w:tc>
          <w:tcPr>
            <w:tcW w:w="500" w:type="dxa"/>
            <w:vAlign w:val="center"/>
          </w:tcPr>
          <w:p w:rsidR="005D5B36" w:rsidRPr="005D5B36" w:rsidRDefault="00FD5D66" w:rsidP="005D5B36">
            <w:pPr>
              <w:rPr>
                <w:rFonts w:ascii="Arial Narrow" w:hAnsi="Arial Narrow" w:cs="Arial"/>
                <w:sz w:val="12"/>
                <w:szCs w:val="12"/>
                <w:lang w:val="lt-LT"/>
              </w:rPr>
            </w:pPr>
            <w:r w:rsidRPr="005D5B36">
              <w:rPr>
                <w:rFonts w:ascii="Arial Narrow" w:hAnsi="Arial Narrow" w:cs="Arial"/>
                <w:noProof/>
                <w:sz w:val="12"/>
                <w:szCs w:val="12"/>
                <w:lang w:val="en-GB" w:eastAsia="en-GB"/>
              </w:rPr>
              <w:drawing>
                <wp:inline distT="0" distB="0" distL="0" distR="0">
                  <wp:extent cx="142875" cy="190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000" w:type="dxa"/>
            <w:vAlign w:val="center"/>
          </w:tcPr>
          <w:p w:rsidR="005D5B36" w:rsidRPr="005D5B36" w:rsidRDefault="005D5B36" w:rsidP="005D5B36">
            <w:pPr>
              <w:rPr>
                <w:rFonts w:ascii="Arial Narrow" w:hAnsi="Arial Narrow" w:cs="Arial"/>
                <w:sz w:val="12"/>
                <w:szCs w:val="12"/>
                <w:lang w:val="lt-LT"/>
              </w:rPr>
            </w:pPr>
            <w:r w:rsidRPr="005D5B36">
              <w:rPr>
                <w:rFonts w:ascii="Arial Narrow" w:hAnsi="Arial Narrow" w:cs="Arial"/>
                <w:sz w:val="12"/>
                <w:szCs w:val="12"/>
                <w:lang w:val="lt-LT"/>
              </w:rPr>
              <w:t>Dėmesio – gaminys trapus</w:t>
            </w:r>
          </w:p>
        </w:tc>
        <w:tc>
          <w:tcPr>
            <w:tcW w:w="244" w:type="dxa"/>
            <w:tcBorders>
              <w:top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447" w:type="dxa"/>
            <w:tcBorders>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639" w:type="dxa"/>
            <w:tcBorders>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244" w:type="dxa"/>
            <w:tcBorders>
              <w:top w:val="nil"/>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251" w:type="dxa"/>
            <w:tcBorders>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691" w:type="dxa"/>
            <w:tcBorders>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358" w:type="dxa"/>
            <w:tcBorders>
              <w:top w:val="nil"/>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1260" w:type="dxa"/>
            <w:vMerge/>
            <w:tcBorders>
              <w:left w:val="nil"/>
              <w:bottom w:val="nil"/>
              <w:right w:val="nil"/>
            </w:tcBorders>
            <w:vAlign w:val="center"/>
          </w:tcPr>
          <w:p w:rsidR="005D5B36" w:rsidRPr="005D5B36" w:rsidRDefault="005D5B36" w:rsidP="005D5B36">
            <w:pPr>
              <w:rPr>
                <w:rFonts w:ascii="Arial Narrow" w:hAnsi="Arial Narrow" w:cs="Arial"/>
                <w:sz w:val="12"/>
                <w:szCs w:val="12"/>
                <w:lang w:val="lt-LT"/>
              </w:rPr>
            </w:pPr>
          </w:p>
        </w:tc>
        <w:tc>
          <w:tcPr>
            <w:tcW w:w="816" w:type="dxa"/>
            <w:tcBorders>
              <w:top w:val="nil"/>
              <w:left w:val="nil"/>
              <w:bottom w:val="nil"/>
              <w:right w:val="nil"/>
            </w:tcBorders>
          </w:tcPr>
          <w:p w:rsidR="005D5B36" w:rsidRPr="005D5B36" w:rsidRDefault="005D5B36" w:rsidP="005D5B36">
            <w:pPr>
              <w:rPr>
                <w:rFonts w:ascii="Arial Narrow" w:hAnsi="Arial Narrow" w:cs="Arial"/>
                <w:sz w:val="12"/>
                <w:szCs w:val="12"/>
                <w:lang w:val="lt-LT"/>
              </w:rPr>
            </w:pPr>
          </w:p>
        </w:tc>
      </w:tr>
    </w:tbl>
    <w:p w:rsidR="005D5B36" w:rsidRPr="005D5B36" w:rsidRDefault="00FD5D66">
      <w:pPr>
        <w:widowControl w:val="0"/>
        <w:autoSpaceDE w:val="0"/>
        <w:autoSpaceDN w:val="0"/>
        <w:adjustRightInd w:val="0"/>
        <w:rPr>
          <w:rFonts w:ascii="Arial Narrow" w:hAnsi="Arial Narrow" w:cs="Arial"/>
          <w:lang w:val="lt-LT"/>
        </w:rPr>
      </w:pPr>
      <w:r w:rsidRPr="005D5B36">
        <w:rPr>
          <w:rFonts w:ascii="Arial Narrow" w:hAnsi="Arial Narrow"/>
          <w:noProof/>
          <w:lang w:val="en-GB" w:eastAsia="en-GB"/>
        </w:rPr>
        <w:drawing>
          <wp:anchor distT="0" distB="0" distL="114300" distR="114300" simplePos="0" relativeHeight="251656704" behindDoc="1" locked="0" layoutInCell="0" allowOverlap="1">
            <wp:simplePos x="0" y="0"/>
            <wp:positionH relativeFrom="column">
              <wp:posOffset>699770</wp:posOffset>
            </wp:positionH>
            <wp:positionV relativeFrom="paragraph">
              <wp:posOffset>-447675</wp:posOffset>
            </wp:positionV>
            <wp:extent cx="266065" cy="204470"/>
            <wp:effectExtent l="0" t="0" r="635" b="508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065" cy="204470"/>
                    </a:xfrm>
                    <a:prstGeom prst="rect">
                      <a:avLst/>
                    </a:prstGeom>
                    <a:noFill/>
                  </pic:spPr>
                </pic:pic>
              </a:graphicData>
            </a:graphic>
            <wp14:sizeRelH relativeFrom="page">
              <wp14:pctWidth>0</wp14:pctWidth>
            </wp14:sizeRelH>
            <wp14:sizeRelV relativeFrom="page">
              <wp14:pctHeight>0</wp14:pctHeight>
            </wp14:sizeRelV>
          </wp:anchor>
        </w:drawing>
      </w:r>
      <w:r w:rsidRPr="005D5B36">
        <w:rPr>
          <w:rFonts w:ascii="Arial Narrow" w:hAnsi="Arial Narrow"/>
          <w:noProof/>
          <w:lang w:val="en-GB" w:eastAsia="en-GB"/>
        </w:rPr>
        <w:drawing>
          <wp:anchor distT="0" distB="0" distL="114300" distR="114300" simplePos="0" relativeHeight="251657728" behindDoc="1" locked="0" layoutInCell="0" allowOverlap="1">
            <wp:simplePos x="0" y="0"/>
            <wp:positionH relativeFrom="column">
              <wp:posOffset>699770</wp:posOffset>
            </wp:positionH>
            <wp:positionV relativeFrom="paragraph">
              <wp:posOffset>-180340</wp:posOffset>
            </wp:positionV>
            <wp:extent cx="207645" cy="133350"/>
            <wp:effectExtent l="0" t="0" r="1905" b="0"/>
            <wp:wrapNone/>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645" cy="133350"/>
                    </a:xfrm>
                    <a:prstGeom prst="rect">
                      <a:avLst/>
                    </a:prstGeom>
                    <a:noFill/>
                  </pic:spPr>
                </pic:pic>
              </a:graphicData>
            </a:graphic>
            <wp14:sizeRelH relativeFrom="page">
              <wp14:pctWidth>0</wp14:pctWidth>
            </wp14:sizeRelH>
            <wp14:sizeRelV relativeFrom="page">
              <wp14:pctHeight>0</wp14:pctHeight>
            </wp14:sizeRelV>
          </wp:anchor>
        </w:drawing>
      </w:r>
      <w:r w:rsidRPr="005D5B36">
        <w:rPr>
          <w:rFonts w:ascii="Arial Narrow" w:hAnsi="Arial Narrow"/>
          <w:noProof/>
          <w:lang w:val="en-GB" w:eastAsia="en-GB"/>
        </w:rPr>
        <w:drawing>
          <wp:anchor distT="0" distB="0" distL="114300" distR="114300" simplePos="0" relativeHeight="251658752" behindDoc="1" locked="0" layoutInCell="0" allowOverlap="1">
            <wp:simplePos x="0" y="0"/>
            <wp:positionH relativeFrom="column">
              <wp:posOffset>1596390</wp:posOffset>
            </wp:positionH>
            <wp:positionV relativeFrom="paragraph">
              <wp:posOffset>-407670</wp:posOffset>
            </wp:positionV>
            <wp:extent cx="183515" cy="86360"/>
            <wp:effectExtent l="0" t="0" r="6985" b="889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515" cy="86360"/>
                    </a:xfrm>
                    <a:prstGeom prst="rect">
                      <a:avLst/>
                    </a:prstGeom>
                    <a:noFill/>
                  </pic:spPr>
                </pic:pic>
              </a:graphicData>
            </a:graphic>
            <wp14:sizeRelH relativeFrom="page">
              <wp14:pctWidth>0</wp14:pctWidth>
            </wp14:sizeRelH>
            <wp14:sizeRelV relativeFrom="page">
              <wp14:pctHeight>0</wp14:pctHeight>
            </wp14:sizeRelV>
          </wp:anchor>
        </w:drawing>
      </w:r>
    </w:p>
    <w:sectPr w:rsidR="005D5B36" w:rsidRPr="005D5B36" w:rsidSect="005D5B36">
      <w:type w:val="continuous"/>
      <w:pgSz w:w="11900" w:h="16838"/>
      <w:pgMar w:top="943" w:right="830" w:bottom="1440" w:left="1000" w:header="720" w:footer="720" w:gutter="0"/>
      <w:cols w:space="28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7DA4969E">
      <w:start w:val="1"/>
      <w:numFmt w:val="bullet"/>
      <w:lvlText w:val=""/>
      <w:lvlJc w:val="left"/>
      <w:pPr>
        <w:tabs>
          <w:tab w:val="num" w:pos="720"/>
        </w:tabs>
        <w:ind w:left="720" w:hanging="360"/>
      </w:pPr>
    </w:lvl>
    <w:lvl w:ilvl="1" w:tplc="CCE2747C">
      <w:numFmt w:val="decimal"/>
      <w:lvlText w:val=""/>
      <w:lvlJc w:val="left"/>
    </w:lvl>
    <w:lvl w:ilvl="2" w:tplc="3D7C42E6">
      <w:numFmt w:val="decimal"/>
      <w:lvlText w:val=""/>
      <w:lvlJc w:val="left"/>
    </w:lvl>
    <w:lvl w:ilvl="3" w:tplc="E3F83EA0">
      <w:numFmt w:val="decimal"/>
      <w:lvlText w:val=""/>
      <w:lvlJc w:val="left"/>
    </w:lvl>
    <w:lvl w:ilvl="4" w:tplc="F79A7D1E">
      <w:numFmt w:val="decimal"/>
      <w:lvlText w:val=""/>
      <w:lvlJc w:val="left"/>
    </w:lvl>
    <w:lvl w:ilvl="5" w:tplc="5A109FA2">
      <w:numFmt w:val="decimal"/>
      <w:lvlText w:val=""/>
      <w:lvlJc w:val="left"/>
    </w:lvl>
    <w:lvl w:ilvl="6" w:tplc="7F0C916E">
      <w:numFmt w:val="decimal"/>
      <w:lvlText w:val=""/>
      <w:lvlJc w:val="left"/>
    </w:lvl>
    <w:lvl w:ilvl="7" w:tplc="C278F820">
      <w:numFmt w:val="decimal"/>
      <w:lvlText w:val=""/>
      <w:lvlJc w:val="left"/>
    </w:lvl>
    <w:lvl w:ilvl="8" w:tplc="7FB0E1D8">
      <w:numFmt w:val="decimal"/>
      <w:lvlText w:val=""/>
      <w:lvlJc w:val="left"/>
    </w:lvl>
  </w:abstractNum>
  <w:abstractNum w:abstractNumId="1" w15:restartNumberingAfterBreak="0">
    <w:nsid w:val="000001EB"/>
    <w:multiLevelType w:val="hybridMultilevel"/>
    <w:tmpl w:val="00000BB3"/>
    <w:lvl w:ilvl="0" w:tplc="6998680C">
      <w:start w:val="1"/>
      <w:numFmt w:val="decimal"/>
      <w:lvlText w:val="%1."/>
      <w:lvlJc w:val="left"/>
      <w:pPr>
        <w:tabs>
          <w:tab w:val="num" w:pos="720"/>
        </w:tabs>
        <w:ind w:left="720" w:hanging="360"/>
      </w:pPr>
    </w:lvl>
    <w:lvl w:ilvl="1" w:tplc="07B045A8">
      <w:numFmt w:val="decimal"/>
      <w:lvlText w:val=""/>
      <w:lvlJc w:val="left"/>
    </w:lvl>
    <w:lvl w:ilvl="2" w:tplc="9D765CAC">
      <w:numFmt w:val="decimal"/>
      <w:lvlText w:val=""/>
      <w:lvlJc w:val="left"/>
    </w:lvl>
    <w:lvl w:ilvl="3" w:tplc="A0C2C820">
      <w:numFmt w:val="decimal"/>
      <w:lvlText w:val=""/>
      <w:lvlJc w:val="left"/>
    </w:lvl>
    <w:lvl w:ilvl="4" w:tplc="17986916">
      <w:numFmt w:val="decimal"/>
      <w:lvlText w:val=""/>
      <w:lvlJc w:val="left"/>
    </w:lvl>
    <w:lvl w:ilvl="5" w:tplc="02468684">
      <w:numFmt w:val="decimal"/>
      <w:lvlText w:val=""/>
      <w:lvlJc w:val="left"/>
    </w:lvl>
    <w:lvl w:ilvl="6" w:tplc="126E41F4">
      <w:numFmt w:val="decimal"/>
      <w:lvlText w:val=""/>
      <w:lvlJc w:val="left"/>
    </w:lvl>
    <w:lvl w:ilvl="7" w:tplc="C05E6C6C">
      <w:numFmt w:val="decimal"/>
      <w:lvlText w:val=""/>
      <w:lvlJc w:val="left"/>
    </w:lvl>
    <w:lvl w:ilvl="8" w:tplc="04FC805A">
      <w:numFmt w:val="decimal"/>
      <w:lvlText w:val=""/>
      <w:lvlJc w:val="left"/>
    </w:lvl>
  </w:abstractNum>
  <w:abstractNum w:abstractNumId="2" w15:restartNumberingAfterBreak="0">
    <w:nsid w:val="00002CD6"/>
    <w:multiLevelType w:val="hybridMultilevel"/>
    <w:tmpl w:val="000072AE"/>
    <w:lvl w:ilvl="0" w:tplc="92622D32">
      <w:start w:val="1"/>
      <w:numFmt w:val="bullet"/>
      <w:lvlText w:val=""/>
      <w:lvlJc w:val="left"/>
      <w:pPr>
        <w:tabs>
          <w:tab w:val="num" w:pos="720"/>
        </w:tabs>
        <w:ind w:left="720" w:hanging="360"/>
      </w:pPr>
    </w:lvl>
    <w:lvl w:ilvl="1" w:tplc="3662DA4A">
      <w:numFmt w:val="decimal"/>
      <w:lvlText w:val=""/>
      <w:lvlJc w:val="left"/>
    </w:lvl>
    <w:lvl w:ilvl="2" w:tplc="D56AC370">
      <w:numFmt w:val="decimal"/>
      <w:lvlText w:val=""/>
      <w:lvlJc w:val="left"/>
    </w:lvl>
    <w:lvl w:ilvl="3" w:tplc="40880226">
      <w:numFmt w:val="decimal"/>
      <w:lvlText w:val=""/>
      <w:lvlJc w:val="left"/>
    </w:lvl>
    <w:lvl w:ilvl="4" w:tplc="EEF82E2C">
      <w:numFmt w:val="decimal"/>
      <w:lvlText w:val=""/>
      <w:lvlJc w:val="left"/>
    </w:lvl>
    <w:lvl w:ilvl="5" w:tplc="C0C270EA">
      <w:numFmt w:val="decimal"/>
      <w:lvlText w:val=""/>
      <w:lvlJc w:val="left"/>
    </w:lvl>
    <w:lvl w:ilvl="6" w:tplc="3EEC4FEA">
      <w:numFmt w:val="decimal"/>
      <w:lvlText w:val=""/>
      <w:lvlJc w:val="left"/>
    </w:lvl>
    <w:lvl w:ilvl="7" w:tplc="241A5258">
      <w:numFmt w:val="decimal"/>
      <w:lvlText w:val=""/>
      <w:lvlJc w:val="left"/>
    </w:lvl>
    <w:lvl w:ilvl="8" w:tplc="71AC7734">
      <w:numFmt w:val="decimal"/>
      <w:lvlText w:val=""/>
      <w:lvlJc w:val="left"/>
    </w:lvl>
  </w:abstractNum>
  <w:abstractNum w:abstractNumId="3" w15:restartNumberingAfterBreak="0">
    <w:nsid w:val="00005AF1"/>
    <w:multiLevelType w:val="hybridMultilevel"/>
    <w:tmpl w:val="000041BB"/>
    <w:lvl w:ilvl="0" w:tplc="D5723332">
      <w:start w:val="1"/>
      <w:numFmt w:val="bullet"/>
      <w:lvlText w:val=""/>
      <w:lvlJc w:val="left"/>
      <w:pPr>
        <w:tabs>
          <w:tab w:val="num" w:pos="720"/>
        </w:tabs>
        <w:ind w:left="720" w:hanging="360"/>
      </w:pPr>
    </w:lvl>
    <w:lvl w:ilvl="1" w:tplc="51187A3A">
      <w:numFmt w:val="decimal"/>
      <w:lvlText w:val=""/>
      <w:lvlJc w:val="left"/>
    </w:lvl>
    <w:lvl w:ilvl="2" w:tplc="88084142">
      <w:numFmt w:val="decimal"/>
      <w:lvlText w:val=""/>
      <w:lvlJc w:val="left"/>
    </w:lvl>
    <w:lvl w:ilvl="3" w:tplc="FB6C0F0E">
      <w:numFmt w:val="decimal"/>
      <w:lvlText w:val=""/>
      <w:lvlJc w:val="left"/>
    </w:lvl>
    <w:lvl w:ilvl="4" w:tplc="EFD8B64C">
      <w:numFmt w:val="decimal"/>
      <w:lvlText w:val=""/>
      <w:lvlJc w:val="left"/>
    </w:lvl>
    <w:lvl w:ilvl="5" w:tplc="34621C7C">
      <w:numFmt w:val="decimal"/>
      <w:lvlText w:val=""/>
      <w:lvlJc w:val="left"/>
    </w:lvl>
    <w:lvl w:ilvl="6" w:tplc="0F7EDAF2">
      <w:numFmt w:val="decimal"/>
      <w:lvlText w:val=""/>
      <w:lvlJc w:val="left"/>
    </w:lvl>
    <w:lvl w:ilvl="7" w:tplc="145C89AE">
      <w:numFmt w:val="decimal"/>
      <w:lvlText w:val=""/>
      <w:lvlJc w:val="left"/>
    </w:lvl>
    <w:lvl w:ilvl="8" w:tplc="65E0D4EC">
      <w:numFmt w:val="decimal"/>
      <w:lvlText w:val=""/>
      <w:lvlJc w:val="left"/>
    </w:lvl>
  </w:abstractNum>
  <w:abstractNum w:abstractNumId="4" w15:restartNumberingAfterBreak="0">
    <w:nsid w:val="00005F90"/>
    <w:multiLevelType w:val="hybridMultilevel"/>
    <w:tmpl w:val="00001649"/>
    <w:lvl w:ilvl="0" w:tplc="85E2D7BC">
      <w:start w:val="1"/>
      <w:numFmt w:val="bullet"/>
      <w:lvlText w:val=""/>
      <w:lvlJc w:val="left"/>
      <w:pPr>
        <w:tabs>
          <w:tab w:val="num" w:pos="720"/>
        </w:tabs>
        <w:ind w:left="720" w:hanging="360"/>
      </w:pPr>
    </w:lvl>
    <w:lvl w:ilvl="1" w:tplc="C1C8BD88">
      <w:numFmt w:val="decimal"/>
      <w:lvlText w:val=""/>
      <w:lvlJc w:val="left"/>
    </w:lvl>
    <w:lvl w:ilvl="2" w:tplc="B6CC4890">
      <w:numFmt w:val="decimal"/>
      <w:lvlText w:val=""/>
      <w:lvlJc w:val="left"/>
    </w:lvl>
    <w:lvl w:ilvl="3" w:tplc="2A706ACA">
      <w:numFmt w:val="decimal"/>
      <w:lvlText w:val=""/>
      <w:lvlJc w:val="left"/>
    </w:lvl>
    <w:lvl w:ilvl="4" w:tplc="44E0A620">
      <w:numFmt w:val="decimal"/>
      <w:lvlText w:val=""/>
      <w:lvlJc w:val="left"/>
    </w:lvl>
    <w:lvl w:ilvl="5" w:tplc="CD0488AE">
      <w:numFmt w:val="decimal"/>
      <w:lvlText w:val=""/>
      <w:lvlJc w:val="left"/>
    </w:lvl>
    <w:lvl w:ilvl="6" w:tplc="11DA327A">
      <w:numFmt w:val="decimal"/>
      <w:lvlText w:val=""/>
      <w:lvlJc w:val="left"/>
    </w:lvl>
    <w:lvl w:ilvl="7" w:tplc="BF6C02BA">
      <w:numFmt w:val="decimal"/>
      <w:lvlText w:val=""/>
      <w:lvlJc w:val="left"/>
    </w:lvl>
    <w:lvl w:ilvl="8" w:tplc="EA100BA0">
      <w:numFmt w:val="decimal"/>
      <w:lvlText w:val=""/>
      <w:lvlJc w:val="left"/>
    </w:lvl>
  </w:abstractNum>
  <w:abstractNum w:abstractNumId="5" w15:restartNumberingAfterBreak="0">
    <w:nsid w:val="00006784"/>
    <w:multiLevelType w:val="hybridMultilevel"/>
    <w:tmpl w:val="00004AE1"/>
    <w:lvl w:ilvl="0" w:tplc="E8D84F02">
      <w:start w:val="1"/>
      <w:numFmt w:val="bullet"/>
      <w:lvlText w:val=""/>
      <w:lvlJc w:val="left"/>
      <w:pPr>
        <w:tabs>
          <w:tab w:val="num" w:pos="720"/>
        </w:tabs>
        <w:ind w:left="720" w:hanging="360"/>
      </w:pPr>
    </w:lvl>
    <w:lvl w:ilvl="1" w:tplc="599C4FC4">
      <w:numFmt w:val="decimal"/>
      <w:lvlText w:val=""/>
      <w:lvlJc w:val="left"/>
    </w:lvl>
    <w:lvl w:ilvl="2" w:tplc="AC689270">
      <w:numFmt w:val="decimal"/>
      <w:lvlText w:val=""/>
      <w:lvlJc w:val="left"/>
    </w:lvl>
    <w:lvl w:ilvl="3" w:tplc="7C72B48C">
      <w:numFmt w:val="decimal"/>
      <w:lvlText w:val=""/>
      <w:lvlJc w:val="left"/>
    </w:lvl>
    <w:lvl w:ilvl="4" w:tplc="FF3C3290">
      <w:numFmt w:val="decimal"/>
      <w:lvlText w:val=""/>
      <w:lvlJc w:val="left"/>
    </w:lvl>
    <w:lvl w:ilvl="5" w:tplc="47C48768">
      <w:numFmt w:val="decimal"/>
      <w:lvlText w:val=""/>
      <w:lvlJc w:val="left"/>
    </w:lvl>
    <w:lvl w:ilvl="6" w:tplc="2A707A74">
      <w:numFmt w:val="decimal"/>
      <w:lvlText w:val=""/>
      <w:lvlJc w:val="left"/>
    </w:lvl>
    <w:lvl w:ilvl="7" w:tplc="141CD0AC">
      <w:numFmt w:val="decimal"/>
      <w:lvlText w:val=""/>
      <w:lvlJc w:val="left"/>
    </w:lvl>
    <w:lvl w:ilvl="8" w:tplc="0DDC0710">
      <w:numFmt w:val="decimal"/>
      <w:lvlText w:val=""/>
      <w:lvlJc w:val="left"/>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26F"/>
    <w:rsid w:val="000279AD"/>
    <w:rsid w:val="00037369"/>
    <w:rsid w:val="00082F66"/>
    <w:rsid w:val="000A35BA"/>
    <w:rsid w:val="0033416B"/>
    <w:rsid w:val="005D5B36"/>
    <w:rsid w:val="00882C25"/>
    <w:rsid w:val="0090026F"/>
    <w:rsid w:val="00D264AE"/>
    <w:rsid w:val="00E6420B"/>
    <w:rsid w:val="00FD5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1E4DC8-5947-4F36-BDA9-B84A0C34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2F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MAY-GRUENWALD SOLUTION</vt:lpstr>
    </vt:vector>
  </TitlesOfParts>
  <Company/>
  <LinksUpToDate>false</LinksUpToDate>
  <CharactersWithSpaces>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MAY-GRUENWALD SOLUTION</dc:title>
  <dc:subject/>
  <dc:creator>Admin</dc:creator>
  <cp:keywords/>
  <dc:description/>
  <cp:lastModifiedBy>Aiva Inbio</cp:lastModifiedBy>
  <cp:revision>2</cp:revision>
  <dcterms:created xsi:type="dcterms:W3CDTF">2016-10-11T08:03:00Z</dcterms:created>
  <dcterms:modified xsi:type="dcterms:W3CDTF">2016-10-11T08:03:00Z</dcterms:modified>
</cp:coreProperties>
</file>