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AC45" w14:textId="56FDC9BD" w:rsidR="00046F18" w:rsidRPr="00577F8E" w:rsidRDefault="009F0A43" w:rsidP="00046F18">
      <w:pPr>
        <w:spacing w:line="360" w:lineRule="auto"/>
        <w:jc w:val="right"/>
        <w:rPr>
          <w:bCs/>
          <w:iCs/>
          <w:sz w:val="22"/>
          <w:szCs w:val="22"/>
        </w:rPr>
      </w:pPr>
      <w:r>
        <w:rPr>
          <w:bCs/>
          <w:iCs/>
          <w:sz w:val="22"/>
          <w:szCs w:val="22"/>
        </w:rPr>
        <w:t xml:space="preserve">Konkurso sąlygų </w:t>
      </w:r>
      <w:r w:rsidR="00046F18" w:rsidRPr="00577F8E">
        <w:rPr>
          <w:bCs/>
          <w:iCs/>
          <w:sz w:val="22"/>
          <w:szCs w:val="22"/>
        </w:rPr>
        <w:t>6 priedas</w:t>
      </w:r>
    </w:p>
    <w:p w14:paraId="5C691946" w14:textId="77777777" w:rsidR="007363C1" w:rsidRDefault="007363C1" w:rsidP="007363C1">
      <w:pPr>
        <w:spacing w:line="360" w:lineRule="auto"/>
        <w:jc w:val="center"/>
        <w:rPr>
          <w:b/>
          <w:sz w:val="22"/>
          <w:szCs w:val="22"/>
          <w:lang w:eastAsia="lt-LT"/>
        </w:rPr>
      </w:pPr>
      <w:bookmarkStart w:id="0" w:name="_Hlk108701574"/>
      <w:r w:rsidRPr="00AD6037">
        <w:rPr>
          <w:b/>
          <w:sz w:val="22"/>
          <w:szCs w:val="22"/>
          <w:lang w:eastAsia="lt-LT"/>
        </w:rPr>
        <w:t>PASIŪLYMŲ VERTINIMO KRITERIJAI IR VERTINIMO TVARKA</w:t>
      </w:r>
    </w:p>
    <w:p w14:paraId="46FB8478" w14:textId="77777777" w:rsidR="007363C1" w:rsidRPr="00BB3453" w:rsidRDefault="007363C1" w:rsidP="007363C1">
      <w:pPr>
        <w:spacing w:line="360" w:lineRule="auto"/>
        <w:jc w:val="left"/>
        <w:rPr>
          <w:bCs/>
          <w:iCs/>
          <w:sz w:val="22"/>
          <w:szCs w:val="22"/>
        </w:rPr>
      </w:pPr>
    </w:p>
    <w:p w14:paraId="3A15DAF7" w14:textId="77777777" w:rsidR="007363C1" w:rsidRPr="00F741E3" w:rsidRDefault="007363C1" w:rsidP="007363C1">
      <w:pPr>
        <w:tabs>
          <w:tab w:val="left" w:pos="709"/>
          <w:tab w:val="left" w:pos="851"/>
        </w:tabs>
        <w:ind w:firstLine="567"/>
        <w:rPr>
          <w:sz w:val="22"/>
          <w:szCs w:val="22"/>
          <w:lang w:eastAsia="lt-LT"/>
        </w:rPr>
      </w:pPr>
      <w:r w:rsidRPr="00F741E3">
        <w:rPr>
          <w:sz w:val="22"/>
          <w:szCs w:val="22"/>
          <w:lang w:eastAsia="lt-LT"/>
        </w:rPr>
        <w:t>1. PS neatmesti pasiūlymai bus vertinami pagal ekonomiškai naudingiausio pasiūlymo vertinimo kriterijų - kainos ir kokybės santykį. Ekonomiškai naudingiausio pasiūlymo vertinimo kriterijus ir vertinimo tvarką PS nustato vadovaudamasis Viešųjų pirkimų tarnybos prie Lietuvos Respublikos Vyriausybės rekomendacinio pobūdžio metodinėmis priemonėmis bei Lietuvos Respublikos pirkimų, atliekamų vandentvarkos, energetikos, transporto ar pašto paslaugų srities perkančiųjų subjektų, įstatymu.</w:t>
      </w:r>
    </w:p>
    <w:p w14:paraId="737E1ABB" w14:textId="77777777" w:rsidR="007363C1" w:rsidRPr="00F741E3" w:rsidRDefault="007363C1" w:rsidP="007363C1">
      <w:pPr>
        <w:tabs>
          <w:tab w:val="left" w:pos="709"/>
          <w:tab w:val="left" w:pos="851"/>
        </w:tabs>
        <w:ind w:firstLine="567"/>
        <w:rPr>
          <w:sz w:val="22"/>
          <w:szCs w:val="22"/>
          <w:lang w:eastAsia="lt-LT"/>
        </w:rPr>
      </w:pPr>
      <w:r w:rsidRPr="00F741E3">
        <w:rPr>
          <w:sz w:val="22"/>
          <w:szCs w:val="22"/>
          <w:lang w:eastAsia="lt-LT"/>
        </w:rPr>
        <w:t>2. Konkurso nugalėtoju pripažįstamas Tiekėjas, kurio pasiūlymas yra ekonomiškai naudingiausias - tai pasiūlymas, kurio vertinimo balų suma, apskaičiuota pagal pirkimo dokumentuose nustatytus pasiūlymų kokybinius vertinimo kriterijus ir sąlygas, yra didžiausia. Kiekvieno kriterijaus balai bus apvalinami iki šimtųjų (du skaičiai po kablelio) reikšmės, pagal apvalinimo taisykles. Maksimalus suminis balų skaičius yra 100.</w:t>
      </w:r>
    </w:p>
    <w:p w14:paraId="47D47271" w14:textId="77777777" w:rsidR="007363C1" w:rsidRPr="00F741E3" w:rsidRDefault="007363C1" w:rsidP="007363C1">
      <w:pPr>
        <w:tabs>
          <w:tab w:val="left" w:pos="709"/>
          <w:tab w:val="left" w:pos="851"/>
        </w:tabs>
        <w:ind w:firstLine="567"/>
        <w:rPr>
          <w:sz w:val="22"/>
          <w:szCs w:val="22"/>
          <w:lang w:eastAsia="lt-LT"/>
        </w:rPr>
      </w:pPr>
      <w:r w:rsidRPr="00F741E3">
        <w:rPr>
          <w:sz w:val="22"/>
          <w:szCs w:val="22"/>
        </w:rPr>
        <w:t>3. Kai jau atlikus balų apskaičiavimą vienas iš dalyvių pasitraukia (ar yra pašalinamas) iš pirkimo, tokiais atvejais likusių dalyvių balai bus perskaičiuoti.</w:t>
      </w:r>
    </w:p>
    <w:p w14:paraId="3C37324A" w14:textId="77777777" w:rsidR="007363C1" w:rsidRPr="00F741E3" w:rsidRDefault="007363C1" w:rsidP="007363C1">
      <w:pPr>
        <w:tabs>
          <w:tab w:val="left" w:pos="709"/>
          <w:tab w:val="left" w:pos="851"/>
        </w:tabs>
        <w:ind w:firstLine="567"/>
        <w:rPr>
          <w:sz w:val="22"/>
          <w:szCs w:val="22"/>
          <w:lang w:eastAsia="lt-LT"/>
        </w:rPr>
      </w:pPr>
      <w:r w:rsidRPr="00F741E3">
        <w:rPr>
          <w:sz w:val="22"/>
          <w:szCs w:val="22"/>
          <w:lang w:eastAsia="lt-LT"/>
        </w:rPr>
        <w:t>4. Vertinimo kriterijai:</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424"/>
      </w:tblGrid>
      <w:tr w:rsidR="007363C1" w:rsidRPr="00F741E3" w14:paraId="2A8CD86F" w14:textId="77777777" w:rsidTr="00AA48C4">
        <w:trPr>
          <w:cantSplit/>
          <w:trHeight w:val="1064"/>
        </w:trPr>
        <w:tc>
          <w:tcPr>
            <w:tcW w:w="7225" w:type="dxa"/>
            <w:tcBorders>
              <w:top w:val="single" w:sz="4" w:space="0" w:color="auto"/>
              <w:left w:val="single" w:sz="4" w:space="0" w:color="auto"/>
              <w:bottom w:val="single" w:sz="4" w:space="0" w:color="auto"/>
              <w:right w:val="single" w:sz="4" w:space="0" w:color="auto"/>
            </w:tcBorders>
            <w:vAlign w:val="center"/>
            <w:hideMark/>
          </w:tcPr>
          <w:p w14:paraId="2C912789" w14:textId="77777777" w:rsidR="007363C1" w:rsidRPr="00F741E3" w:rsidRDefault="007363C1" w:rsidP="00AA48C4">
            <w:pPr>
              <w:tabs>
                <w:tab w:val="left" w:pos="709"/>
                <w:tab w:val="left" w:pos="851"/>
              </w:tabs>
              <w:ind w:firstLine="567"/>
              <w:jc w:val="center"/>
              <w:rPr>
                <w:b/>
                <w:sz w:val="22"/>
                <w:szCs w:val="22"/>
                <w:lang w:eastAsia="lt-LT"/>
              </w:rPr>
            </w:pPr>
            <w:r w:rsidRPr="00F741E3">
              <w:rPr>
                <w:b/>
                <w:sz w:val="22"/>
                <w:szCs w:val="22"/>
                <w:lang w:eastAsia="lt-LT"/>
              </w:rPr>
              <w:t>Vertinimo kriterijai</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686C3" w14:textId="77777777" w:rsidR="007363C1" w:rsidRPr="00F741E3" w:rsidRDefault="007363C1" w:rsidP="00AA48C4">
            <w:pPr>
              <w:tabs>
                <w:tab w:val="left" w:pos="709"/>
                <w:tab w:val="left" w:pos="851"/>
              </w:tabs>
              <w:jc w:val="center"/>
              <w:rPr>
                <w:b/>
                <w:sz w:val="22"/>
                <w:szCs w:val="22"/>
                <w:lang w:eastAsia="lt-LT"/>
              </w:rPr>
            </w:pPr>
            <w:r w:rsidRPr="00F741E3">
              <w:rPr>
                <w:b/>
                <w:sz w:val="22"/>
                <w:szCs w:val="22"/>
                <w:lang w:eastAsia="lt-LT"/>
              </w:rPr>
              <w:t>Kriterijaus lyginamasis svoris / balai ekonominio naudingumo įvertinime</w:t>
            </w:r>
          </w:p>
        </w:tc>
      </w:tr>
      <w:tr w:rsidR="007363C1" w:rsidRPr="004D09B6" w14:paraId="2E5E3F6D" w14:textId="77777777" w:rsidTr="00AA48C4">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7857DBE2" w14:textId="77777777" w:rsidR="007363C1" w:rsidRPr="004D09B6" w:rsidRDefault="007363C1" w:rsidP="00AA48C4">
            <w:pPr>
              <w:tabs>
                <w:tab w:val="left" w:pos="709"/>
                <w:tab w:val="left" w:pos="851"/>
              </w:tabs>
              <w:jc w:val="left"/>
              <w:rPr>
                <w:sz w:val="22"/>
                <w:szCs w:val="22"/>
                <w:lang w:eastAsia="lt-LT"/>
              </w:rPr>
            </w:pPr>
            <w:r w:rsidRPr="004D09B6">
              <w:rPr>
                <w:sz w:val="22"/>
                <w:szCs w:val="22"/>
                <w:lang w:eastAsia="lt-LT"/>
              </w:rPr>
              <w:t>Kriterijus C - bendra pasiūlymo kaina, Eur su PVM</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B6AD4" w14:textId="4C7F73E7" w:rsidR="007363C1" w:rsidRPr="004D09B6" w:rsidRDefault="007363C1" w:rsidP="00AA48C4">
            <w:pPr>
              <w:spacing w:line="360" w:lineRule="auto"/>
              <w:jc w:val="center"/>
              <w:rPr>
                <w:sz w:val="22"/>
                <w:szCs w:val="22"/>
              </w:rPr>
            </w:pPr>
            <w:r w:rsidRPr="004D09B6">
              <w:rPr>
                <w:sz w:val="22"/>
                <w:szCs w:val="22"/>
              </w:rPr>
              <w:t>X = 9</w:t>
            </w:r>
            <w:r w:rsidR="004D09B6" w:rsidRPr="004D09B6">
              <w:rPr>
                <w:sz w:val="22"/>
                <w:szCs w:val="22"/>
              </w:rPr>
              <w:t>0</w:t>
            </w:r>
          </w:p>
        </w:tc>
      </w:tr>
      <w:tr w:rsidR="007363C1" w:rsidRPr="004D09B6" w14:paraId="61CFCAAE" w14:textId="77777777" w:rsidTr="00AA48C4">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70B40E76" w14:textId="58F10294" w:rsidR="007363C1" w:rsidRPr="004D09B6" w:rsidRDefault="007363C1" w:rsidP="00AA48C4">
            <w:pPr>
              <w:tabs>
                <w:tab w:val="left" w:pos="709"/>
                <w:tab w:val="left" w:pos="851"/>
              </w:tabs>
              <w:rPr>
                <w:sz w:val="22"/>
                <w:szCs w:val="22"/>
                <w:lang w:eastAsia="lt-LT"/>
              </w:rPr>
            </w:pPr>
            <w:r w:rsidRPr="004D09B6">
              <w:rPr>
                <w:sz w:val="22"/>
                <w:szCs w:val="22"/>
                <w:lang w:eastAsia="lt-LT"/>
              </w:rPr>
              <w:t xml:space="preserve">Kriterijus T – siūlomas Transporto priemonių pristatymo terminas, dienomis </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BCB37" w14:textId="03704C0A" w:rsidR="007363C1" w:rsidRPr="004D09B6" w:rsidRDefault="007363C1" w:rsidP="00AA48C4">
            <w:pPr>
              <w:tabs>
                <w:tab w:val="left" w:pos="709"/>
                <w:tab w:val="left" w:pos="851"/>
              </w:tabs>
              <w:jc w:val="center"/>
              <w:rPr>
                <w:sz w:val="22"/>
                <w:szCs w:val="22"/>
                <w:lang w:eastAsia="lt-LT"/>
              </w:rPr>
            </w:pPr>
            <w:r w:rsidRPr="004D09B6">
              <w:rPr>
                <w:sz w:val="22"/>
                <w:szCs w:val="22"/>
                <w:lang w:eastAsia="lt-LT"/>
              </w:rPr>
              <w:t xml:space="preserve">Y = </w:t>
            </w:r>
            <w:r w:rsidR="004D09B6" w:rsidRPr="004D09B6">
              <w:rPr>
                <w:sz w:val="22"/>
                <w:szCs w:val="22"/>
                <w:lang w:eastAsia="lt-LT"/>
              </w:rPr>
              <w:t>10</w:t>
            </w:r>
          </w:p>
        </w:tc>
      </w:tr>
    </w:tbl>
    <w:p w14:paraId="5BEBC43C" w14:textId="77777777" w:rsidR="007363C1" w:rsidRPr="004D09B6" w:rsidRDefault="007363C1" w:rsidP="007363C1">
      <w:pPr>
        <w:tabs>
          <w:tab w:val="left" w:pos="1276"/>
          <w:tab w:val="left" w:pos="1701"/>
        </w:tabs>
        <w:spacing w:line="360" w:lineRule="auto"/>
        <w:rPr>
          <w:b/>
          <w:bCs/>
          <w:sz w:val="22"/>
          <w:szCs w:val="22"/>
        </w:rPr>
      </w:pPr>
      <w:r w:rsidRPr="004D09B6">
        <w:rPr>
          <w:b/>
          <w:bCs/>
          <w:sz w:val="22"/>
          <w:szCs w:val="22"/>
        </w:rPr>
        <w:t>Ekonominis naudingumas (S) apskaičiuojamas taip:</w:t>
      </w:r>
    </w:p>
    <w:p w14:paraId="7ED4209D" w14:textId="00A478D6" w:rsidR="007363C1" w:rsidRPr="004D09B6" w:rsidRDefault="007363C1" w:rsidP="007363C1">
      <w:pPr>
        <w:tabs>
          <w:tab w:val="left" w:pos="709"/>
          <w:tab w:val="left" w:pos="851"/>
        </w:tabs>
        <w:ind w:firstLine="567"/>
        <w:rPr>
          <w:sz w:val="22"/>
          <w:szCs w:val="22"/>
          <w:lang w:eastAsia="lt-LT"/>
        </w:rPr>
      </w:pPr>
      <w:r w:rsidRPr="004D09B6">
        <w:rPr>
          <w:sz w:val="22"/>
          <w:szCs w:val="22"/>
          <w:lang w:eastAsia="lt-LT"/>
        </w:rPr>
        <w:t>sudedant Tiekėjo pasiūlymo vertinimo kriterijų – bendros pasiūlymo kainos, Eur su PVM balus</w:t>
      </w:r>
      <w:r w:rsidR="00F64CEB" w:rsidRPr="004D09B6">
        <w:rPr>
          <w:sz w:val="22"/>
          <w:szCs w:val="22"/>
          <w:lang w:eastAsia="lt-LT"/>
        </w:rPr>
        <w:t xml:space="preserve"> ir</w:t>
      </w:r>
      <w:r w:rsidRPr="004D09B6">
        <w:rPr>
          <w:sz w:val="22"/>
          <w:szCs w:val="22"/>
          <w:lang w:eastAsia="lt-LT"/>
        </w:rPr>
        <w:t xml:space="preserve"> transporto priemonių pristatymo balus:</w:t>
      </w:r>
    </w:p>
    <w:p w14:paraId="2AF419AD" w14:textId="30FCD7B6" w:rsidR="007363C1" w:rsidRPr="004D09B6" w:rsidRDefault="007363C1" w:rsidP="007363C1">
      <w:pPr>
        <w:pStyle w:val="Sraopastraipa"/>
        <w:tabs>
          <w:tab w:val="left" w:pos="1276"/>
          <w:tab w:val="left" w:pos="1701"/>
        </w:tabs>
        <w:ind w:left="0" w:firstLine="851"/>
        <w:jc w:val="center"/>
        <w:rPr>
          <w:sz w:val="22"/>
          <w:szCs w:val="22"/>
          <w:lang w:val="lt-LT"/>
        </w:rPr>
      </w:pPr>
      <m:oMath>
        <m:r>
          <w:rPr>
            <w:rFonts w:ascii="Cambria Math"/>
            <w:vertAlign w:val="subscript"/>
            <w:lang w:val="lt-LT"/>
          </w:rPr>
          <m:t>S=C+</m:t>
        </m:r>
        <m:sSub>
          <m:sSubPr>
            <m:ctrlPr>
              <w:rPr>
                <w:rFonts w:ascii="Cambria Math" w:hAnsi="Cambria Math"/>
                <w:i/>
                <w:vertAlign w:val="subscript"/>
                <w:lang w:val="lt-LT"/>
              </w:rPr>
            </m:ctrlPr>
          </m:sSubPr>
          <m:e>
            <m:r>
              <w:rPr>
                <w:rFonts w:ascii="Cambria Math"/>
                <w:vertAlign w:val="subscript"/>
                <w:lang w:val="lt-LT"/>
              </w:rPr>
              <m:t>T</m:t>
            </m:r>
          </m:e>
          <m:sub>
            <m:r>
              <w:rPr>
                <w:rFonts w:ascii="Cambria Math"/>
                <w:vertAlign w:val="subscript"/>
                <w:lang w:val="lt-LT"/>
              </w:rPr>
              <m:t xml:space="preserve"> </m:t>
            </m:r>
          </m:sub>
        </m:sSub>
      </m:oMath>
      <w:r w:rsidRPr="004D09B6">
        <w:rPr>
          <w:sz w:val="22"/>
          <w:szCs w:val="22"/>
          <w:lang w:val="lt-LT"/>
        </w:rPr>
        <w:t>, kur:</w:t>
      </w:r>
    </w:p>
    <w:p w14:paraId="7189D863" w14:textId="77777777" w:rsidR="007363C1" w:rsidRPr="004D09B6" w:rsidRDefault="007363C1" w:rsidP="007363C1">
      <w:pPr>
        <w:pStyle w:val="Sraopastraipa"/>
        <w:tabs>
          <w:tab w:val="left" w:pos="1276"/>
          <w:tab w:val="left" w:pos="1701"/>
        </w:tabs>
        <w:ind w:left="0" w:firstLine="851"/>
        <w:jc w:val="center"/>
        <w:rPr>
          <w:sz w:val="22"/>
          <w:szCs w:val="22"/>
          <w:lang w:val="lt-LT"/>
        </w:rPr>
      </w:pPr>
    </w:p>
    <w:p w14:paraId="503F464D" w14:textId="77777777" w:rsidR="007363C1" w:rsidRPr="004D09B6" w:rsidRDefault="007363C1" w:rsidP="007363C1">
      <w:pPr>
        <w:tabs>
          <w:tab w:val="left" w:pos="1701"/>
        </w:tabs>
        <w:spacing w:line="360" w:lineRule="auto"/>
        <w:rPr>
          <w:b/>
          <w:bCs/>
          <w:sz w:val="22"/>
          <w:szCs w:val="22"/>
        </w:rPr>
      </w:pPr>
      <w:r w:rsidRPr="004D09B6">
        <w:rPr>
          <w:b/>
          <w:bCs/>
          <w:sz w:val="22"/>
          <w:szCs w:val="22"/>
        </w:rPr>
        <w:t xml:space="preserve">Bendros pasiūlymo kainos, Eur su PVM (C) balai apskaičiuojami taip: </w:t>
      </w:r>
    </w:p>
    <w:p w14:paraId="2678C706" w14:textId="77777777" w:rsidR="007363C1" w:rsidRPr="004D09B6" w:rsidRDefault="007363C1" w:rsidP="007363C1">
      <w:pPr>
        <w:tabs>
          <w:tab w:val="left" w:pos="709"/>
          <w:tab w:val="left" w:pos="851"/>
        </w:tabs>
        <w:ind w:firstLine="567"/>
        <w:rPr>
          <w:sz w:val="22"/>
          <w:szCs w:val="22"/>
          <w:lang w:eastAsia="lt-LT"/>
        </w:rPr>
      </w:pPr>
      <w:r w:rsidRPr="004D09B6">
        <w:rPr>
          <w:sz w:val="22"/>
          <w:szCs w:val="22"/>
          <w:lang w:eastAsia="lt-LT"/>
        </w:rPr>
        <w:t>mažiausios iš pateiktų pasiūlymų kainos su PVM (C</w:t>
      </w:r>
      <w:r w:rsidRPr="004D09B6">
        <w:rPr>
          <w:sz w:val="22"/>
          <w:szCs w:val="22"/>
          <w:vertAlign w:val="subscript"/>
          <w:lang w:eastAsia="lt-LT"/>
        </w:rPr>
        <w:t>min</w:t>
      </w:r>
      <w:r w:rsidRPr="004D09B6">
        <w:rPr>
          <w:sz w:val="22"/>
          <w:szCs w:val="22"/>
          <w:lang w:eastAsia="lt-LT"/>
        </w:rPr>
        <w:t>) ir vertinamo pasiūlymo kainos su PVM (Cp) santykį padauginant iš kainos lyginamojo svorio (X):</w:t>
      </w:r>
    </w:p>
    <w:p w14:paraId="0277FCDD" w14:textId="77777777" w:rsidR="007363C1" w:rsidRPr="004D09B6" w:rsidRDefault="007363C1" w:rsidP="007363C1">
      <w:pPr>
        <w:tabs>
          <w:tab w:val="left" w:pos="1701"/>
        </w:tabs>
        <w:spacing w:line="360" w:lineRule="auto"/>
        <w:ind w:firstLine="851"/>
        <w:jc w:val="center"/>
        <w:rPr>
          <w:rFonts w:eastAsia="Calibri"/>
          <w:sz w:val="22"/>
          <w:szCs w:val="22"/>
        </w:rPr>
      </w:pPr>
      <m:oMath>
        <m:r>
          <w:rPr>
            <w:rFonts w:ascii="Cambria Math" w:eastAsia="Calibri"/>
            <w:sz w:val="22"/>
            <w:szCs w:val="22"/>
          </w:rPr>
          <m:t>C=</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min</m:t>
                </m:r>
              </m:sub>
            </m:sSub>
          </m:num>
          <m:den>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p</m:t>
                </m:r>
              </m:sub>
            </m:sSub>
          </m:den>
        </m:f>
        <m:r>
          <w:rPr>
            <w:rFonts w:ascii="Cambria Math" w:eastAsia="Calibri" w:hAnsi="Cambria Math"/>
            <w:sz w:val="22"/>
            <w:szCs w:val="22"/>
          </w:rPr>
          <m:t>×X</m:t>
        </m:r>
      </m:oMath>
      <w:r w:rsidRPr="004D09B6">
        <w:rPr>
          <w:rFonts w:eastAsia="Calibri"/>
          <w:sz w:val="22"/>
          <w:szCs w:val="22"/>
        </w:rPr>
        <w:t>, kur</w:t>
      </w:r>
    </w:p>
    <w:p w14:paraId="502C48EE" w14:textId="77777777" w:rsidR="007363C1" w:rsidRPr="004D09B6" w:rsidRDefault="007363C1" w:rsidP="007363C1">
      <w:pPr>
        <w:tabs>
          <w:tab w:val="left" w:pos="-4950"/>
          <w:tab w:val="left" w:pos="567"/>
          <w:tab w:val="left" w:pos="2340"/>
        </w:tabs>
        <w:ind w:firstLine="567"/>
        <w:rPr>
          <w:color w:val="000000"/>
          <w:sz w:val="22"/>
          <w:szCs w:val="22"/>
        </w:rPr>
      </w:pPr>
      <w:r w:rsidRPr="004D09B6">
        <w:rPr>
          <w:color w:val="000000"/>
          <w:sz w:val="22"/>
          <w:szCs w:val="22"/>
        </w:rPr>
        <w:t>C</w:t>
      </w:r>
      <w:r w:rsidRPr="004D09B6">
        <w:rPr>
          <w:color w:val="000000"/>
          <w:sz w:val="22"/>
          <w:szCs w:val="22"/>
          <w:vertAlign w:val="subscript"/>
        </w:rPr>
        <w:t>min</w:t>
      </w:r>
      <w:r w:rsidRPr="004D09B6">
        <w:rPr>
          <w:color w:val="000000"/>
          <w:sz w:val="22"/>
          <w:szCs w:val="22"/>
        </w:rPr>
        <w:t xml:space="preserve"> – pasiūlyta mažiausia pasiūlymo kaina, Eur su PVM;</w:t>
      </w:r>
    </w:p>
    <w:p w14:paraId="4DF6B777" w14:textId="77777777" w:rsidR="007363C1" w:rsidRPr="004D09B6" w:rsidRDefault="007363C1" w:rsidP="007363C1">
      <w:pPr>
        <w:tabs>
          <w:tab w:val="left" w:pos="-4950"/>
          <w:tab w:val="left" w:pos="540"/>
        </w:tabs>
        <w:ind w:firstLine="567"/>
        <w:rPr>
          <w:color w:val="000000"/>
          <w:sz w:val="22"/>
          <w:szCs w:val="22"/>
        </w:rPr>
      </w:pPr>
      <w:r w:rsidRPr="004D09B6">
        <w:rPr>
          <w:color w:val="000000"/>
          <w:sz w:val="22"/>
          <w:szCs w:val="22"/>
        </w:rPr>
        <w:t>C</w:t>
      </w:r>
      <w:r w:rsidRPr="004D09B6">
        <w:rPr>
          <w:color w:val="000000"/>
          <w:sz w:val="22"/>
          <w:szCs w:val="22"/>
          <w:vertAlign w:val="subscript"/>
        </w:rPr>
        <w:t>p</w:t>
      </w:r>
      <w:r w:rsidRPr="004D09B6">
        <w:rPr>
          <w:color w:val="000000"/>
          <w:sz w:val="22"/>
          <w:szCs w:val="22"/>
        </w:rPr>
        <w:t xml:space="preserve"> – vertinamo pasiūlymo kaina, Eur su PVM;</w:t>
      </w:r>
    </w:p>
    <w:p w14:paraId="0CE93B62" w14:textId="77777777" w:rsidR="007363C1" w:rsidRPr="004D09B6" w:rsidRDefault="007363C1" w:rsidP="007363C1">
      <w:pPr>
        <w:tabs>
          <w:tab w:val="left" w:pos="1701"/>
        </w:tabs>
        <w:spacing w:line="360" w:lineRule="auto"/>
        <w:ind w:firstLine="567"/>
        <w:rPr>
          <w:b/>
          <w:sz w:val="22"/>
          <w:szCs w:val="22"/>
          <w:lang w:eastAsia="lt-LT"/>
        </w:rPr>
      </w:pPr>
      <w:r w:rsidRPr="004D09B6">
        <w:rPr>
          <w:color w:val="000000"/>
          <w:sz w:val="22"/>
          <w:szCs w:val="22"/>
        </w:rPr>
        <w:t>X</w:t>
      </w:r>
      <w:r w:rsidRPr="004D09B6">
        <w:rPr>
          <w:color w:val="000000"/>
          <w:sz w:val="22"/>
          <w:szCs w:val="22"/>
          <w:vertAlign w:val="subscript"/>
        </w:rPr>
        <w:t xml:space="preserve"> </w:t>
      </w:r>
      <w:r w:rsidRPr="004D09B6">
        <w:rPr>
          <w:color w:val="000000"/>
          <w:sz w:val="22"/>
          <w:szCs w:val="22"/>
        </w:rPr>
        <w:t>– lyginamasis svoris.</w:t>
      </w:r>
    </w:p>
    <w:p w14:paraId="6A97C856" w14:textId="77777777" w:rsidR="007363C1" w:rsidRPr="004D09B6" w:rsidRDefault="007363C1" w:rsidP="007363C1">
      <w:pPr>
        <w:tabs>
          <w:tab w:val="left" w:pos="1701"/>
        </w:tabs>
        <w:spacing w:line="360" w:lineRule="auto"/>
        <w:rPr>
          <w:color w:val="000000"/>
          <w:sz w:val="22"/>
          <w:szCs w:val="22"/>
        </w:rPr>
      </w:pPr>
    </w:p>
    <w:p w14:paraId="5BED6BC0" w14:textId="660F8771" w:rsidR="007363C1" w:rsidRPr="004D09B6" w:rsidRDefault="007363C1" w:rsidP="007363C1">
      <w:pPr>
        <w:tabs>
          <w:tab w:val="left" w:pos="1701"/>
        </w:tabs>
        <w:spacing w:line="360" w:lineRule="auto"/>
        <w:rPr>
          <w:color w:val="000000"/>
          <w:sz w:val="22"/>
          <w:szCs w:val="22"/>
        </w:rPr>
      </w:pPr>
      <w:r w:rsidRPr="004D09B6">
        <w:rPr>
          <w:b/>
          <w:sz w:val="22"/>
          <w:szCs w:val="22"/>
          <w:lang w:eastAsia="lt-LT"/>
        </w:rPr>
        <w:t>Siūlomo transporto priemonių pristatymo termino (T)</w:t>
      </w:r>
      <w:r w:rsidRPr="004D09B6">
        <w:rPr>
          <w:b/>
          <w:sz w:val="22"/>
          <w:szCs w:val="22"/>
        </w:rPr>
        <w:t xml:space="preserve"> </w:t>
      </w:r>
      <w:r w:rsidRPr="004D09B6">
        <w:rPr>
          <w:b/>
          <w:sz w:val="22"/>
          <w:szCs w:val="22"/>
          <w:lang w:eastAsia="lt-LT"/>
        </w:rPr>
        <w:t>balai apskaičiuojami taip:</w:t>
      </w:r>
    </w:p>
    <w:p w14:paraId="3E4B7CCB" w14:textId="74010451" w:rsidR="007363C1" w:rsidRPr="004D09B6" w:rsidRDefault="007363C1" w:rsidP="007363C1">
      <w:pPr>
        <w:tabs>
          <w:tab w:val="left" w:pos="1701"/>
        </w:tabs>
        <w:contextualSpacing/>
        <w:rPr>
          <w:sz w:val="22"/>
          <w:szCs w:val="22"/>
        </w:rPr>
      </w:pPr>
      <w:r w:rsidRPr="004D09B6">
        <w:rPr>
          <w:sz w:val="22"/>
          <w:szCs w:val="22"/>
        </w:rPr>
        <w:t>trumpiausio iš pateiktų pasiūlymų siūlomo transporto priemonių pristatymo termino, dienomis (T</w:t>
      </w:r>
      <w:r w:rsidRPr="004D09B6">
        <w:rPr>
          <w:sz w:val="22"/>
          <w:szCs w:val="22"/>
          <w:vertAlign w:val="subscript"/>
        </w:rPr>
        <w:t>min</w:t>
      </w:r>
      <w:r w:rsidRPr="004D09B6">
        <w:rPr>
          <w:sz w:val="22"/>
          <w:szCs w:val="22"/>
        </w:rPr>
        <w:t>) ir vertinamo pasiūlymo transporto priemonių pristatymo termino, dienomis (T</w:t>
      </w:r>
      <w:r w:rsidRPr="004D09B6">
        <w:rPr>
          <w:sz w:val="22"/>
          <w:szCs w:val="22"/>
          <w:vertAlign w:val="subscript"/>
        </w:rPr>
        <w:t>p</w:t>
      </w:r>
      <w:r w:rsidRPr="004D09B6">
        <w:rPr>
          <w:sz w:val="22"/>
          <w:szCs w:val="22"/>
        </w:rPr>
        <w:t>) santykį padauginant iš kriterijaus lyginamojo svorio (Y):</w:t>
      </w:r>
    </w:p>
    <w:p w14:paraId="70FF3BA1" w14:textId="2E86B7FD" w:rsidR="007363C1" w:rsidRPr="004D09B6" w:rsidRDefault="00000000" w:rsidP="007363C1">
      <w:pPr>
        <w:tabs>
          <w:tab w:val="left" w:pos="1701"/>
        </w:tabs>
        <w:spacing w:line="360" w:lineRule="auto"/>
        <w:ind w:firstLine="851"/>
        <w:jc w:val="center"/>
        <w:rPr>
          <w:rFonts w:eastAsia="Calibri"/>
          <w:sz w:val="22"/>
          <w:szCs w:val="22"/>
        </w:rPr>
      </w:pPr>
      <m:oMath>
        <m:sSub>
          <m:sSubPr>
            <m:ctrlPr>
              <w:rPr>
                <w:rFonts w:ascii="Cambria Math" w:eastAsia="Calibri" w:hAnsi="Cambria Math"/>
                <w:i/>
                <w:sz w:val="22"/>
                <w:szCs w:val="22"/>
              </w:rPr>
            </m:ctrlPr>
          </m:sSubPr>
          <m:e>
            <m:r>
              <w:rPr>
                <w:rFonts w:ascii="Cambria Math" w:hAnsi="Cambria Math"/>
                <w:sz w:val="22"/>
                <w:szCs w:val="22"/>
              </w:rPr>
              <m:t>T</m:t>
            </m:r>
          </m:e>
          <m:sub/>
        </m:sSub>
        <m:r>
          <w:rPr>
            <w:rFonts w:ascii="Cambria Math" w:hAnsi="Cambria Math"/>
            <w:sz w:val="22"/>
            <w:szCs w:val="22"/>
          </w:rPr>
          <m:t xml:space="preserve">= </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eastAsia="Calibri" w:hAnsi="Cambria Math"/>
                    <w:i/>
                    <w:sz w:val="22"/>
                    <w:szCs w:val="22"/>
                  </w:rPr>
                </m:ctrlPr>
              </m:sSubPr>
              <m:e>
                <m:r>
                  <w:rPr>
                    <w:rFonts w:ascii="Cambria Math" w:hAnsi="Cambria Math"/>
                    <w:sz w:val="22"/>
                    <w:szCs w:val="22"/>
                  </w:rPr>
                  <m:t>T</m:t>
                </m:r>
              </m:e>
              <m:sub>
                <m:r>
                  <w:rPr>
                    <w:rFonts w:ascii="Cambria Math" w:hAnsi="Cambria Math"/>
                    <w:sz w:val="22"/>
                    <w:szCs w:val="22"/>
                  </w:rPr>
                  <m:t>p</m:t>
                </m:r>
              </m:sub>
            </m:sSub>
          </m:den>
        </m:f>
        <m:r>
          <w:rPr>
            <w:rFonts w:ascii="Cambria Math" w:hAnsi="Cambria Math"/>
            <w:sz w:val="22"/>
            <w:szCs w:val="22"/>
          </w:rPr>
          <m:t xml:space="preserve"> </m:t>
        </m:r>
        <m:r>
          <w:rPr>
            <w:rFonts w:ascii="Cambria Math" w:eastAsia="Calibri" w:hAnsi="Cambria Math"/>
            <w:sz w:val="22"/>
            <w:szCs w:val="22"/>
          </w:rPr>
          <m:t>×Y</m:t>
        </m:r>
      </m:oMath>
      <w:r w:rsidR="007363C1" w:rsidRPr="004D09B6">
        <w:rPr>
          <w:sz w:val="22"/>
          <w:szCs w:val="22"/>
        </w:rPr>
        <w:t>,</w:t>
      </w:r>
      <w:r w:rsidR="007363C1" w:rsidRPr="004D09B6">
        <w:rPr>
          <w:rFonts w:eastAsia="Calibri"/>
          <w:sz w:val="22"/>
          <w:szCs w:val="22"/>
        </w:rPr>
        <w:t xml:space="preserve"> kur</w:t>
      </w:r>
    </w:p>
    <w:p w14:paraId="0A9F7F0F" w14:textId="014D3862" w:rsidR="007363C1" w:rsidRPr="004D09B6" w:rsidRDefault="007363C1" w:rsidP="007363C1">
      <w:pPr>
        <w:tabs>
          <w:tab w:val="left" w:pos="-4950"/>
          <w:tab w:val="left" w:pos="567"/>
          <w:tab w:val="left" w:pos="2340"/>
        </w:tabs>
        <w:ind w:firstLine="567"/>
        <w:rPr>
          <w:color w:val="000000"/>
          <w:sz w:val="22"/>
          <w:szCs w:val="22"/>
        </w:rPr>
      </w:pPr>
      <w:r w:rsidRPr="004D09B6">
        <w:rPr>
          <w:color w:val="000000"/>
          <w:sz w:val="22"/>
          <w:szCs w:val="22"/>
        </w:rPr>
        <w:t>T</w:t>
      </w:r>
      <w:r w:rsidRPr="004D09B6">
        <w:rPr>
          <w:color w:val="000000"/>
          <w:sz w:val="22"/>
          <w:szCs w:val="22"/>
          <w:vertAlign w:val="subscript"/>
        </w:rPr>
        <w:t>min</w:t>
      </w:r>
      <w:r w:rsidRPr="004D09B6">
        <w:rPr>
          <w:color w:val="000000"/>
          <w:sz w:val="22"/>
          <w:szCs w:val="22"/>
        </w:rPr>
        <w:t xml:space="preserve"> – pasiūlytas trumpiausias transporto priemonių pristatymo terminas, dienomis;</w:t>
      </w:r>
    </w:p>
    <w:p w14:paraId="23DA27C3" w14:textId="0A78C86B" w:rsidR="007363C1" w:rsidRPr="004D09B6" w:rsidRDefault="007363C1" w:rsidP="007363C1">
      <w:pPr>
        <w:tabs>
          <w:tab w:val="left" w:pos="-4950"/>
          <w:tab w:val="left" w:pos="540"/>
        </w:tabs>
        <w:ind w:firstLine="567"/>
        <w:rPr>
          <w:color w:val="000000"/>
          <w:sz w:val="22"/>
          <w:szCs w:val="22"/>
        </w:rPr>
      </w:pPr>
      <w:r w:rsidRPr="004D09B6">
        <w:rPr>
          <w:color w:val="000000"/>
          <w:sz w:val="22"/>
          <w:szCs w:val="22"/>
        </w:rPr>
        <w:t>T</w:t>
      </w:r>
      <w:r w:rsidRPr="004D09B6">
        <w:rPr>
          <w:color w:val="000000"/>
          <w:sz w:val="22"/>
          <w:szCs w:val="22"/>
          <w:vertAlign w:val="subscript"/>
        </w:rPr>
        <w:t>p</w:t>
      </w:r>
      <w:r w:rsidRPr="004D09B6">
        <w:rPr>
          <w:color w:val="000000"/>
          <w:sz w:val="22"/>
          <w:szCs w:val="22"/>
        </w:rPr>
        <w:t xml:space="preserve"> – vertinamo pasiūlymo transporto priemonių pristatymo terminas, dienomis;</w:t>
      </w:r>
    </w:p>
    <w:p w14:paraId="033417FE" w14:textId="77777777" w:rsidR="007363C1" w:rsidRPr="004D09B6" w:rsidRDefault="007363C1" w:rsidP="007363C1">
      <w:pPr>
        <w:tabs>
          <w:tab w:val="left" w:pos="1701"/>
        </w:tabs>
        <w:spacing w:line="360" w:lineRule="auto"/>
        <w:ind w:firstLine="567"/>
        <w:rPr>
          <w:b/>
          <w:sz w:val="22"/>
          <w:szCs w:val="22"/>
          <w:lang w:eastAsia="lt-LT"/>
        </w:rPr>
      </w:pPr>
      <w:r w:rsidRPr="004D09B6">
        <w:rPr>
          <w:color w:val="000000"/>
          <w:sz w:val="22"/>
          <w:szCs w:val="22"/>
        </w:rPr>
        <w:t>Y – lyginamasis svoris.</w:t>
      </w:r>
    </w:p>
    <w:p w14:paraId="00892EF0" w14:textId="77777777" w:rsidR="007363C1" w:rsidRPr="004D09B6" w:rsidRDefault="007363C1" w:rsidP="007363C1">
      <w:pPr>
        <w:tabs>
          <w:tab w:val="left" w:pos="1701"/>
        </w:tabs>
        <w:ind w:firstLine="851"/>
        <w:contextualSpacing/>
        <w:jc w:val="center"/>
        <w:rPr>
          <w:sz w:val="22"/>
          <w:szCs w:val="22"/>
        </w:rPr>
      </w:pPr>
    </w:p>
    <w:p w14:paraId="29DA617E" w14:textId="77777777" w:rsidR="007363C1" w:rsidRPr="00FD2895" w:rsidRDefault="007363C1" w:rsidP="007363C1">
      <w:pPr>
        <w:ind w:firstLine="540"/>
        <w:rPr>
          <w:bCs/>
          <w:sz w:val="22"/>
          <w:szCs w:val="22"/>
        </w:rPr>
      </w:pPr>
      <w:r w:rsidRPr="004D09B6">
        <w:rPr>
          <w:bCs/>
          <w:sz w:val="22"/>
          <w:szCs w:val="22"/>
        </w:rPr>
        <w:t>Nustatomas maksimalus transporto priemonių pristatymo terminas – 60 dienų nuo sutarties įsigaliojimo</w:t>
      </w:r>
      <w:r w:rsidRPr="00FD2895">
        <w:rPr>
          <w:bCs/>
          <w:sz w:val="22"/>
          <w:szCs w:val="22"/>
        </w:rPr>
        <w:t xml:space="preserve"> datos.</w:t>
      </w:r>
      <w:r w:rsidRPr="00FD2895">
        <w:rPr>
          <w:rFonts w:eastAsia="Calibri"/>
          <w:bCs/>
          <w:color w:val="000000"/>
          <w:sz w:val="22"/>
          <w:szCs w:val="22"/>
        </w:rPr>
        <w:t xml:space="preserve"> Tiekėjų pateikti pasiūlymai </w:t>
      </w:r>
      <w:r w:rsidRPr="00FD2895">
        <w:rPr>
          <w:rFonts w:eastAsia="Calibri"/>
          <w:b/>
          <w:color w:val="000000"/>
          <w:sz w:val="22"/>
          <w:szCs w:val="22"/>
        </w:rPr>
        <w:t>bus atmesti</w:t>
      </w:r>
      <w:r w:rsidRPr="00FD2895">
        <w:rPr>
          <w:rFonts w:eastAsia="Calibri"/>
          <w:bCs/>
          <w:color w:val="000000"/>
          <w:sz w:val="22"/>
          <w:szCs w:val="22"/>
        </w:rPr>
        <w:t xml:space="preserve"> kaip neatitinkantys pirkimo dokumentuose nustatytų reikalavimų, </w:t>
      </w:r>
      <w:r w:rsidRPr="00FD2895">
        <w:rPr>
          <w:rFonts w:eastAsia="Calibri"/>
          <w:b/>
          <w:color w:val="000000"/>
          <w:sz w:val="22"/>
          <w:szCs w:val="22"/>
        </w:rPr>
        <w:t>jei</w:t>
      </w:r>
      <w:r w:rsidRPr="00FD2895">
        <w:rPr>
          <w:rFonts w:eastAsia="Calibri"/>
          <w:bCs/>
          <w:color w:val="000000"/>
          <w:sz w:val="22"/>
          <w:szCs w:val="22"/>
        </w:rPr>
        <w:t xml:space="preserve"> pasiūlytas transporto priemonių </w:t>
      </w:r>
      <w:r w:rsidRPr="00FD2895">
        <w:rPr>
          <w:rFonts w:eastAsia="Calibri"/>
          <w:b/>
          <w:color w:val="000000"/>
          <w:sz w:val="22"/>
          <w:szCs w:val="22"/>
        </w:rPr>
        <w:t>pristatymo terminas bus ilgesnis nei 60 dienų</w:t>
      </w:r>
      <w:r w:rsidRPr="00FD2895">
        <w:rPr>
          <w:rFonts w:eastAsia="Calibri"/>
          <w:bCs/>
          <w:color w:val="000000"/>
          <w:sz w:val="22"/>
          <w:szCs w:val="22"/>
        </w:rPr>
        <w:t>.</w:t>
      </w:r>
    </w:p>
    <w:p w14:paraId="39DAE101" w14:textId="77777777" w:rsidR="007363C1" w:rsidRPr="00FD2895" w:rsidRDefault="007363C1" w:rsidP="007363C1">
      <w:pPr>
        <w:ind w:firstLine="567"/>
        <w:rPr>
          <w:b/>
        </w:rPr>
      </w:pPr>
    </w:p>
    <w:bookmarkEnd w:id="0"/>
    <w:p w14:paraId="0040F463" w14:textId="48610A91" w:rsidR="00144F87" w:rsidRPr="00144F87" w:rsidRDefault="00F64CEB" w:rsidP="00144F87">
      <w:pPr>
        <w:tabs>
          <w:tab w:val="left" w:pos="1701"/>
        </w:tabs>
        <w:contextualSpacing/>
        <w:rPr>
          <w:bCs/>
          <w:sz w:val="22"/>
          <w:szCs w:val="22"/>
          <w:u w:val="single"/>
        </w:rPr>
      </w:pPr>
      <w:r>
        <w:rPr>
          <w:bCs/>
          <w:sz w:val="22"/>
          <w:szCs w:val="22"/>
        </w:rPr>
        <w:tab/>
      </w:r>
      <w:r w:rsidR="00144F87" w:rsidRPr="00144F87">
        <w:rPr>
          <w:bCs/>
          <w:sz w:val="22"/>
          <w:szCs w:val="22"/>
        </w:rPr>
        <w:tab/>
      </w:r>
      <w:r w:rsidR="00144F87" w:rsidRPr="00144F87">
        <w:rPr>
          <w:bCs/>
          <w:sz w:val="22"/>
          <w:szCs w:val="22"/>
        </w:rPr>
        <w:tab/>
      </w:r>
      <w:r w:rsidR="00144F87" w:rsidRPr="00144F87">
        <w:rPr>
          <w:bCs/>
          <w:sz w:val="22"/>
          <w:szCs w:val="22"/>
          <w:u w:val="single"/>
        </w:rPr>
        <w:tab/>
      </w:r>
      <w:r w:rsidR="00144F87" w:rsidRPr="00144F87">
        <w:rPr>
          <w:bCs/>
          <w:sz w:val="22"/>
          <w:szCs w:val="22"/>
          <w:u w:val="single"/>
        </w:rPr>
        <w:tab/>
      </w:r>
    </w:p>
    <w:sectPr w:rsidR="00144F87" w:rsidRPr="00144F87" w:rsidSect="00956E72">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5996" w14:textId="77777777" w:rsidR="00E420F4" w:rsidRDefault="00E420F4" w:rsidP="00920CDE">
      <w:r>
        <w:separator/>
      </w:r>
    </w:p>
  </w:endnote>
  <w:endnote w:type="continuationSeparator" w:id="0">
    <w:p w14:paraId="326EF5AD" w14:textId="77777777" w:rsidR="00E420F4" w:rsidRDefault="00E420F4" w:rsidP="0092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40533199"/>
      <w:docPartObj>
        <w:docPartGallery w:val="Page Numbers (Bottom of Page)"/>
        <w:docPartUnique/>
      </w:docPartObj>
    </w:sdtPr>
    <w:sdtContent>
      <w:sdt>
        <w:sdtPr>
          <w:rPr>
            <w:sz w:val="20"/>
          </w:rPr>
          <w:id w:val="1728636285"/>
          <w:docPartObj>
            <w:docPartGallery w:val="Page Numbers (Top of Page)"/>
            <w:docPartUnique/>
          </w:docPartObj>
        </w:sdtPr>
        <w:sdtContent>
          <w:p w14:paraId="497C5B20" w14:textId="64427D39" w:rsidR="00920CDE" w:rsidRPr="00920CDE" w:rsidRDefault="00920CDE" w:rsidP="00920CDE">
            <w:pPr>
              <w:pStyle w:val="Porat"/>
              <w:jc w:val="center"/>
              <w:rPr>
                <w:sz w:val="20"/>
              </w:rPr>
            </w:pPr>
            <w:r w:rsidRPr="00920CDE">
              <w:rPr>
                <w:sz w:val="20"/>
              </w:rPr>
              <w:t xml:space="preserve">Page </w:t>
            </w:r>
            <w:r w:rsidRPr="00920CDE">
              <w:rPr>
                <w:b/>
                <w:bCs/>
                <w:sz w:val="20"/>
              </w:rPr>
              <w:fldChar w:fldCharType="begin"/>
            </w:r>
            <w:r w:rsidRPr="00920CDE">
              <w:rPr>
                <w:b/>
                <w:bCs/>
                <w:sz w:val="20"/>
              </w:rPr>
              <w:instrText xml:space="preserve"> PAGE </w:instrText>
            </w:r>
            <w:r w:rsidRPr="00920CDE">
              <w:rPr>
                <w:b/>
                <w:bCs/>
                <w:sz w:val="20"/>
              </w:rPr>
              <w:fldChar w:fldCharType="separate"/>
            </w:r>
            <w:r w:rsidRPr="00920CDE">
              <w:rPr>
                <w:b/>
                <w:bCs/>
                <w:noProof/>
                <w:sz w:val="20"/>
              </w:rPr>
              <w:t>2</w:t>
            </w:r>
            <w:r w:rsidRPr="00920CDE">
              <w:rPr>
                <w:b/>
                <w:bCs/>
                <w:sz w:val="20"/>
              </w:rPr>
              <w:fldChar w:fldCharType="end"/>
            </w:r>
            <w:r w:rsidRPr="00920CDE">
              <w:rPr>
                <w:sz w:val="20"/>
              </w:rPr>
              <w:t xml:space="preserve"> of </w:t>
            </w:r>
            <w:r w:rsidRPr="00920CDE">
              <w:rPr>
                <w:b/>
                <w:bCs/>
                <w:sz w:val="20"/>
              </w:rPr>
              <w:fldChar w:fldCharType="begin"/>
            </w:r>
            <w:r w:rsidRPr="00920CDE">
              <w:rPr>
                <w:b/>
                <w:bCs/>
                <w:sz w:val="20"/>
              </w:rPr>
              <w:instrText xml:space="preserve"> NUMPAGES  </w:instrText>
            </w:r>
            <w:r w:rsidRPr="00920CDE">
              <w:rPr>
                <w:b/>
                <w:bCs/>
                <w:sz w:val="20"/>
              </w:rPr>
              <w:fldChar w:fldCharType="separate"/>
            </w:r>
            <w:r w:rsidRPr="00920CDE">
              <w:rPr>
                <w:b/>
                <w:bCs/>
                <w:noProof/>
                <w:sz w:val="20"/>
              </w:rPr>
              <w:t>2</w:t>
            </w:r>
            <w:r w:rsidRPr="00920CDE">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A97B" w14:textId="77777777" w:rsidR="00E420F4" w:rsidRDefault="00E420F4" w:rsidP="00920CDE">
      <w:r>
        <w:separator/>
      </w:r>
    </w:p>
  </w:footnote>
  <w:footnote w:type="continuationSeparator" w:id="0">
    <w:p w14:paraId="7667D64C" w14:textId="77777777" w:rsidR="00E420F4" w:rsidRDefault="00E420F4" w:rsidP="0092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D241C9"/>
    <w:multiLevelType w:val="hybridMultilevel"/>
    <w:tmpl w:val="D5FA774E"/>
    <w:lvl w:ilvl="0" w:tplc="65CCCEA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364680">
    <w:abstractNumId w:val="1"/>
  </w:num>
  <w:num w:numId="2" w16cid:durableId="879322557">
    <w:abstractNumId w:val="2"/>
  </w:num>
  <w:num w:numId="3" w16cid:durableId="927269570">
    <w:abstractNumId w:val="5"/>
  </w:num>
  <w:num w:numId="4" w16cid:durableId="1644963232">
    <w:abstractNumId w:val="0"/>
  </w:num>
  <w:num w:numId="5" w16cid:durableId="1624114982">
    <w:abstractNumId w:val="3"/>
  </w:num>
  <w:num w:numId="6" w16cid:durableId="535852534">
    <w:abstractNumId w:val="4"/>
  </w:num>
  <w:num w:numId="7" w16cid:durableId="1244952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5B"/>
    <w:rsid w:val="0001729A"/>
    <w:rsid w:val="000219B0"/>
    <w:rsid w:val="00022E50"/>
    <w:rsid w:val="00040A50"/>
    <w:rsid w:val="00045A40"/>
    <w:rsid w:val="00046CBF"/>
    <w:rsid w:val="00046F18"/>
    <w:rsid w:val="00056F9C"/>
    <w:rsid w:val="0007108A"/>
    <w:rsid w:val="000834C1"/>
    <w:rsid w:val="0008477F"/>
    <w:rsid w:val="00090753"/>
    <w:rsid w:val="0009090A"/>
    <w:rsid w:val="0009219F"/>
    <w:rsid w:val="00097E08"/>
    <w:rsid w:val="000A1B7A"/>
    <w:rsid w:val="000B0FD9"/>
    <w:rsid w:val="000C48CF"/>
    <w:rsid w:val="000E4316"/>
    <w:rsid w:val="000F094D"/>
    <w:rsid w:val="000F49D2"/>
    <w:rsid w:val="00100772"/>
    <w:rsid w:val="0010106D"/>
    <w:rsid w:val="00105F61"/>
    <w:rsid w:val="001119E6"/>
    <w:rsid w:val="00117D63"/>
    <w:rsid w:val="00122C59"/>
    <w:rsid w:val="00140942"/>
    <w:rsid w:val="001441AC"/>
    <w:rsid w:val="00144F87"/>
    <w:rsid w:val="00151A34"/>
    <w:rsid w:val="00152022"/>
    <w:rsid w:val="0015407F"/>
    <w:rsid w:val="0015657C"/>
    <w:rsid w:val="00157B08"/>
    <w:rsid w:val="001624C6"/>
    <w:rsid w:val="00162E2E"/>
    <w:rsid w:val="00165A59"/>
    <w:rsid w:val="001745FF"/>
    <w:rsid w:val="001746F8"/>
    <w:rsid w:val="001807CD"/>
    <w:rsid w:val="001823D7"/>
    <w:rsid w:val="001875B3"/>
    <w:rsid w:val="00197867"/>
    <w:rsid w:val="001B3BDD"/>
    <w:rsid w:val="001C6376"/>
    <w:rsid w:val="001D7B1C"/>
    <w:rsid w:val="001E6BE6"/>
    <w:rsid w:val="0020507A"/>
    <w:rsid w:val="002306BB"/>
    <w:rsid w:val="00233F73"/>
    <w:rsid w:val="002408C0"/>
    <w:rsid w:val="00250795"/>
    <w:rsid w:val="00250DA2"/>
    <w:rsid w:val="002617DD"/>
    <w:rsid w:val="0026192E"/>
    <w:rsid w:val="00285125"/>
    <w:rsid w:val="002974D0"/>
    <w:rsid w:val="002B11A3"/>
    <w:rsid w:val="002D0FD0"/>
    <w:rsid w:val="002D1959"/>
    <w:rsid w:val="002E1596"/>
    <w:rsid w:val="002F620A"/>
    <w:rsid w:val="0030163E"/>
    <w:rsid w:val="003162A5"/>
    <w:rsid w:val="0031632B"/>
    <w:rsid w:val="003236D1"/>
    <w:rsid w:val="00333FE0"/>
    <w:rsid w:val="0034364E"/>
    <w:rsid w:val="003441F9"/>
    <w:rsid w:val="00353284"/>
    <w:rsid w:val="0035367C"/>
    <w:rsid w:val="00373FFA"/>
    <w:rsid w:val="0038024D"/>
    <w:rsid w:val="00383076"/>
    <w:rsid w:val="003914A7"/>
    <w:rsid w:val="00394DD9"/>
    <w:rsid w:val="00395395"/>
    <w:rsid w:val="0039639B"/>
    <w:rsid w:val="003E1CA0"/>
    <w:rsid w:val="003F0D27"/>
    <w:rsid w:val="003F5575"/>
    <w:rsid w:val="003F627F"/>
    <w:rsid w:val="0040581E"/>
    <w:rsid w:val="0042571E"/>
    <w:rsid w:val="00426196"/>
    <w:rsid w:val="0043575B"/>
    <w:rsid w:val="00437FAA"/>
    <w:rsid w:val="00451A86"/>
    <w:rsid w:val="004703C6"/>
    <w:rsid w:val="00477625"/>
    <w:rsid w:val="0049039D"/>
    <w:rsid w:val="004A3183"/>
    <w:rsid w:val="004A3945"/>
    <w:rsid w:val="004A6A1C"/>
    <w:rsid w:val="004D09B6"/>
    <w:rsid w:val="004D09E8"/>
    <w:rsid w:val="004F0537"/>
    <w:rsid w:val="004F371C"/>
    <w:rsid w:val="00516B01"/>
    <w:rsid w:val="00521976"/>
    <w:rsid w:val="005232A7"/>
    <w:rsid w:val="00533D02"/>
    <w:rsid w:val="00542ACF"/>
    <w:rsid w:val="005629B5"/>
    <w:rsid w:val="00577F8E"/>
    <w:rsid w:val="005829B1"/>
    <w:rsid w:val="0058751F"/>
    <w:rsid w:val="005A7315"/>
    <w:rsid w:val="005A74ED"/>
    <w:rsid w:val="005C1812"/>
    <w:rsid w:val="005C39A6"/>
    <w:rsid w:val="005C4AB4"/>
    <w:rsid w:val="005D5115"/>
    <w:rsid w:val="005D6C9A"/>
    <w:rsid w:val="005D7FB5"/>
    <w:rsid w:val="005E3353"/>
    <w:rsid w:val="005E460D"/>
    <w:rsid w:val="005E7561"/>
    <w:rsid w:val="005F38AB"/>
    <w:rsid w:val="0062330F"/>
    <w:rsid w:val="0063751E"/>
    <w:rsid w:val="00655DC1"/>
    <w:rsid w:val="006611D3"/>
    <w:rsid w:val="00670DE9"/>
    <w:rsid w:val="00673623"/>
    <w:rsid w:val="00684A1C"/>
    <w:rsid w:val="00685216"/>
    <w:rsid w:val="00690F89"/>
    <w:rsid w:val="00692F2A"/>
    <w:rsid w:val="006932DC"/>
    <w:rsid w:val="00693FCB"/>
    <w:rsid w:val="006B462A"/>
    <w:rsid w:val="006B5EE7"/>
    <w:rsid w:val="007020C7"/>
    <w:rsid w:val="00704BD9"/>
    <w:rsid w:val="0071053E"/>
    <w:rsid w:val="0071122E"/>
    <w:rsid w:val="007222A4"/>
    <w:rsid w:val="007320F9"/>
    <w:rsid w:val="007344FB"/>
    <w:rsid w:val="0073586C"/>
    <w:rsid w:val="007363C1"/>
    <w:rsid w:val="00743245"/>
    <w:rsid w:val="007433CA"/>
    <w:rsid w:val="00743BE2"/>
    <w:rsid w:val="00783133"/>
    <w:rsid w:val="0078697D"/>
    <w:rsid w:val="00792B69"/>
    <w:rsid w:val="007A63A9"/>
    <w:rsid w:val="007C3964"/>
    <w:rsid w:val="007D211C"/>
    <w:rsid w:val="0080131C"/>
    <w:rsid w:val="0081399C"/>
    <w:rsid w:val="008233DA"/>
    <w:rsid w:val="00824405"/>
    <w:rsid w:val="008517A8"/>
    <w:rsid w:val="00853C35"/>
    <w:rsid w:val="00865F9F"/>
    <w:rsid w:val="00880CA3"/>
    <w:rsid w:val="008A0D9C"/>
    <w:rsid w:val="008A0F49"/>
    <w:rsid w:val="008B538E"/>
    <w:rsid w:val="008B5C2E"/>
    <w:rsid w:val="008C0807"/>
    <w:rsid w:val="008C660C"/>
    <w:rsid w:val="008F68E3"/>
    <w:rsid w:val="00920CDE"/>
    <w:rsid w:val="0094257E"/>
    <w:rsid w:val="00953F52"/>
    <w:rsid w:val="00956E72"/>
    <w:rsid w:val="00986387"/>
    <w:rsid w:val="009932B4"/>
    <w:rsid w:val="009C66A9"/>
    <w:rsid w:val="009C7DEF"/>
    <w:rsid w:val="009D02C1"/>
    <w:rsid w:val="009D7892"/>
    <w:rsid w:val="009F0A43"/>
    <w:rsid w:val="009F664F"/>
    <w:rsid w:val="009F763A"/>
    <w:rsid w:val="00A043E4"/>
    <w:rsid w:val="00A15728"/>
    <w:rsid w:val="00A1732A"/>
    <w:rsid w:val="00A175A5"/>
    <w:rsid w:val="00A22013"/>
    <w:rsid w:val="00A378CB"/>
    <w:rsid w:val="00A528AF"/>
    <w:rsid w:val="00A87B74"/>
    <w:rsid w:val="00AB3246"/>
    <w:rsid w:val="00AB6C77"/>
    <w:rsid w:val="00AC1068"/>
    <w:rsid w:val="00AC38D5"/>
    <w:rsid w:val="00AC7019"/>
    <w:rsid w:val="00AC7E42"/>
    <w:rsid w:val="00AD0C61"/>
    <w:rsid w:val="00AD6037"/>
    <w:rsid w:val="00AE102D"/>
    <w:rsid w:val="00AE489A"/>
    <w:rsid w:val="00B02CDB"/>
    <w:rsid w:val="00B0626C"/>
    <w:rsid w:val="00B24989"/>
    <w:rsid w:val="00B27155"/>
    <w:rsid w:val="00BA505F"/>
    <w:rsid w:val="00BB0D4D"/>
    <w:rsid w:val="00BB1569"/>
    <w:rsid w:val="00BB3453"/>
    <w:rsid w:val="00BC14A6"/>
    <w:rsid w:val="00BD6C84"/>
    <w:rsid w:val="00BE1D08"/>
    <w:rsid w:val="00BE5FB8"/>
    <w:rsid w:val="00BF1650"/>
    <w:rsid w:val="00C011B0"/>
    <w:rsid w:val="00C02DE9"/>
    <w:rsid w:val="00C12E40"/>
    <w:rsid w:val="00C1645E"/>
    <w:rsid w:val="00C2048C"/>
    <w:rsid w:val="00C31CC9"/>
    <w:rsid w:val="00C42AE0"/>
    <w:rsid w:val="00C4367D"/>
    <w:rsid w:val="00C5093E"/>
    <w:rsid w:val="00C61A25"/>
    <w:rsid w:val="00C72A36"/>
    <w:rsid w:val="00C77EE1"/>
    <w:rsid w:val="00C86555"/>
    <w:rsid w:val="00C87654"/>
    <w:rsid w:val="00C95DD8"/>
    <w:rsid w:val="00CA7C97"/>
    <w:rsid w:val="00CB041E"/>
    <w:rsid w:val="00CB5B81"/>
    <w:rsid w:val="00CD772A"/>
    <w:rsid w:val="00CE1F3C"/>
    <w:rsid w:val="00CE4925"/>
    <w:rsid w:val="00CF2A48"/>
    <w:rsid w:val="00CF2CC1"/>
    <w:rsid w:val="00D07680"/>
    <w:rsid w:val="00D25E53"/>
    <w:rsid w:val="00D33F48"/>
    <w:rsid w:val="00D4465F"/>
    <w:rsid w:val="00D5288B"/>
    <w:rsid w:val="00D55ECE"/>
    <w:rsid w:val="00D751FD"/>
    <w:rsid w:val="00DB0FD4"/>
    <w:rsid w:val="00DB61B0"/>
    <w:rsid w:val="00DC2095"/>
    <w:rsid w:val="00DC4F56"/>
    <w:rsid w:val="00DC5AC1"/>
    <w:rsid w:val="00DC6B84"/>
    <w:rsid w:val="00E016F5"/>
    <w:rsid w:val="00E1066E"/>
    <w:rsid w:val="00E21052"/>
    <w:rsid w:val="00E214ED"/>
    <w:rsid w:val="00E266C4"/>
    <w:rsid w:val="00E420F4"/>
    <w:rsid w:val="00E464AE"/>
    <w:rsid w:val="00E70E98"/>
    <w:rsid w:val="00E7373E"/>
    <w:rsid w:val="00E74440"/>
    <w:rsid w:val="00E80182"/>
    <w:rsid w:val="00E805CC"/>
    <w:rsid w:val="00E84B8D"/>
    <w:rsid w:val="00E93667"/>
    <w:rsid w:val="00ED49FD"/>
    <w:rsid w:val="00ED5446"/>
    <w:rsid w:val="00ED6259"/>
    <w:rsid w:val="00EF569E"/>
    <w:rsid w:val="00F112F5"/>
    <w:rsid w:val="00F11924"/>
    <w:rsid w:val="00F24101"/>
    <w:rsid w:val="00F3645B"/>
    <w:rsid w:val="00F51BE3"/>
    <w:rsid w:val="00F633D7"/>
    <w:rsid w:val="00F63AEA"/>
    <w:rsid w:val="00F64585"/>
    <w:rsid w:val="00F64CEB"/>
    <w:rsid w:val="00F71CB4"/>
    <w:rsid w:val="00F741E3"/>
    <w:rsid w:val="00F7537B"/>
    <w:rsid w:val="00F9564B"/>
    <w:rsid w:val="00F95C50"/>
    <w:rsid w:val="00FA183F"/>
    <w:rsid w:val="00FB03D9"/>
    <w:rsid w:val="00FB1BD0"/>
    <w:rsid w:val="00FB2F41"/>
    <w:rsid w:val="00FB3F62"/>
    <w:rsid w:val="00FB583F"/>
    <w:rsid w:val="00FB7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153"/>
  <w15:docId w15:val="{40C3EBA4-9675-4374-94E8-E3A929E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C2E"/>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Pataisymai">
    <w:name w:val="Revision"/>
    <w:hidden/>
    <w:uiPriority w:val="99"/>
    <w:semiHidden/>
    <w:rsid w:val="00437FAA"/>
    <w:pPr>
      <w:spacing w:after="0" w:line="240" w:lineRule="auto"/>
    </w:pPr>
    <w:rPr>
      <w:rFonts w:ascii="Times New Roman" w:hAnsi="Times New Roman" w:cs="Times New Roman"/>
      <w:sz w:val="24"/>
      <w:szCs w:val="20"/>
    </w:rPr>
  </w:style>
  <w:style w:type="paragraph" w:styleId="Antrats">
    <w:name w:val="header"/>
    <w:basedOn w:val="prastasis"/>
    <w:link w:val="AntratsDiagrama"/>
    <w:uiPriority w:val="99"/>
    <w:unhideWhenUsed/>
    <w:rsid w:val="00920CDE"/>
    <w:pPr>
      <w:tabs>
        <w:tab w:val="center" w:pos="4986"/>
        <w:tab w:val="right" w:pos="9972"/>
      </w:tabs>
    </w:pPr>
  </w:style>
  <w:style w:type="character" w:customStyle="1" w:styleId="AntratsDiagrama">
    <w:name w:val="Antraštės Diagrama"/>
    <w:basedOn w:val="Numatytasispastraiposriftas"/>
    <w:link w:val="Antrats"/>
    <w:uiPriority w:val="99"/>
    <w:rsid w:val="00920CDE"/>
    <w:rPr>
      <w:rFonts w:ascii="Times New Roman" w:hAnsi="Times New Roman" w:cs="Times New Roman"/>
      <w:sz w:val="24"/>
      <w:szCs w:val="20"/>
    </w:rPr>
  </w:style>
  <w:style w:type="paragraph" w:styleId="Porat">
    <w:name w:val="footer"/>
    <w:basedOn w:val="prastasis"/>
    <w:link w:val="PoratDiagrama"/>
    <w:uiPriority w:val="99"/>
    <w:unhideWhenUsed/>
    <w:rsid w:val="00920CDE"/>
    <w:pPr>
      <w:tabs>
        <w:tab w:val="center" w:pos="4986"/>
        <w:tab w:val="right" w:pos="9972"/>
      </w:tabs>
    </w:pPr>
  </w:style>
  <w:style w:type="character" w:customStyle="1" w:styleId="PoratDiagrama">
    <w:name w:val="Poraštė Diagrama"/>
    <w:basedOn w:val="Numatytasispastraiposriftas"/>
    <w:link w:val="Porat"/>
    <w:uiPriority w:val="99"/>
    <w:rsid w:val="00920C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1989">
      <w:bodyDiv w:val="1"/>
      <w:marLeft w:val="0"/>
      <w:marRight w:val="0"/>
      <w:marTop w:val="0"/>
      <w:marBottom w:val="0"/>
      <w:divBdr>
        <w:top w:val="none" w:sz="0" w:space="0" w:color="auto"/>
        <w:left w:val="none" w:sz="0" w:space="0" w:color="auto"/>
        <w:bottom w:val="none" w:sz="0" w:space="0" w:color="auto"/>
        <w:right w:val="none" w:sz="0" w:space="0" w:color="auto"/>
      </w:divBdr>
    </w:div>
    <w:div w:id="655300217">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 w:id="17746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AB4E-7158-4B86-8CAD-7E1A2C36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1799</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solveiga.kutkiene@klap.lt</cp:lastModifiedBy>
  <cp:revision>21</cp:revision>
  <cp:lastPrinted>2024-09-16T06:28:00Z</cp:lastPrinted>
  <dcterms:created xsi:type="dcterms:W3CDTF">2024-12-19T14:05:00Z</dcterms:created>
  <dcterms:modified xsi:type="dcterms:W3CDTF">2025-12-16T11:12:00Z</dcterms:modified>
</cp:coreProperties>
</file>