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2559050</wp:posOffset>
            </wp:positionH>
            <wp:positionV relativeFrom="paragraph">
              <wp:posOffset>-151341</wp:posOffset>
            </wp:positionV>
            <wp:extent cx="659130" cy="3429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UAB „Roche Lietuva“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120" w:before="120" w:lineRule="auto"/>
        <w:ind w:left="0" w:firstLine="0"/>
        <w:jc w:val="left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Viešoji įstaiga Šeškinės poliklinika</w:t>
      </w:r>
    </w:p>
    <w:p w:rsidR="00000000" w:rsidDel="00000000" w:rsidP="00000000" w:rsidRDefault="00000000" w:rsidRPr="00000000" w14:paraId="00000006">
      <w:pPr>
        <w:pStyle w:val="Title"/>
        <w:spacing w:after="120" w:befor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Šeškinės g. 24, Vilnius </w:t>
      </w:r>
    </w:p>
    <w:p w:rsidR="00000000" w:rsidDel="00000000" w:rsidP="00000000" w:rsidRDefault="00000000" w:rsidRPr="00000000" w14:paraId="00000007">
      <w:pPr>
        <w:pStyle w:val="Title"/>
        <w:spacing w:after="120" w:before="12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120" w:before="12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DEKLARACIJA DĖL ATITIKIMO </w:t>
      </w:r>
    </w:p>
    <w:p w:rsidR="00000000" w:rsidDel="00000000" w:rsidP="00000000" w:rsidRDefault="00000000" w:rsidRPr="00000000" w14:paraId="00000009">
      <w:pPr>
        <w:pStyle w:val="Title"/>
        <w:spacing w:after="120" w:before="120" w:lineRule="auto"/>
        <w:ind w:left="0" w:right="0" w:firstLine="0"/>
        <w:rPr>
          <w:rFonts w:ascii="Times New Roman" w:cs="Times New Roman" w:eastAsia="Times New Roman" w:hAnsi="Times New Roman"/>
          <w:b w:val="0"/>
          <w:sz w:val="25"/>
          <w:szCs w:val="25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spalio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Vilnius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360" w:lineRule="auto"/>
        <w:ind w:firstLine="70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Viešojo konkurso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ŠP-71921 REAGENTAI IR PAPILDOMOS PRIEMONĖS BIOCHEMINIAMS IR IMUNOLOGINIAMS TYRIMAMS ATLIKTI SU ĮRANGOS PANAUDA“  techninėms specifikacijoms.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UAB „Roche Lietuva“ užtikrina, kad: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Siūloma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cobas pro ISEneo/c503/e801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įranga yra nauja (įrangos pagaminimo metai ne senesni kaip 12 mėn. nuo pasiūlymų pateikimo termino pabaigos), įranga nėra demonstracinė, naudota arba naudota ir atnaujinta (angl.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refurbished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Tiekėjas užtikrina, kad siūloma įranga turi technines galimybes būti prijungta prie laboratorinės informacinės sistemos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OpenLims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Stapro s. r. o., Čekija. Tiekėjas įsipareigoja pateikti visą reikiamą informaciją analizatorių tinkamam pajungimui į LIS dvikrypčiu ryšiu (į analizatorių ateina užsakymas su paciento duomenimis (vardas, pavardė, gimimo data, lytis ir atsakymas grįžta į LIS) ir patvirtina, kad siūlomas analizatorius visiškai suderinamas su įstaigos naudojama LIS, bei užtikrina, jog, jungiant siūlomą analizatorių prie LIS, tarpininkaus siekiant, kad nekiltų techninių kliūčių pajungimui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Tiekėjas užtikrina, kad numatytoms kiekybiškai matuojamoms analitėms bus atliekama ne mažiau kaip 2 lygių kokybės kontrolės bei pateikiami visi reikalingi reagentai kaip numato gamintojas.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cobas pro ISEneo/c503/e801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sistemoje yra nuotolinio prisijungimo galimybė techninio aptarnavimo specialistui, leidžianti nuotoliniu būdu perduoti informaciją, atlikti prevencinius ir diagnostinius veiksmus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Visos siūlomos prekės (reagentai, medžiagos ir papildomos priemonės, kontrolinės medžiagos ir kitos papildomos priemonės) yra originalios, kokybiškos, naujos ir tinkamos darbui su siūlomu analizatoriumi. Pasiūlyme įtrauktos gamintojo Bio-rad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Vokietija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kontrolės (angl.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3rd party control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kurios yra suderinamos su Roche analizatoriais.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Kartu su analizatoriumi pristatoma: nepertraukiamo maitinimo šaltinis (-iai) spausdintuvas, reikalinga programinė įranga ir kitos reikalingos priemonės. Priemonės tyrimų protokolų spausdinimui ar kitos kanceliarinės prekės (pvz. kasetės į spausdintuvus) yra įskaičiuotos į tyrimų kainą.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Savo sąskaita bus užtikrinama perduotos įrangos (aparatūrinės ir programinės) techninė priežiūra gamintojo rekomenduojamu periodiškumu, galimų defektų ir/ar gedimų šalinimas/remontas, įskaitant reikalingas detales bei medžiagas, visą sutarties galiojimo terminą.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360" w:lineRule="auto"/>
        <w:ind w:left="1426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Yra nuotolinio prisijungimo galimybė techninio aptarnavimo specialistui, leidžianti nuotoliniu būdu perduoti informaciją, atlikti prevencinius ir diagnostinius veiksmus.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36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Užtikriname galimybę įgyvendinti B2B VPN (angl.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Busness to Busness Virtual Private Network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sujungimą tarp Perkančiosios ir tiekėjo organizacijų.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Užtikriname, kad prie nutolusio valdymo sistemos galėtų prieiti tik tiekėjo autorizuoti darbuotojai iš tiekėjo valdomų ir autorizuotų įrenginių.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Užtikriname, kad nutolusio valdymo sistema generuotų įvykių žurnalą. Įvykių žurnalai turi registruoti visas prisijungimo sesijas ir registruoti ne mažiau kaip įrenginio informaciją, vartotojo informaciją ir sesijos pradžios ir pabaigos laikus.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Pagarbiai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861"/>
        </w:tabs>
        <w:spacing w:after="120" w:before="120"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UAB „Roche Lietuva“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77" w:right="1480"/>
      <w:jc w:val="center"/>
    </w:pPr>
    <w:rPr>
      <w:rFonts w:ascii="Century Gothic" w:cs="Century Gothic" w:eastAsia="Century Gothic" w:hAnsi="Century Gothic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167" w:lineRule="exact"/>
    </w:pPr>
    <w:rPr>
      <w:rFonts w:ascii="Cambria" w:cs="Cambria" w:eastAsia="Cambria" w:hAnsi="Cambria"/>
    </w:rPr>
  </w:style>
  <w:style w:type="paragraph" w:styleId="Header">
    <w:name w:val="header"/>
    <w:basedOn w:val="Normal"/>
    <w:link w:val="HeaderChar"/>
    <w:uiPriority w:val="99"/>
    <w:unhideWhenUsed w:val="1"/>
    <w:rsid w:val="006553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5310"/>
    <w:rPr>
      <w:rFonts w:ascii="Calibri" w:cs="Calibri" w:eastAsia="Calibri" w:hAnsi="Calibri"/>
      <w:lang w:val="lt-LT"/>
    </w:rPr>
  </w:style>
  <w:style w:type="paragraph" w:styleId="Footer">
    <w:name w:val="footer"/>
    <w:basedOn w:val="Normal"/>
    <w:link w:val="FooterChar"/>
    <w:uiPriority w:val="99"/>
    <w:unhideWhenUsed w:val="1"/>
    <w:rsid w:val="006553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5310"/>
    <w:rPr>
      <w:rFonts w:ascii="Calibri" w:cs="Calibri" w:eastAsia="Calibri" w:hAnsi="Calibri"/>
      <w:lang w:val="lt-LT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C3440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e+j89DPQoAcofxCmuufyKmkdA==">CgMxLjAyCGguZ2pkZ3hzOAByITFFcXJqdGF2Tzl3VDdrVGhaRnNGd0FsSld1OUJmREhUcw==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2022-08-25T09:40:00Z</dcterms:created>
  <dc:creator>kavaliab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2020-09-01T00:00:00Z</vt:filetime>
  </property>
</Properties>
</file>