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D91" w:rsidRPr="000E4515" w:rsidRDefault="00F63F6A">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0E4515">
        <w:rPr>
          <w:rFonts w:ascii="Times New Roman" w:hAnsi="Times New Roman"/>
          <w:b/>
          <w:bCs/>
          <w:color w:val="000000" w:themeColor="text1"/>
          <w:spacing w:val="0"/>
          <w:sz w:val="24"/>
          <w:szCs w:val="24"/>
          <w:lang w:val="lt-LT"/>
        </w:rPr>
        <w:t>VILNIAUS UNIVERSITEETO LIGONINĖ SANTAROS KLINIKOS</w:t>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493"/>
        <w:gridCol w:w="1237"/>
        <w:gridCol w:w="4394"/>
        <w:gridCol w:w="2268"/>
        <w:gridCol w:w="1276"/>
        <w:gridCol w:w="1559"/>
        <w:gridCol w:w="1230"/>
        <w:gridCol w:w="1322"/>
      </w:tblGrid>
      <w:tr w:rsidR="005E663C" w:rsidRPr="000C584A" w:rsidTr="00206479">
        <w:trPr>
          <w:trHeight w:val="810"/>
          <w:jc w:val="center"/>
        </w:trPr>
        <w:tc>
          <w:tcPr>
            <w:tcW w:w="1315" w:type="dxa"/>
            <w:gridSpan w:val="2"/>
            <w:tcBorders>
              <w:top w:val="nil"/>
              <w:left w:val="nil"/>
              <w:bottom w:val="single" w:sz="4" w:space="0" w:color="auto"/>
              <w:right w:val="nil"/>
            </w:tcBorders>
          </w:tcPr>
          <w:p w:rsidR="005E663C" w:rsidRPr="00BC5800" w:rsidRDefault="005E663C" w:rsidP="00F2734D">
            <w:pPr>
              <w:pStyle w:val="NormalWeb"/>
              <w:spacing w:before="0" w:beforeAutospacing="0" w:after="40" w:afterAutospacing="0"/>
              <w:jc w:val="right"/>
              <w:rPr>
                <w:sz w:val="22"/>
                <w:szCs w:val="22"/>
              </w:rPr>
            </w:pPr>
          </w:p>
        </w:tc>
        <w:tc>
          <w:tcPr>
            <w:tcW w:w="13286" w:type="dxa"/>
            <w:gridSpan w:val="7"/>
            <w:tcBorders>
              <w:top w:val="nil"/>
              <w:left w:val="nil"/>
              <w:bottom w:val="single" w:sz="4" w:space="0" w:color="auto"/>
              <w:right w:val="nil"/>
            </w:tcBorders>
            <w:shd w:val="clear" w:color="auto" w:fill="auto"/>
          </w:tcPr>
          <w:p w:rsidR="005E663C" w:rsidRDefault="005E663C" w:rsidP="00F2734D">
            <w:pPr>
              <w:pStyle w:val="NormalWeb"/>
              <w:spacing w:before="0" w:beforeAutospacing="0" w:after="40" w:afterAutospacing="0"/>
              <w:jc w:val="right"/>
              <w:rPr>
                <w:sz w:val="22"/>
                <w:szCs w:val="22"/>
              </w:rPr>
            </w:pPr>
            <w:r w:rsidRPr="00BC5800">
              <w:rPr>
                <w:sz w:val="22"/>
                <w:szCs w:val="22"/>
              </w:rPr>
              <w:t xml:space="preserve">Pirkimo dokumentų (SPS) </w:t>
            </w:r>
            <w:r>
              <w:rPr>
                <w:sz w:val="22"/>
                <w:szCs w:val="22"/>
              </w:rPr>
              <w:t>1</w:t>
            </w:r>
            <w:r w:rsidRPr="00BC5800">
              <w:rPr>
                <w:sz w:val="22"/>
                <w:szCs w:val="22"/>
              </w:rPr>
              <w:t xml:space="preserve"> priedas</w:t>
            </w:r>
          </w:p>
          <w:p w:rsidR="005E663C" w:rsidRDefault="005E663C" w:rsidP="00F2734D">
            <w:pPr>
              <w:jc w:val="center"/>
              <w:rPr>
                <w:b/>
              </w:rPr>
            </w:pPr>
            <w:r>
              <w:rPr>
                <w:b/>
              </w:rPr>
              <w:t>TECHNINĖ SPECIFIKACIJA</w:t>
            </w:r>
          </w:p>
          <w:p w:rsidR="000E4828" w:rsidRDefault="000E4828" w:rsidP="00F2734D">
            <w:pPr>
              <w:jc w:val="center"/>
              <w:rPr>
                <w:b/>
              </w:rPr>
            </w:pPr>
          </w:p>
          <w:p w:rsidR="000E4828" w:rsidRPr="003034DD" w:rsidRDefault="000E4828" w:rsidP="000E4828">
            <w:pPr>
              <w:rPr>
                <w:b/>
                <w:lang w:eastAsia="lt-LT"/>
              </w:rPr>
            </w:pPr>
            <w:r w:rsidRPr="003034DD">
              <w:rPr>
                <w:b/>
                <w:lang w:eastAsia="lt-LT"/>
              </w:rPr>
              <w:t>Specialieji reikalavimai:</w:t>
            </w:r>
          </w:p>
          <w:p w:rsidR="000E4828" w:rsidRDefault="000E4828" w:rsidP="000E4828">
            <w:pPr>
              <w:rPr>
                <w:lang w:eastAsia="lt-LT"/>
              </w:rPr>
            </w:pPr>
          </w:p>
          <w:p w:rsidR="000E4828" w:rsidRDefault="000E4828" w:rsidP="000E4828">
            <w:pPr>
              <w:pStyle w:val="ListParagraph"/>
              <w:numPr>
                <w:ilvl w:val="0"/>
                <w:numId w:val="17"/>
              </w:numPr>
              <w:spacing w:after="0" w:line="240" w:lineRule="auto"/>
              <w:ind w:left="0" w:firstLine="0"/>
              <w:jc w:val="both"/>
              <w:rPr>
                <w:lang w:eastAsia="lt-LT"/>
              </w:rPr>
            </w:pPr>
            <w:r w:rsidRPr="00361494">
              <w:rPr>
                <w:b/>
              </w:rPr>
              <w:t>Tiekėjas turi pateikti dokumentus</w:t>
            </w:r>
            <w:r w:rsidRPr="00361494">
              <w:t>, įrodančius parduodamos prekės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w:t>
            </w:r>
            <w:r w:rsidRPr="00361494">
              <w:rPr>
                <w:i/>
                <w:iCs/>
              </w:rPr>
              <w:t>pdf</w:t>
            </w:r>
            <w:r w:rsidRPr="00361494">
              <w:t xml:space="preserve"> formatu) su vertimu į lietuvių kalbą. Šiuose dokumentuose tiekėjas turi grafiškai nurodyti (t. y. pastebimai pažymėti – spalvotai markiruoti, ir/ar nurodyti rodyklėmis, ir/ar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 Perkančioji organizacija turi teisę reikalauti pateikti katalogų ir techninių aprašų originalus, o tiekėjui jų nepateikus – pasiūlymą atmesti.</w:t>
            </w:r>
          </w:p>
          <w:p w:rsidR="000E4828" w:rsidRDefault="000E4828" w:rsidP="000E4828">
            <w:pPr>
              <w:pStyle w:val="ListParagraph"/>
              <w:numPr>
                <w:ilvl w:val="0"/>
                <w:numId w:val="17"/>
              </w:numPr>
              <w:spacing w:after="0" w:line="240" w:lineRule="auto"/>
              <w:ind w:left="0" w:firstLine="0"/>
              <w:jc w:val="both"/>
              <w:rPr>
                <w:lang w:eastAsia="lt-LT"/>
              </w:rPr>
            </w:pPr>
            <w:r w:rsidRPr="002E7F13">
              <w:rPr>
                <w:b/>
                <w:color w:val="000000" w:themeColor="text1"/>
                <w:lang w:eastAsia="lt-LT"/>
              </w:rPr>
              <w:t>Tiekėjas turi būti oficialus</w:t>
            </w:r>
            <w:r w:rsidRPr="00BB33FA">
              <w:rPr>
                <w:color w:val="000000" w:themeColor="text1"/>
                <w:lang w:eastAsia="lt-LT"/>
              </w:rPr>
              <w:t xml:space="preserve"> siūlomų prekių gamintojo atstovas arba turi rašytinį susitarimą su tokiu atstovu dėl prekybos siūlomomis prekėmis (jei pats siūlomų prekių negamina). Tiekėjas </w:t>
            </w:r>
            <w:r w:rsidRPr="00BB33FA">
              <w:rPr>
                <w:b/>
                <w:color w:val="000000" w:themeColor="text1"/>
                <w:lang w:eastAsia="lt-LT"/>
              </w:rPr>
              <w:t>kartu su pasiūlymu turi pateikti dokumentus patvirtinančius</w:t>
            </w:r>
            <w:r w:rsidRPr="00BB33FA">
              <w:rPr>
                <w:color w:val="000000" w:themeColor="text1"/>
                <w:lang w:eastAsia="lt-LT"/>
              </w:rPr>
              <w:t xml:space="preserve"> kad yra siūlomų prekių gamintojo oficilaus atstovas arba turi rašytinį susitarimą su tokiu atstovu dėl prekybos siūlomomis pre</w:t>
            </w:r>
            <w:r>
              <w:rPr>
                <w:color w:val="000000" w:themeColor="text1"/>
                <w:lang w:eastAsia="lt-LT"/>
              </w:rPr>
              <w:t>kėmis</w:t>
            </w:r>
          </w:p>
          <w:p w:rsidR="005E663C" w:rsidRPr="00806F2D" w:rsidRDefault="005E663C" w:rsidP="008A26E0">
            <w:pPr>
              <w:jc w:val="center"/>
              <w:rPr>
                <w:b/>
                <w:bCs/>
                <w:color w:val="000000"/>
                <w:sz w:val="22"/>
                <w:szCs w:val="22"/>
                <w:lang w:val="lt-LT" w:eastAsia="lt-LT"/>
              </w:rPr>
            </w:pPr>
          </w:p>
        </w:tc>
      </w:tr>
      <w:tr w:rsidR="00B60B7C" w:rsidRPr="00BF0F91" w:rsidTr="00E22D74">
        <w:trPr>
          <w:trHeight w:val="810"/>
          <w:jc w:val="center"/>
        </w:trPr>
        <w:tc>
          <w:tcPr>
            <w:tcW w:w="822" w:type="dxa"/>
            <w:tcBorders>
              <w:top w:val="single" w:sz="4" w:space="0" w:color="auto"/>
            </w:tcBorders>
            <w:shd w:val="clear" w:color="auto" w:fill="auto"/>
            <w:vAlign w:val="center"/>
            <w:hideMark/>
          </w:tcPr>
          <w:p w:rsidR="00B60B7C" w:rsidRPr="00EE01DE" w:rsidRDefault="00B60B7C" w:rsidP="00B60B7C">
            <w:pPr>
              <w:jc w:val="center"/>
              <w:rPr>
                <w:rFonts w:eastAsia="Times New Roman"/>
                <w:b/>
                <w:bCs/>
                <w:color w:val="000000"/>
                <w:sz w:val="20"/>
                <w:szCs w:val="20"/>
                <w:lang w:eastAsia="lt-LT"/>
              </w:rPr>
            </w:pPr>
            <w:r w:rsidRPr="00EE01DE">
              <w:rPr>
                <w:rFonts w:eastAsia="Times New Roman"/>
                <w:b/>
                <w:bCs/>
                <w:color w:val="000000"/>
                <w:sz w:val="20"/>
                <w:szCs w:val="20"/>
                <w:lang w:eastAsia="lt-LT"/>
              </w:rPr>
              <w:t>Pirk. dalies Nr.</w:t>
            </w:r>
          </w:p>
        </w:tc>
        <w:tc>
          <w:tcPr>
            <w:tcW w:w="1730" w:type="dxa"/>
            <w:gridSpan w:val="2"/>
            <w:tcBorders>
              <w:top w:val="single" w:sz="4" w:space="0" w:color="auto"/>
            </w:tcBorders>
            <w:shd w:val="clear" w:color="auto" w:fill="auto"/>
            <w:vAlign w:val="center"/>
            <w:hideMark/>
          </w:tcPr>
          <w:p w:rsidR="00B60B7C" w:rsidRPr="00EE01DE" w:rsidRDefault="00B60B7C" w:rsidP="00B60B7C">
            <w:pPr>
              <w:jc w:val="center"/>
              <w:rPr>
                <w:rFonts w:eastAsia="Times New Roman"/>
                <w:b/>
                <w:bCs/>
                <w:color w:val="000000"/>
                <w:sz w:val="20"/>
                <w:szCs w:val="20"/>
                <w:lang w:eastAsia="lt-LT"/>
              </w:rPr>
            </w:pPr>
            <w:r w:rsidRPr="00EE01DE">
              <w:rPr>
                <w:rFonts w:eastAsia="Times New Roman"/>
                <w:b/>
                <w:bCs/>
                <w:color w:val="000000"/>
                <w:sz w:val="20"/>
                <w:szCs w:val="20"/>
                <w:lang w:eastAsia="lt-LT"/>
              </w:rPr>
              <w:t>Priemonės pavadinimas</w:t>
            </w:r>
          </w:p>
        </w:tc>
        <w:tc>
          <w:tcPr>
            <w:tcW w:w="4394" w:type="dxa"/>
            <w:tcBorders>
              <w:top w:val="single" w:sz="4" w:space="0" w:color="auto"/>
            </w:tcBorders>
            <w:shd w:val="clear" w:color="auto" w:fill="auto"/>
            <w:vAlign w:val="center"/>
            <w:hideMark/>
          </w:tcPr>
          <w:p w:rsidR="00B60B7C" w:rsidRPr="00EE01DE" w:rsidRDefault="00B60B7C" w:rsidP="00B60B7C">
            <w:pPr>
              <w:jc w:val="center"/>
              <w:rPr>
                <w:rFonts w:eastAsia="Times New Roman"/>
                <w:b/>
                <w:bCs/>
                <w:color w:val="000000"/>
                <w:sz w:val="20"/>
                <w:szCs w:val="20"/>
                <w:lang w:eastAsia="lt-LT"/>
              </w:rPr>
            </w:pPr>
            <w:r w:rsidRPr="00EE01DE">
              <w:rPr>
                <w:rFonts w:eastAsia="Times New Roman"/>
                <w:b/>
                <w:bCs/>
                <w:color w:val="000000"/>
                <w:sz w:val="20"/>
                <w:szCs w:val="20"/>
                <w:lang w:eastAsia="lt-LT"/>
              </w:rPr>
              <w:t>Reikalaujami parametrai</w:t>
            </w:r>
          </w:p>
        </w:tc>
        <w:tc>
          <w:tcPr>
            <w:tcW w:w="2268" w:type="dxa"/>
            <w:tcBorders>
              <w:top w:val="single" w:sz="4" w:space="0" w:color="auto"/>
            </w:tcBorders>
            <w:vAlign w:val="center"/>
          </w:tcPr>
          <w:p w:rsidR="00B60B7C" w:rsidRPr="00EE01DE" w:rsidRDefault="00B60B7C" w:rsidP="00B60B7C">
            <w:pPr>
              <w:jc w:val="center"/>
              <w:rPr>
                <w:rFonts w:eastAsia="Times New Roman"/>
                <w:b/>
                <w:bCs/>
                <w:color w:val="000000"/>
                <w:sz w:val="20"/>
                <w:szCs w:val="20"/>
                <w:lang w:eastAsia="lt-LT"/>
              </w:rPr>
            </w:pPr>
            <w:r w:rsidRPr="005E663C">
              <w:rPr>
                <w:rFonts w:eastAsia="Times New Roman"/>
                <w:b/>
                <w:bCs/>
                <w:color w:val="000000"/>
                <w:sz w:val="20"/>
                <w:szCs w:val="20"/>
                <w:lang w:eastAsia="lt-LT"/>
              </w:rPr>
              <w:t>Tiekėjo siūlomų prekių parametrai ir jų reikšmės (dokumento pavadinimas, pasiūlymo psl. Nr., kuriame aprašytas nurodytas parametras,  nuoroda į gamintojo interneto tinklalapį (jei toks yra)</w:t>
            </w:r>
          </w:p>
        </w:tc>
        <w:tc>
          <w:tcPr>
            <w:tcW w:w="1276" w:type="dxa"/>
            <w:tcBorders>
              <w:top w:val="single" w:sz="4" w:space="0" w:color="auto"/>
            </w:tcBorders>
            <w:shd w:val="clear" w:color="auto" w:fill="auto"/>
            <w:vAlign w:val="center"/>
            <w:hideMark/>
          </w:tcPr>
          <w:p w:rsidR="00B60B7C" w:rsidRPr="00B60B7C" w:rsidRDefault="00B60B7C" w:rsidP="00B60B7C">
            <w:pPr>
              <w:pStyle w:val="NoSpacing"/>
              <w:jc w:val="center"/>
              <w:rPr>
                <w:rFonts w:ascii="Times New Roman" w:hAnsi="Times New Roman" w:cs="Times New Roman"/>
                <w:b/>
                <w:sz w:val="21"/>
                <w:szCs w:val="21"/>
              </w:rPr>
            </w:pPr>
            <w:r w:rsidRPr="00B60B7C">
              <w:rPr>
                <w:rFonts w:ascii="Times New Roman" w:hAnsi="Times New Roman" w:cs="Times New Roman"/>
                <w:b/>
                <w:sz w:val="21"/>
                <w:szCs w:val="21"/>
              </w:rPr>
              <w:t>Maksimalus kiekis</w:t>
            </w:r>
          </w:p>
          <w:p w:rsidR="00B60B7C" w:rsidRPr="00B60B7C" w:rsidRDefault="00B60B7C" w:rsidP="00B60B7C">
            <w:pPr>
              <w:pStyle w:val="NoSpacing"/>
              <w:jc w:val="center"/>
              <w:rPr>
                <w:rFonts w:ascii="Times New Roman" w:hAnsi="Times New Roman" w:cs="Times New Roman"/>
                <w:b/>
                <w:sz w:val="21"/>
                <w:szCs w:val="21"/>
              </w:rPr>
            </w:pPr>
            <w:r w:rsidRPr="00B60B7C">
              <w:rPr>
                <w:rFonts w:ascii="Times New Roman" w:hAnsi="Times New Roman" w:cs="Times New Roman"/>
                <w:b/>
                <w:sz w:val="21"/>
                <w:szCs w:val="21"/>
              </w:rPr>
              <w:t>36 mėn.*</w:t>
            </w:r>
          </w:p>
        </w:tc>
        <w:tc>
          <w:tcPr>
            <w:tcW w:w="1559" w:type="dxa"/>
            <w:tcBorders>
              <w:top w:val="single" w:sz="4" w:space="0" w:color="auto"/>
            </w:tcBorders>
            <w:shd w:val="clear" w:color="auto" w:fill="auto"/>
            <w:vAlign w:val="center"/>
            <w:hideMark/>
          </w:tcPr>
          <w:p w:rsidR="00B60B7C" w:rsidRDefault="00B60B7C" w:rsidP="00B60B7C">
            <w:pPr>
              <w:jc w:val="center"/>
              <w:rPr>
                <w:b/>
                <w:bCs/>
                <w:color w:val="000000"/>
                <w:sz w:val="22"/>
                <w:szCs w:val="22"/>
                <w:lang w:eastAsia="lt-LT"/>
              </w:rPr>
            </w:pPr>
            <w:r>
              <w:rPr>
                <w:b/>
                <w:bCs/>
                <w:color w:val="000000"/>
                <w:sz w:val="22"/>
                <w:szCs w:val="22"/>
                <w:lang w:eastAsia="lt-LT"/>
              </w:rPr>
              <w:t>Įkainis</w:t>
            </w:r>
          </w:p>
          <w:p w:rsidR="00B60B7C" w:rsidRDefault="00B60B7C" w:rsidP="00B60B7C">
            <w:pPr>
              <w:jc w:val="center"/>
              <w:rPr>
                <w:b/>
                <w:bCs/>
                <w:color w:val="000000"/>
                <w:sz w:val="22"/>
                <w:szCs w:val="22"/>
                <w:lang w:eastAsia="lt-LT"/>
              </w:rPr>
            </w:pPr>
            <w:r>
              <w:rPr>
                <w:b/>
                <w:bCs/>
                <w:color w:val="000000"/>
                <w:sz w:val="22"/>
                <w:szCs w:val="22"/>
                <w:lang w:eastAsia="lt-LT"/>
              </w:rPr>
              <w:t>1 vnt.</w:t>
            </w:r>
          </w:p>
          <w:p w:rsidR="00B60B7C" w:rsidRPr="00EE01DE" w:rsidRDefault="00B60B7C" w:rsidP="00B60B7C">
            <w:pPr>
              <w:jc w:val="center"/>
              <w:rPr>
                <w:rFonts w:eastAsia="Times New Roman"/>
                <w:b/>
                <w:bCs/>
                <w:color w:val="000000"/>
                <w:sz w:val="20"/>
                <w:szCs w:val="20"/>
                <w:lang w:eastAsia="lt-LT"/>
              </w:rPr>
            </w:pPr>
            <w:r>
              <w:rPr>
                <w:b/>
                <w:bCs/>
                <w:color w:val="000000"/>
                <w:sz w:val="22"/>
                <w:szCs w:val="22"/>
                <w:lang w:eastAsia="lt-LT"/>
              </w:rPr>
              <w:t>Eur be PVM</w:t>
            </w:r>
          </w:p>
        </w:tc>
        <w:tc>
          <w:tcPr>
            <w:tcW w:w="1230" w:type="dxa"/>
            <w:tcBorders>
              <w:top w:val="single" w:sz="4" w:space="0" w:color="auto"/>
            </w:tcBorders>
            <w:shd w:val="clear" w:color="auto" w:fill="auto"/>
            <w:vAlign w:val="center"/>
            <w:hideMark/>
          </w:tcPr>
          <w:p w:rsidR="00B60B7C" w:rsidRDefault="00B60B7C" w:rsidP="00B60B7C">
            <w:pPr>
              <w:jc w:val="center"/>
              <w:rPr>
                <w:b/>
                <w:bCs/>
                <w:color w:val="000000"/>
                <w:sz w:val="22"/>
                <w:szCs w:val="22"/>
                <w:lang w:eastAsia="lt-LT"/>
              </w:rPr>
            </w:pPr>
            <w:r>
              <w:rPr>
                <w:b/>
                <w:bCs/>
                <w:color w:val="000000"/>
                <w:sz w:val="22"/>
                <w:szCs w:val="22"/>
                <w:lang w:eastAsia="lt-LT"/>
              </w:rPr>
              <w:t>Įkainis</w:t>
            </w:r>
          </w:p>
          <w:p w:rsidR="00B60B7C" w:rsidRDefault="00B60B7C" w:rsidP="00B60B7C">
            <w:pPr>
              <w:jc w:val="center"/>
              <w:rPr>
                <w:b/>
                <w:bCs/>
                <w:color w:val="000000"/>
                <w:sz w:val="22"/>
                <w:szCs w:val="22"/>
                <w:lang w:eastAsia="lt-LT"/>
              </w:rPr>
            </w:pPr>
            <w:r>
              <w:rPr>
                <w:b/>
                <w:bCs/>
                <w:color w:val="000000"/>
                <w:sz w:val="22"/>
                <w:szCs w:val="22"/>
                <w:lang w:eastAsia="lt-LT"/>
              </w:rPr>
              <w:t>1 vnt.</w:t>
            </w:r>
          </w:p>
          <w:p w:rsidR="00B60B7C" w:rsidRPr="00EE01DE" w:rsidRDefault="00B60B7C" w:rsidP="00B60B7C">
            <w:pPr>
              <w:jc w:val="center"/>
              <w:rPr>
                <w:rFonts w:eastAsia="Times New Roman"/>
                <w:b/>
                <w:bCs/>
                <w:color w:val="000000"/>
                <w:sz w:val="20"/>
                <w:szCs w:val="20"/>
                <w:lang w:eastAsia="lt-LT"/>
              </w:rPr>
            </w:pPr>
            <w:r>
              <w:rPr>
                <w:b/>
                <w:bCs/>
                <w:color w:val="000000"/>
                <w:sz w:val="22"/>
                <w:szCs w:val="22"/>
                <w:lang w:eastAsia="lt-LT"/>
              </w:rPr>
              <w:t>Eur su PVM</w:t>
            </w:r>
          </w:p>
        </w:tc>
        <w:tc>
          <w:tcPr>
            <w:tcW w:w="1322" w:type="dxa"/>
            <w:tcBorders>
              <w:top w:val="single" w:sz="4" w:space="0" w:color="auto"/>
            </w:tcBorders>
            <w:shd w:val="clear" w:color="auto" w:fill="auto"/>
            <w:vAlign w:val="center"/>
            <w:hideMark/>
          </w:tcPr>
          <w:p w:rsidR="00B60B7C" w:rsidRDefault="00B60B7C" w:rsidP="00B60B7C">
            <w:pPr>
              <w:jc w:val="center"/>
              <w:rPr>
                <w:b/>
                <w:bCs/>
                <w:color w:val="000000"/>
                <w:sz w:val="22"/>
                <w:szCs w:val="22"/>
                <w:lang w:eastAsia="lt-LT"/>
              </w:rPr>
            </w:pPr>
            <w:r>
              <w:rPr>
                <w:b/>
                <w:bCs/>
                <w:color w:val="000000"/>
                <w:sz w:val="22"/>
                <w:szCs w:val="22"/>
                <w:lang w:eastAsia="lt-LT"/>
              </w:rPr>
              <w:t xml:space="preserve">Pasiūlymo kaina </w:t>
            </w:r>
          </w:p>
          <w:p w:rsidR="00B60B7C" w:rsidRPr="00432C2A" w:rsidRDefault="00B60B7C" w:rsidP="00B60B7C">
            <w:pPr>
              <w:jc w:val="center"/>
              <w:rPr>
                <w:b/>
                <w:bCs/>
                <w:color w:val="000000"/>
                <w:sz w:val="22"/>
                <w:szCs w:val="22"/>
                <w:lang w:eastAsia="lt-LT"/>
              </w:rPr>
            </w:pPr>
            <w:r>
              <w:rPr>
                <w:b/>
                <w:bCs/>
                <w:color w:val="000000"/>
                <w:sz w:val="22"/>
                <w:szCs w:val="22"/>
                <w:lang w:eastAsia="lt-LT"/>
              </w:rPr>
              <w:t>Eur su PVM</w:t>
            </w:r>
          </w:p>
        </w:tc>
      </w:tr>
      <w:tr w:rsidR="005E663C" w:rsidRPr="00613489" w:rsidTr="00E22D74">
        <w:trPr>
          <w:trHeight w:val="810"/>
          <w:jc w:val="center"/>
        </w:trPr>
        <w:tc>
          <w:tcPr>
            <w:tcW w:w="822" w:type="dxa"/>
            <w:shd w:val="clear" w:color="auto" w:fill="auto"/>
            <w:vAlign w:val="center"/>
          </w:tcPr>
          <w:p w:rsidR="005E663C" w:rsidRPr="00EE01DE" w:rsidRDefault="005E663C" w:rsidP="005E663C">
            <w:pPr>
              <w:jc w:val="center"/>
              <w:rPr>
                <w:rFonts w:eastAsia="Times New Roman"/>
                <w:bCs/>
                <w:color w:val="000000"/>
                <w:sz w:val="20"/>
                <w:szCs w:val="20"/>
                <w:lang w:eastAsia="lt-LT"/>
              </w:rPr>
            </w:pPr>
            <w:r>
              <w:rPr>
                <w:rFonts w:eastAsia="Times New Roman"/>
                <w:bCs/>
                <w:color w:val="000000"/>
                <w:sz w:val="20"/>
                <w:szCs w:val="20"/>
                <w:lang w:eastAsia="lt-LT"/>
              </w:rPr>
              <w:t>11.</w:t>
            </w:r>
          </w:p>
        </w:tc>
        <w:tc>
          <w:tcPr>
            <w:tcW w:w="1730" w:type="dxa"/>
            <w:gridSpan w:val="2"/>
            <w:shd w:val="clear" w:color="auto" w:fill="auto"/>
            <w:vAlign w:val="center"/>
          </w:tcPr>
          <w:p w:rsidR="005E663C" w:rsidRPr="005E663C" w:rsidRDefault="005E663C" w:rsidP="005E663C">
            <w:pPr>
              <w:jc w:val="center"/>
              <w:rPr>
                <w:sz w:val="22"/>
                <w:szCs w:val="22"/>
              </w:rPr>
            </w:pPr>
            <w:r w:rsidRPr="005E663C">
              <w:rPr>
                <w:sz w:val="22"/>
                <w:szCs w:val="22"/>
              </w:rPr>
              <w:t>Rinkinys maitinamai jejunostomijai</w:t>
            </w:r>
          </w:p>
        </w:tc>
        <w:tc>
          <w:tcPr>
            <w:tcW w:w="4394" w:type="dxa"/>
            <w:shd w:val="clear" w:color="auto" w:fill="auto"/>
            <w:vAlign w:val="center"/>
          </w:tcPr>
          <w:p w:rsidR="005E663C" w:rsidRPr="005E663C" w:rsidRDefault="005E663C" w:rsidP="005E663C">
            <w:pPr>
              <w:jc w:val="center"/>
              <w:rPr>
                <w:noProof/>
                <w:sz w:val="22"/>
                <w:szCs w:val="22"/>
              </w:rPr>
            </w:pPr>
            <w:r w:rsidRPr="005E663C">
              <w:rPr>
                <w:noProof/>
                <w:sz w:val="22"/>
                <w:szCs w:val="22"/>
              </w:rPr>
              <w:t>Poliuretaninis vamzdelis su 6-7 skylutėmis, 73-76cm. ilgio, 9F diametro. Vamzdelis sugraduotas kas 10cm., pradedant 20cm. nuo galo. Rinkinyje privalomos dvi pasidalijančios aštrios adatos 8 ir 12cm. ilgio, pilvo senos ir žarnos  pradurimui bei speciali movavamzdelio fiksavimui prie odos. Taip pat būtinas adapteris „Luer Lock“ maitinimo sistemos pajungimui.</w:t>
            </w:r>
          </w:p>
        </w:tc>
        <w:tc>
          <w:tcPr>
            <w:tcW w:w="2268" w:type="dxa"/>
          </w:tcPr>
          <w:p w:rsidR="005E663C" w:rsidRPr="00444628" w:rsidRDefault="00D24248" w:rsidP="000C584A">
            <w:pPr>
              <w:rPr>
                <w:rFonts w:eastAsia="Times New Roman"/>
                <w:sz w:val="22"/>
                <w:szCs w:val="22"/>
                <w:lang w:eastAsia="lt-LT"/>
              </w:rPr>
            </w:pPr>
            <w:bookmarkStart w:id="0" w:name="_GoBack"/>
            <w:r w:rsidRPr="00444628">
              <w:rPr>
                <w:rFonts w:eastAsia="Times New Roman"/>
                <w:sz w:val="22"/>
                <w:szCs w:val="22"/>
                <w:lang w:eastAsia="lt-LT"/>
              </w:rPr>
              <w:t>Nr.11_Jejunostomija_</w:t>
            </w:r>
            <w:r w:rsidR="006F0E37" w:rsidRPr="00444628">
              <w:rPr>
                <w:rFonts w:eastAsia="Times New Roman"/>
                <w:sz w:val="22"/>
                <w:szCs w:val="22"/>
                <w:lang w:eastAsia="lt-LT"/>
              </w:rPr>
              <w:t>Nr.2300.00</w:t>
            </w:r>
            <w:r w:rsidRPr="00444628">
              <w:rPr>
                <w:rFonts w:eastAsia="Times New Roman"/>
                <w:sz w:val="22"/>
                <w:szCs w:val="22"/>
                <w:lang w:eastAsia="lt-LT"/>
              </w:rPr>
              <w:t xml:space="preserve"> </w:t>
            </w:r>
            <w:bookmarkEnd w:id="0"/>
            <w:r w:rsidRPr="00444628">
              <w:rPr>
                <w:rFonts w:eastAsia="Times New Roman"/>
                <w:sz w:val="22"/>
                <w:szCs w:val="22"/>
                <w:lang w:eastAsia="lt-LT"/>
              </w:rPr>
              <w:t>VYG</w:t>
            </w:r>
            <w:r w:rsidR="0056664D" w:rsidRPr="00444628">
              <w:rPr>
                <w:rFonts w:eastAsia="Times New Roman"/>
                <w:sz w:val="22"/>
                <w:szCs w:val="22"/>
                <w:lang w:eastAsia="lt-LT"/>
              </w:rPr>
              <w:t>ON_psl.1</w:t>
            </w:r>
          </w:p>
          <w:p w:rsidR="006F0E37" w:rsidRPr="00444628" w:rsidRDefault="006F0E37" w:rsidP="005E663C">
            <w:pPr>
              <w:jc w:val="center"/>
              <w:rPr>
                <w:rFonts w:eastAsia="Times New Roman"/>
                <w:sz w:val="22"/>
                <w:szCs w:val="22"/>
                <w:lang w:eastAsia="lt-LT"/>
              </w:rPr>
            </w:pPr>
          </w:p>
        </w:tc>
        <w:tc>
          <w:tcPr>
            <w:tcW w:w="1276" w:type="dxa"/>
            <w:shd w:val="clear" w:color="auto" w:fill="auto"/>
            <w:vAlign w:val="center"/>
          </w:tcPr>
          <w:p w:rsidR="00EC4D81" w:rsidRDefault="00EC4D81" w:rsidP="00EC4D81">
            <w:pPr>
              <w:jc w:val="center"/>
              <w:rPr>
                <w:rFonts w:eastAsia="Times New Roman"/>
                <w:color w:val="000000"/>
                <w:sz w:val="22"/>
                <w:szCs w:val="22"/>
                <w:lang w:eastAsia="lt-LT"/>
              </w:rPr>
            </w:pPr>
          </w:p>
          <w:p w:rsidR="005E663C" w:rsidRPr="005E663C" w:rsidRDefault="005E663C" w:rsidP="00EC4D81">
            <w:pPr>
              <w:jc w:val="center"/>
              <w:rPr>
                <w:rFonts w:eastAsia="Times New Roman"/>
                <w:color w:val="000000"/>
                <w:sz w:val="22"/>
                <w:szCs w:val="22"/>
                <w:lang w:eastAsia="lt-LT"/>
              </w:rPr>
            </w:pPr>
            <w:r w:rsidRPr="005E663C">
              <w:rPr>
                <w:rFonts w:eastAsia="Times New Roman"/>
                <w:color w:val="000000"/>
                <w:sz w:val="22"/>
                <w:szCs w:val="22"/>
                <w:lang w:eastAsia="lt-LT"/>
              </w:rPr>
              <w:t>30</w:t>
            </w:r>
          </w:p>
        </w:tc>
        <w:tc>
          <w:tcPr>
            <w:tcW w:w="1559" w:type="dxa"/>
            <w:shd w:val="clear" w:color="auto" w:fill="auto"/>
          </w:tcPr>
          <w:p w:rsidR="00EC4D81" w:rsidRDefault="00EC4D81" w:rsidP="00EC4D81">
            <w:pPr>
              <w:jc w:val="center"/>
              <w:rPr>
                <w:rFonts w:eastAsia="Times New Roman"/>
                <w:bCs/>
                <w:color w:val="000000"/>
                <w:sz w:val="20"/>
                <w:szCs w:val="20"/>
                <w:lang w:eastAsia="lt-LT"/>
              </w:rPr>
            </w:pPr>
          </w:p>
          <w:p w:rsidR="00EC4D81" w:rsidRDefault="00EC4D81" w:rsidP="00EC4D81">
            <w:pPr>
              <w:jc w:val="center"/>
              <w:rPr>
                <w:rFonts w:eastAsia="Times New Roman"/>
                <w:bCs/>
                <w:color w:val="000000"/>
                <w:sz w:val="20"/>
                <w:szCs w:val="20"/>
                <w:lang w:eastAsia="lt-LT"/>
              </w:rPr>
            </w:pPr>
          </w:p>
          <w:p w:rsidR="00EC4D81" w:rsidRDefault="00EC4D81" w:rsidP="00EC4D81">
            <w:pPr>
              <w:jc w:val="center"/>
              <w:rPr>
                <w:rFonts w:eastAsia="Times New Roman"/>
                <w:bCs/>
                <w:color w:val="000000"/>
                <w:sz w:val="20"/>
                <w:szCs w:val="20"/>
                <w:lang w:eastAsia="lt-LT"/>
              </w:rPr>
            </w:pPr>
          </w:p>
          <w:p w:rsidR="00EC4D81" w:rsidRDefault="00EC4D81" w:rsidP="00EC4D81">
            <w:pPr>
              <w:jc w:val="center"/>
              <w:rPr>
                <w:rFonts w:eastAsia="Times New Roman"/>
                <w:bCs/>
                <w:color w:val="000000"/>
                <w:sz w:val="20"/>
                <w:szCs w:val="20"/>
                <w:lang w:eastAsia="lt-LT"/>
              </w:rPr>
            </w:pPr>
          </w:p>
          <w:p w:rsidR="00EC4D81" w:rsidRDefault="00EC4D81" w:rsidP="00EC4D81">
            <w:pPr>
              <w:jc w:val="center"/>
              <w:rPr>
                <w:rFonts w:eastAsia="Times New Roman"/>
                <w:bCs/>
                <w:color w:val="000000"/>
                <w:sz w:val="20"/>
                <w:szCs w:val="20"/>
                <w:lang w:eastAsia="lt-LT"/>
              </w:rPr>
            </w:pPr>
          </w:p>
          <w:p w:rsidR="005E663C" w:rsidRPr="00EE01DE" w:rsidRDefault="00B456AF" w:rsidP="00EC4D81">
            <w:pPr>
              <w:jc w:val="center"/>
              <w:rPr>
                <w:rFonts w:eastAsia="Times New Roman"/>
                <w:bCs/>
                <w:color w:val="000000"/>
                <w:sz w:val="20"/>
                <w:szCs w:val="20"/>
                <w:lang w:eastAsia="lt-LT"/>
              </w:rPr>
            </w:pPr>
            <w:r>
              <w:rPr>
                <w:rFonts w:eastAsia="Times New Roman"/>
                <w:bCs/>
                <w:color w:val="000000"/>
                <w:sz w:val="20"/>
                <w:szCs w:val="20"/>
                <w:lang w:eastAsia="lt-LT"/>
              </w:rPr>
              <w:t>76</w:t>
            </w:r>
            <w:r w:rsidR="00D24248">
              <w:rPr>
                <w:rFonts w:eastAsia="Times New Roman"/>
                <w:bCs/>
                <w:color w:val="000000"/>
                <w:sz w:val="20"/>
                <w:szCs w:val="20"/>
                <w:lang w:eastAsia="lt-LT"/>
              </w:rPr>
              <w:t>,00</w:t>
            </w:r>
          </w:p>
        </w:tc>
        <w:tc>
          <w:tcPr>
            <w:tcW w:w="1230" w:type="dxa"/>
            <w:shd w:val="clear" w:color="auto" w:fill="auto"/>
          </w:tcPr>
          <w:p w:rsidR="00EC4D81" w:rsidRDefault="00EC4D81" w:rsidP="00EC4D81">
            <w:pPr>
              <w:jc w:val="center"/>
              <w:rPr>
                <w:rFonts w:eastAsia="Times New Roman"/>
                <w:bCs/>
                <w:color w:val="000000"/>
                <w:sz w:val="20"/>
                <w:szCs w:val="20"/>
                <w:lang w:eastAsia="lt-LT"/>
              </w:rPr>
            </w:pPr>
          </w:p>
          <w:p w:rsidR="00EC4D81" w:rsidRDefault="00EC4D81" w:rsidP="00EC4D81">
            <w:pPr>
              <w:jc w:val="center"/>
              <w:rPr>
                <w:rFonts w:eastAsia="Times New Roman"/>
                <w:bCs/>
                <w:color w:val="000000"/>
                <w:sz w:val="20"/>
                <w:szCs w:val="20"/>
                <w:lang w:eastAsia="lt-LT"/>
              </w:rPr>
            </w:pPr>
          </w:p>
          <w:p w:rsidR="00EC4D81" w:rsidRDefault="00EC4D81" w:rsidP="00EC4D81">
            <w:pPr>
              <w:jc w:val="center"/>
              <w:rPr>
                <w:rFonts w:eastAsia="Times New Roman"/>
                <w:bCs/>
                <w:color w:val="000000"/>
                <w:sz w:val="20"/>
                <w:szCs w:val="20"/>
                <w:lang w:eastAsia="lt-LT"/>
              </w:rPr>
            </w:pPr>
          </w:p>
          <w:p w:rsidR="00EC4D81" w:rsidRDefault="00EC4D81" w:rsidP="00EC4D81">
            <w:pPr>
              <w:jc w:val="center"/>
              <w:rPr>
                <w:rFonts w:eastAsia="Times New Roman"/>
                <w:bCs/>
                <w:color w:val="000000"/>
                <w:sz w:val="20"/>
                <w:szCs w:val="20"/>
                <w:lang w:eastAsia="lt-LT"/>
              </w:rPr>
            </w:pPr>
          </w:p>
          <w:p w:rsidR="00EC4D81" w:rsidRDefault="00EC4D81" w:rsidP="00EC4D81">
            <w:pPr>
              <w:jc w:val="center"/>
              <w:rPr>
                <w:rFonts w:eastAsia="Times New Roman"/>
                <w:bCs/>
                <w:color w:val="000000"/>
                <w:sz w:val="20"/>
                <w:szCs w:val="20"/>
                <w:lang w:eastAsia="lt-LT"/>
              </w:rPr>
            </w:pPr>
          </w:p>
          <w:p w:rsidR="005E663C" w:rsidRPr="00EE01DE" w:rsidRDefault="00B456AF" w:rsidP="00EC4D81">
            <w:pPr>
              <w:jc w:val="center"/>
              <w:rPr>
                <w:rFonts w:eastAsia="Times New Roman"/>
                <w:bCs/>
                <w:color w:val="000000"/>
                <w:sz w:val="20"/>
                <w:szCs w:val="20"/>
                <w:lang w:eastAsia="lt-LT"/>
              </w:rPr>
            </w:pPr>
            <w:r>
              <w:rPr>
                <w:rFonts w:eastAsia="Times New Roman"/>
                <w:bCs/>
                <w:color w:val="000000"/>
                <w:sz w:val="20"/>
                <w:szCs w:val="20"/>
                <w:lang w:eastAsia="lt-LT"/>
              </w:rPr>
              <w:t>79,80</w:t>
            </w:r>
          </w:p>
        </w:tc>
        <w:tc>
          <w:tcPr>
            <w:tcW w:w="1322" w:type="dxa"/>
            <w:shd w:val="clear" w:color="auto" w:fill="auto"/>
          </w:tcPr>
          <w:p w:rsidR="00EC4D81" w:rsidRDefault="00EC4D81" w:rsidP="00EC4D81">
            <w:pPr>
              <w:jc w:val="center"/>
              <w:rPr>
                <w:rFonts w:eastAsia="Times New Roman"/>
                <w:bCs/>
                <w:color w:val="000000"/>
                <w:sz w:val="20"/>
                <w:szCs w:val="20"/>
                <w:lang w:eastAsia="lt-LT"/>
              </w:rPr>
            </w:pPr>
          </w:p>
          <w:p w:rsidR="00EC4D81" w:rsidRDefault="00EC4D81" w:rsidP="00EC4D81">
            <w:pPr>
              <w:jc w:val="center"/>
              <w:rPr>
                <w:rFonts w:eastAsia="Times New Roman"/>
                <w:bCs/>
                <w:color w:val="000000"/>
                <w:sz w:val="20"/>
                <w:szCs w:val="20"/>
                <w:lang w:eastAsia="lt-LT"/>
              </w:rPr>
            </w:pPr>
          </w:p>
          <w:p w:rsidR="00EC4D81" w:rsidRDefault="00EC4D81" w:rsidP="00EC4D81">
            <w:pPr>
              <w:jc w:val="center"/>
              <w:rPr>
                <w:rFonts w:eastAsia="Times New Roman"/>
                <w:bCs/>
                <w:color w:val="000000"/>
                <w:sz w:val="20"/>
                <w:szCs w:val="20"/>
                <w:lang w:eastAsia="lt-LT"/>
              </w:rPr>
            </w:pPr>
          </w:p>
          <w:p w:rsidR="00EC4D81" w:rsidRDefault="00EC4D81" w:rsidP="00EC4D81">
            <w:pPr>
              <w:jc w:val="center"/>
              <w:rPr>
                <w:rFonts w:eastAsia="Times New Roman"/>
                <w:bCs/>
                <w:color w:val="000000"/>
                <w:sz w:val="20"/>
                <w:szCs w:val="20"/>
                <w:lang w:eastAsia="lt-LT"/>
              </w:rPr>
            </w:pPr>
          </w:p>
          <w:p w:rsidR="00EC4D81" w:rsidRDefault="00EC4D81" w:rsidP="00EC4D81">
            <w:pPr>
              <w:jc w:val="center"/>
              <w:rPr>
                <w:rFonts w:eastAsia="Times New Roman"/>
                <w:bCs/>
                <w:color w:val="000000"/>
                <w:sz w:val="20"/>
                <w:szCs w:val="20"/>
                <w:lang w:eastAsia="lt-LT"/>
              </w:rPr>
            </w:pPr>
          </w:p>
          <w:p w:rsidR="005E663C" w:rsidRPr="00EE01DE" w:rsidRDefault="00B456AF" w:rsidP="00EC4D81">
            <w:pPr>
              <w:jc w:val="center"/>
              <w:rPr>
                <w:rFonts w:eastAsia="Times New Roman"/>
                <w:bCs/>
                <w:color w:val="000000"/>
                <w:sz w:val="20"/>
                <w:szCs w:val="20"/>
                <w:lang w:eastAsia="lt-LT"/>
              </w:rPr>
            </w:pPr>
            <w:r>
              <w:rPr>
                <w:rFonts w:eastAsia="Times New Roman"/>
                <w:bCs/>
                <w:color w:val="000000"/>
                <w:sz w:val="20"/>
                <w:szCs w:val="20"/>
                <w:lang w:eastAsia="lt-LT"/>
              </w:rPr>
              <w:t>2394,00</w:t>
            </w:r>
          </w:p>
        </w:tc>
      </w:tr>
      <w:tr w:rsidR="00D67C4A" w:rsidRPr="00780EE3" w:rsidTr="00E22D74">
        <w:trPr>
          <w:trHeight w:val="810"/>
          <w:jc w:val="center"/>
        </w:trPr>
        <w:tc>
          <w:tcPr>
            <w:tcW w:w="822" w:type="dxa"/>
            <w:shd w:val="clear" w:color="auto" w:fill="auto"/>
            <w:vAlign w:val="center"/>
          </w:tcPr>
          <w:p w:rsidR="00D67C4A" w:rsidRPr="00EE01DE" w:rsidRDefault="00D67C4A" w:rsidP="00D67C4A">
            <w:pPr>
              <w:jc w:val="center"/>
              <w:rPr>
                <w:rFonts w:eastAsia="Times New Roman"/>
                <w:bCs/>
                <w:color w:val="000000"/>
                <w:sz w:val="20"/>
                <w:szCs w:val="20"/>
                <w:lang w:eastAsia="lt-LT"/>
              </w:rPr>
            </w:pPr>
            <w:r>
              <w:rPr>
                <w:rFonts w:eastAsia="Times New Roman"/>
                <w:bCs/>
                <w:color w:val="000000"/>
                <w:sz w:val="20"/>
                <w:szCs w:val="20"/>
                <w:lang w:eastAsia="lt-LT"/>
              </w:rPr>
              <w:t>26.</w:t>
            </w:r>
          </w:p>
        </w:tc>
        <w:tc>
          <w:tcPr>
            <w:tcW w:w="1730" w:type="dxa"/>
            <w:gridSpan w:val="2"/>
            <w:shd w:val="clear" w:color="auto" w:fill="auto"/>
            <w:vAlign w:val="center"/>
          </w:tcPr>
          <w:p w:rsidR="00D67C4A" w:rsidRPr="005E663C" w:rsidRDefault="00D67C4A" w:rsidP="00D67C4A">
            <w:pPr>
              <w:jc w:val="center"/>
              <w:rPr>
                <w:sz w:val="22"/>
                <w:szCs w:val="22"/>
                <w:lang w:eastAsia="lt-LT"/>
              </w:rPr>
            </w:pPr>
            <w:r w:rsidRPr="005E663C">
              <w:rPr>
                <w:noProof/>
                <w:sz w:val="22"/>
                <w:szCs w:val="22"/>
              </w:rPr>
              <w:t>Deguonies kateteris</w:t>
            </w:r>
          </w:p>
        </w:tc>
        <w:tc>
          <w:tcPr>
            <w:tcW w:w="4394" w:type="dxa"/>
            <w:shd w:val="clear" w:color="auto" w:fill="auto"/>
            <w:vAlign w:val="center"/>
          </w:tcPr>
          <w:p w:rsidR="00D67C4A" w:rsidRPr="005E663C" w:rsidRDefault="00D67C4A" w:rsidP="00D67C4A">
            <w:pPr>
              <w:jc w:val="center"/>
              <w:rPr>
                <w:sz w:val="22"/>
                <w:szCs w:val="22"/>
                <w:lang w:eastAsia="lt-LT"/>
              </w:rPr>
            </w:pPr>
            <w:r w:rsidRPr="005E663C">
              <w:rPr>
                <w:noProof/>
                <w:sz w:val="22"/>
                <w:szCs w:val="22"/>
              </w:rPr>
              <w:t>Vieno spindžio, įkišami į nosiaryklę, ilgis ne &lt; 20 cm.</w:t>
            </w:r>
          </w:p>
        </w:tc>
        <w:tc>
          <w:tcPr>
            <w:tcW w:w="2268" w:type="dxa"/>
          </w:tcPr>
          <w:p w:rsidR="00D67C4A" w:rsidRDefault="00D67C4A" w:rsidP="000C584A">
            <w:pPr>
              <w:rPr>
                <w:rFonts w:eastAsia="Times New Roman"/>
                <w:sz w:val="22"/>
                <w:szCs w:val="22"/>
                <w:lang w:eastAsia="lt-LT"/>
              </w:rPr>
            </w:pPr>
            <w:r w:rsidRPr="000453F7">
              <w:rPr>
                <w:rFonts w:eastAsia="Times New Roman"/>
                <w:sz w:val="22"/>
                <w:szCs w:val="22"/>
                <w:lang w:eastAsia="lt-LT"/>
              </w:rPr>
              <w:t>Nr.26_deguonies</w:t>
            </w:r>
            <w:r w:rsidR="000E4FD7" w:rsidRPr="000453F7">
              <w:rPr>
                <w:rFonts w:eastAsia="Times New Roman"/>
                <w:sz w:val="22"/>
                <w:szCs w:val="22"/>
                <w:lang w:eastAsia="lt-LT"/>
              </w:rPr>
              <w:t xml:space="preserve"> kateteris</w:t>
            </w:r>
            <w:r w:rsidR="00444628">
              <w:rPr>
                <w:rFonts w:eastAsia="Times New Roman"/>
                <w:sz w:val="22"/>
                <w:szCs w:val="22"/>
                <w:lang w:eastAsia="lt-LT"/>
              </w:rPr>
              <w:t xml:space="preserve"> _Nr.595</w:t>
            </w:r>
            <w:r w:rsidRPr="000453F7">
              <w:rPr>
                <w:rFonts w:eastAsia="Times New Roman"/>
                <w:sz w:val="22"/>
                <w:szCs w:val="22"/>
                <w:lang w:eastAsia="lt-LT"/>
              </w:rPr>
              <w:t>.00 VYGON_psl.1</w:t>
            </w:r>
          </w:p>
          <w:p w:rsidR="00444628" w:rsidRDefault="000C584A" w:rsidP="00D67C4A">
            <w:pPr>
              <w:jc w:val="center"/>
              <w:rPr>
                <w:rFonts w:eastAsia="Times New Roman"/>
                <w:sz w:val="22"/>
                <w:szCs w:val="22"/>
                <w:lang w:eastAsia="lt-LT"/>
              </w:rPr>
            </w:pPr>
            <w:hyperlink r:id="rId8" w:history="1">
              <w:r w:rsidR="00444628" w:rsidRPr="000964DA">
                <w:rPr>
                  <w:rStyle w:val="Hyperlink"/>
                  <w:rFonts w:eastAsia="Times New Roman"/>
                  <w:sz w:val="22"/>
                  <w:szCs w:val="22"/>
                  <w:lang w:eastAsia="lt-LT"/>
                </w:rPr>
                <w:t>https://www.vygon.com/catalog/nasal-oxygen-catheter_579_00059508</w:t>
              </w:r>
            </w:hyperlink>
          </w:p>
          <w:p w:rsidR="00444628" w:rsidRPr="000453F7" w:rsidRDefault="00444628" w:rsidP="00D67C4A">
            <w:pPr>
              <w:jc w:val="center"/>
              <w:rPr>
                <w:rFonts w:eastAsia="Times New Roman"/>
                <w:sz w:val="22"/>
                <w:szCs w:val="22"/>
                <w:lang w:eastAsia="lt-LT"/>
              </w:rPr>
            </w:pPr>
          </w:p>
          <w:p w:rsidR="00D67C4A" w:rsidRPr="000453F7" w:rsidRDefault="00D67C4A" w:rsidP="00D67C4A">
            <w:pPr>
              <w:jc w:val="center"/>
              <w:rPr>
                <w:rFonts w:eastAsia="Times New Roman"/>
                <w:sz w:val="22"/>
                <w:szCs w:val="22"/>
                <w:lang w:eastAsia="lt-LT"/>
              </w:rPr>
            </w:pPr>
          </w:p>
        </w:tc>
        <w:tc>
          <w:tcPr>
            <w:tcW w:w="1276" w:type="dxa"/>
            <w:shd w:val="clear" w:color="auto" w:fill="auto"/>
            <w:vAlign w:val="center"/>
          </w:tcPr>
          <w:p w:rsidR="00D67C4A" w:rsidRPr="005E663C" w:rsidRDefault="00D67C4A" w:rsidP="00D67C4A">
            <w:pPr>
              <w:jc w:val="center"/>
              <w:rPr>
                <w:rFonts w:eastAsia="Times New Roman"/>
                <w:color w:val="000000"/>
                <w:sz w:val="22"/>
                <w:szCs w:val="22"/>
                <w:lang w:eastAsia="lt-LT"/>
              </w:rPr>
            </w:pPr>
            <w:r w:rsidRPr="005E663C">
              <w:rPr>
                <w:rFonts w:eastAsia="Times New Roman"/>
                <w:color w:val="000000"/>
                <w:sz w:val="22"/>
                <w:szCs w:val="22"/>
                <w:lang w:eastAsia="lt-LT"/>
              </w:rPr>
              <w:lastRenderedPageBreak/>
              <w:t>3000</w:t>
            </w:r>
          </w:p>
        </w:tc>
        <w:tc>
          <w:tcPr>
            <w:tcW w:w="1559" w:type="dxa"/>
            <w:shd w:val="clear" w:color="auto" w:fill="auto"/>
          </w:tcPr>
          <w:p w:rsidR="00EC4D81" w:rsidRDefault="00EC4D81" w:rsidP="00D67C4A">
            <w:pPr>
              <w:jc w:val="center"/>
              <w:rPr>
                <w:rFonts w:eastAsia="Times New Roman"/>
                <w:bCs/>
                <w:color w:val="000000"/>
                <w:sz w:val="20"/>
                <w:szCs w:val="20"/>
                <w:lang w:eastAsia="lt-LT"/>
              </w:rPr>
            </w:pPr>
          </w:p>
          <w:p w:rsidR="00EC4D81" w:rsidRDefault="00EC4D81" w:rsidP="00D67C4A">
            <w:pPr>
              <w:jc w:val="center"/>
              <w:rPr>
                <w:rFonts w:eastAsia="Times New Roman"/>
                <w:bCs/>
                <w:color w:val="000000"/>
                <w:sz w:val="20"/>
                <w:szCs w:val="20"/>
                <w:lang w:eastAsia="lt-LT"/>
              </w:rPr>
            </w:pPr>
          </w:p>
          <w:p w:rsidR="00D67C4A" w:rsidRPr="00722B51" w:rsidRDefault="00B456AF" w:rsidP="00D67C4A">
            <w:pPr>
              <w:jc w:val="center"/>
              <w:rPr>
                <w:rFonts w:eastAsia="Times New Roman"/>
                <w:bCs/>
                <w:color w:val="000000"/>
                <w:sz w:val="20"/>
                <w:szCs w:val="20"/>
                <w:lang w:val="lt-LT" w:eastAsia="lt-LT"/>
              </w:rPr>
            </w:pPr>
            <w:r>
              <w:rPr>
                <w:rFonts w:eastAsia="Times New Roman"/>
                <w:bCs/>
                <w:color w:val="000000"/>
                <w:sz w:val="20"/>
                <w:szCs w:val="20"/>
                <w:lang w:eastAsia="lt-LT"/>
              </w:rPr>
              <w:t>1,14</w:t>
            </w:r>
          </w:p>
        </w:tc>
        <w:tc>
          <w:tcPr>
            <w:tcW w:w="1230" w:type="dxa"/>
            <w:shd w:val="clear" w:color="auto" w:fill="auto"/>
          </w:tcPr>
          <w:p w:rsidR="00EC4D81" w:rsidRDefault="00EC4D81" w:rsidP="00D67C4A">
            <w:pPr>
              <w:jc w:val="center"/>
              <w:rPr>
                <w:rFonts w:eastAsia="Times New Roman"/>
                <w:bCs/>
                <w:color w:val="000000"/>
                <w:sz w:val="20"/>
                <w:szCs w:val="20"/>
                <w:lang w:eastAsia="lt-LT"/>
              </w:rPr>
            </w:pPr>
          </w:p>
          <w:p w:rsidR="00EC4D81" w:rsidRDefault="00EC4D81" w:rsidP="00D67C4A">
            <w:pPr>
              <w:jc w:val="center"/>
              <w:rPr>
                <w:rFonts w:eastAsia="Times New Roman"/>
                <w:bCs/>
                <w:color w:val="000000"/>
                <w:sz w:val="20"/>
                <w:szCs w:val="20"/>
                <w:lang w:eastAsia="lt-LT"/>
              </w:rPr>
            </w:pPr>
          </w:p>
          <w:p w:rsidR="00D67C4A" w:rsidRPr="00EE01DE" w:rsidRDefault="00B456AF" w:rsidP="00D67C4A">
            <w:pPr>
              <w:jc w:val="center"/>
              <w:rPr>
                <w:rFonts w:eastAsia="Times New Roman"/>
                <w:bCs/>
                <w:color w:val="000000"/>
                <w:sz w:val="20"/>
                <w:szCs w:val="20"/>
                <w:lang w:eastAsia="lt-LT"/>
              </w:rPr>
            </w:pPr>
            <w:r>
              <w:rPr>
                <w:rFonts w:eastAsia="Times New Roman"/>
                <w:bCs/>
                <w:color w:val="000000"/>
                <w:sz w:val="20"/>
                <w:szCs w:val="20"/>
                <w:lang w:eastAsia="lt-LT"/>
              </w:rPr>
              <w:t>1,197</w:t>
            </w:r>
          </w:p>
        </w:tc>
        <w:tc>
          <w:tcPr>
            <w:tcW w:w="1322" w:type="dxa"/>
            <w:shd w:val="clear" w:color="auto" w:fill="auto"/>
          </w:tcPr>
          <w:p w:rsidR="00EC4D81" w:rsidRDefault="00EC4D81" w:rsidP="00B456AF">
            <w:pPr>
              <w:jc w:val="center"/>
              <w:rPr>
                <w:rFonts w:eastAsia="Times New Roman"/>
                <w:bCs/>
                <w:color w:val="000000"/>
                <w:sz w:val="20"/>
                <w:szCs w:val="20"/>
                <w:lang w:eastAsia="lt-LT"/>
              </w:rPr>
            </w:pPr>
          </w:p>
          <w:p w:rsidR="00EC4D81" w:rsidRDefault="00EC4D81" w:rsidP="00B456AF">
            <w:pPr>
              <w:jc w:val="center"/>
              <w:rPr>
                <w:rFonts w:eastAsia="Times New Roman"/>
                <w:bCs/>
                <w:color w:val="000000"/>
                <w:sz w:val="20"/>
                <w:szCs w:val="20"/>
                <w:lang w:eastAsia="lt-LT"/>
              </w:rPr>
            </w:pPr>
          </w:p>
          <w:p w:rsidR="00D67C4A" w:rsidRPr="00EE01DE" w:rsidRDefault="00B456AF" w:rsidP="00B456AF">
            <w:pPr>
              <w:jc w:val="center"/>
              <w:rPr>
                <w:rFonts w:eastAsia="Times New Roman"/>
                <w:bCs/>
                <w:color w:val="000000"/>
                <w:sz w:val="20"/>
                <w:szCs w:val="20"/>
                <w:lang w:eastAsia="lt-LT"/>
              </w:rPr>
            </w:pPr>
            <w:r>
              <w:rPr>
                <w:rFonts w:eastAsia="Times New Roman"/>
                <w:bCs/>
                <w:color w:val="000000"/>
                <w:sz w:val="20"/>
                <w:szCs w:val="20"/>
                <w:lang w:eastAsia="lt-LT"/>
              </w:rPr>
              <w:t>3591</w:t>
            </w:r>
            <w:r w:rsidR="00F95807">
              <w:rPr>
                <w:rFonts w:eastAsia="Times New Roman"/>
                <w:bCs/>
                <w:color w:val="000000"/>
                <w:sz w:val="20"/>
                <w:szCs w:val="20"/>
                <w:lang w:eastAsia="lt-LT"/>
              </w:rPr>
              <w:t>,00</w:t>
            </w:r>
          </w:p>
        </w:tc>
      </w:tr>
      <w:tr w:rsidR="000453F7" w:rsidRPr="00780EE3" w:rsidTr="00E22D74">
        <w:trPr>
          <w:trHeight w:val="810"/>
          <w:jc w:val="center"/>
        </w:trPr>
        <w:tc>
          <w:tcPr>
            <w:tcW w:w="822" w:type="dxa"/>
            <w:shd w:val="clear" w:color="auto" w:fill="auto"/>
            <w:vAlign w:val="center"/>
          </w:tcPr>
          <w:p w:rsidR="000453F7" w:rsidRPr="00EE01DE" w:rsidRDefault="000453F7" w:rsidP="000453F7">
            <w:pPr>
              <w:jc w:val="center"/>
              <w:rPr>
                <w:rFonts w:eastAsia="Times New Roman"/>
                <w:bCs/>
                <w:color w:val="000000"/>
                <w:sz w:val="20"/>
                <w:szCs w:val="20"/>
                <w:lang w:eastAsia="lt-LT"/>
              </w:rPr>
            </w:pPr>
            <w:r>
              <w:rPr>
                <w:rFonts w:eastAsia="Times New Roman"/>
                <w:bCs/>
                <w:color w:val="000000"/>
                <w:sz w:val="20"/>
                <w:szCs w:val="20"/>
                <w:lang w:eastAsia="lt-LT"/>
              </w:rPr>
              <w:t>30.</w:t>
            </w:r>
          </w:p>
        </w:tc>
        <w:tc>
          <w:tcPr>
            <w:tcW w:w="1730" w:type="dxa"/>
            <w:gridSpan w:val="2"/>
            <w:shd w:val="clear" w:color="auto" w:fill="auto"/>
            <w:vAlign w:val="center"/>
          </w:tcPr>
          <w:p w:rsidR="000453F7" w:rsidRPr="005E663C" w:rsidRDefault="000453F7" w:rsidP="000453F7">
            <w:pPr>
              <w:jc w:val="center"/>
              <w:rPr>
                <w:noProof/>
                <w:sz w:val="22"/>
                <w:szCs w:val="22"/>
              </w:rPr>
            </w:pPr>
            <w:r w:rsidRPr="005E663C">
              <w:rPr>
                <w:sz w:val="22"/>
                <w:szCs w:val="22"/>
                <w:lang w:eastAsia="lt-LT"/>
              </w:rPr>
              <w:t>Miego gylio analizės elektrodas</w:t>
            </w:r>
          </w:p>
        </w:tc>
        <w:tc>
          <w:tcPr>
            <w:tcW w:w="4394" w:type="dxa"/>
            <w:shd w:val="clear" w:color="auto" w:fill="auto"/>
            <w:vAlign w:val="center"/>
          </w:tcPr>
          <w:p w:rsidR="000453F7" w:rsidRPr="005E663C" w:rsidRDefault="000453F7" w:rsidP="00D45D4D">
            <w:pPr>
              <w:rPr>
                <w:i/>
                <w:iCs/>
                <w:sz w:val="22"/>
                <w:szCs w:val="22"/>
                <w:lang w:eastAsia="lt-LT"/>
              </w:rPr>
            </w:pPr>
            <w:r w:rsidRPr="005E663C">
              <w:rPr>
                <w:sz w:val="22"/>
                <w:szCs w:val="22"/>
                <w:lang w:eastAsia="lt-LT"/>
              </w:rPr>
              <w:t>Elektrodas miego gylio matavimui BIS metodika. Elektrodai turi būti tech</w:t>
            </w:r>
            <w:r w:rsidR="008E7B97">
              <w:rPr>
                <w:sz w:val="22"/>
                <w:szCs w:val="22"/>
                <w:lang w:eastAsia="lt-LT"/>
              </w:rPr>
              <w:t xml:space="preserve">niškai suderinami su „Infinity” </w:t>
            </w:r>
            <w:r w:rsidRPr="005E663C">
              <w:rPr>
                <w:sz w:val="22"/>
                <w:szCs w:val="22"/>
                <w:lang w:eastAsia="lt-LT"/>
              </w:rPr>
              <w:t>(„Drager“) serijos gyvybinių funkcijų monitoriais. Daviklis turi būti su keturiais elektrodais, išdėstytais ant vienos juostelės, skirtas suaugusiems ir vaikams, daviklio sudėtyje neturi būti latekso. Kiekvienas daviklyje esantis elektrodas turi būti paruoštas tvirtinimui prie paciento kaktinės srities, nenaudojant papildomų priemonių, su matavimo moduliu sujungiamas sifiksuojama jungtimi   Galiojimo laikas- ne trumpesnis kaip 10 mėn. nuo pristatymo.</w:t>
            </w:r>
          </w:p>
        </w:tc>
        <w:tc>
          <w:tcPr>
            <w:tcW w:w="2268" w:type="dxa"/>
          </w:tcPr>
          <w:p w:rsidR="000453F7" w:rsidRPr="00D45D4D" w:rsidRDefault="000453F7" w:rsidP="0079508E">
            <w:pPr>
              <w:jc w:val="center"/>
              <w:rPr>
                <w:rFonts w:eastAsia="Times New Roman"/>
                <w:sz w:val="22"/>
                <w:szCs w:val="22"/>
                <w:lang w:eastAsia="lt-LT"/>
              </w:rPr>
            </w:pPr>
            <w:r w:rsidRPr="00D45D4D">
              <w:rPr>
                <w:rFonts w:eastAsia="Times New Roman"/>
                <w:sz w:val="22"/>
                <w:szCs w:val="22"/>
                <w:lang w:eastAsia="lt-LT"/>
              </w:rPr>
              <w:t>Nr.30_</w:t>
            </w:r>
            <w:r w:rsidR="0079508E" w:rsidRPr="00D45D4D">
              <w:rPr>
                <w:rFonts w:eastAsia="Times New Roman"/>
                <w:sz w:val="22"/>
                <w:szCs w:val="22"/>
                <w:lang w:eastAsia="lt-LT"/>
              </w:rPr>
              <w:t>miego_gylio_analizės_elektrodas_</w:t>
            </w:r>
            <w:r w:rsidR="000C584A">
              <w:rPr>
                <w:rFonts w:eastAsia="Times New Roman"/>
                <w:sz w:val="22"/>
                <w:szCs w:val="22"/>
                <w:lang w:eastAsia="lt-LT"/>
              </w:rPr>
              <w:t>Nr.</w:t>
            </w:r>
            <w:r w:rsidR="0079508E" w:rsidRPr="00D45D4D">
              <w:rPr>
                <w:rFonts w:eastAsia="Times New Roman"/>
                <w:sz w:val="22"/>
                <w:szCs w:val="22"/>
                <w:lang w:eastAsia="lt-LT"/>
              </w:rPr>
              <w:t>MP00005_BIS Quatro Sensor Kit</w:t>
            </w:r>
            <w:r w:rsidR="000C584A">
              <w:rPr>
                <w:rFonts w:eastAsia="Times New Roman"/>
                <w:sz w:val="22"/>
                <w:szCs w:val="22"/>
                <w:lang w:eastAsia="lt-LT"/>
              </w:rPr>
              <w:t>_Draeger</w:t>
            </w:r>
            <w:r w:rsidR="0079508E" w:rsidRPr="00D45D4D">
              <w:rPr>
                <w:rFonts w:eastAsia="Times New Roman"/>
                <w:sz w:val="22"/>
                <w:szCs w:val="22"/>
                <w:lang w:eastAsia="lt-LT"/>
              </w:rPr>
              <w:t>_</w:t>
            </w:r>
            <w:r w:rsidR="000C584A">
              <w:rPr>
                <w:rFonts w:eastAsia="Times New Roman"/>
                <w:sz w:val="22"/>
                <w:szCs w:val="22"/>
                <w:lang w:eastAsia="lt-LT"/>
              </w:rPr>
              <w:t>psl.2</w:t>
            </w:r>
            <w:r w:rsidRPr="00D45D4D">
              <w:rPr>
                <w:rFonts w:eastAsia="Times New Roman"/>
                <w:sz w:val="22"/>
                <w:szCs w:val="22"/>
                <w:lang w:eastAsia="lt-LT"/>
              </w:rPr>
              <w:softHyphen/>
            </w:r>
          </w:p>
          <w:p w:rsidR="000453F7" w:rsidRPr="00D45D4D" w:rsidRDefault="000453F7" w:rsidP="008E7B97">
            <w:pPr>
              <w:jc w:val="center"/>
              <w:rPr>
                <w:rFonts w:eastAsia="Times New Roman"/>
                <w:sz w:val="22"/>
                <w:szCs w:val="22"/>
                <w:lang w:eastAsia="lt-LT"/>
              </w:rPr>
            </w:pPr>
          </w:p>
        </w:tc>
        <w:tc>
          <w:tcPr>
            <w:tcW w:w="1276" w:type="dxa"/>
            <w:shd w:val="clear" w:color="auto" w:fill="auto"/>
            <w:vAlign w:val="center"/>
          </w:tcPr>
          <w:p w:rsidR="000453F7" w:rsidRPr="005E663C" w:rsidRDefault="000453F7" w:rsidP="000453F7">
            <w:pPr>
              <w:jc w:val="center"/>
              <w:rPr>
                <w:rFonts w:eastAsia="Times New Roman"/>
                <w:color w:val="000000"/>
                <w:sz w:val="22"/>
                <w:szCs w:val="22"/>
                <w:lang w:eastAsia="lt-LT"/>
              </w:rPr>
            </w:pPr>
            <w:r w:rsidRPr="005E663C">
              <w:rPr>
                <w:rFonts w:eastAsia="Times New Roman"/>
                <w:color w:val="000000"/>
                <w:sz w:val="22"/>
                <w:szCs w:val="22"/>
                <w:lang w:eastAsia="lt-LT"/>
              </w:rPr>
              <w:t>200</w:t>
            </w:r>
          </w:p>
        </w:tc>
        <w:tc>
          <w:tcPr>
            <w:tcW w:w="1559" w:type="dxa"/>
            <w:shd w:val="clear" w:color="auto" w:fill="auto"/>
          </w:tcPr>
          <w:p w:rsidR="000453F7" w:rsidRPr="00EE01DE" w:rsidRDefault="00B31F05" w:rsidP="000453F7">
            <w:pPr>
              <w:jc w:val="center"/>
              <w:rPr>
                <w:rFonts w:eastAsia="Times New Roman"/>
                <w:bCs/>
                <w:color w:val="000000"/>
                <w:sz w:val="20"/>
                <w:szCs w:val="20"/>
                <w:lang w:eastAsia="lt-LT"/>
              </w:rPr>
            </w:pPr>
            <w:r>
              <w:rPr>
                <w:rFonts w:eastAsia="Times New Roman"/>
                <w:bCs/>
                <w:color w:val="000000"/>
                <w:sz w:val="20"/>
                <w:szCs w:val="20"/>
                <w:lang w:eastAsia="lt-LT"/>
              </w:rPr>
              <w:t>17,00</w:t>
            </w:r>
          </w:p>
        </w:tc>
        <w:tc>
          <w:tcPr>
            <w:tcW w:w="1230" w:type="dxa"/>
            <w:shd w:val="clear" w:color="auto" w:fill="auto"/>
          </w:tcPr>
          <w:p w:rsidR="000453F7" w:rsidRPr="00EE01DE" w:rsidRDefault="00B31F05" w:rsidP="000453F7">
            <w:pPr>
              <w:jc w:val="center"/>
              <w:rPr>
                <w:rFonts w:eastAsia="Times New Roman"/>
                <w:bCs/>
                <w:color w:val="000000"/>
                <w:sz w:val="20"/>
                <w:szCs w:val="20"/>
                <w:lang w:eastAsia="lt-LT"/>
              </w:rPr>
            </w:pPr>
            <w:r>
              <w:rPr>
                <w:rFonts w:eastAsia="Times New Roman"/>
                <w:bCs/>
                <w:color w:val="000000"/>
                <w:sz w:val="20"/>
                <w:szCs w:val="20"/>
                <w:lang w:eastAsia="lt-LT"/>
              </w:rPr>
              <w:t>17,85</w:t>
            </w:r>
          </w:p>
        </w:tc>
        <w:tc>
          <w:tcPr>
            <w:tcW w:w="1322" w:type="dxa"/>
            <w:shd w:val="clear" w:color="auto" w:fill="auto"/>
          </w:tcPr>
          <w:p w:rsidR="000453F7" w:rsidRPr="00EE01DE" w:rsidRDefault="00B31F05" w:rsidP="000453F7">
            <w:pPr>
              <w:jc w:val="center"/>
              <w:rPr>
                <w:rFonts w:eastAsia="Times New Roman"/>
                <w:bCs/>
                <w:color w:val="000000"/>
                <w:sz w:val="20"/>
                <w:szCs w:val="20"/>
                <w:lang w:eastAsia="lt-LT"/>
              </w:rPr>
            </w:pPr>
            <w:r>
              <w:rPr>
                <w:rFonts w:eastAsia="Times New Roman"/>
                <w:bCs/>
                <w:color w:val="000000"/>
                <w:sz w:val="20"/>
                <w:szCs w:val="20"/>
                <w:lang w:eastAsia="lt-LT"/>
              </w:rPr>
              <w:t>3570,00</w:t>
            </w:r>
          </w:p>
        </w:tc>
      </w:tr>
      <w:tr w:rsidR="000453F7" w:rsidRPr="00780EE3" w:rsidTr="00E22D74">
        <w:trPr>
          <w:trHeight w:val="810"/>
          <w:jc w:val="center"/>
        </w:trPr>
        <w:tc>
          <w:tcPr>
            <w:tcW w:w="822" w:type="dxa"/>
            <w:shd w:val="clear" w:color="auto" w:fill="auto"/>
            <w:vAlign w:val="center"/>
          </w:tcPr>
          <w:p w:rsidR="000453F7" w:rsidRPr="00EE01DE" w:rsidRDefault="000453F7" w:rsidP="000453F7">
            <w:pPr>
              <w:jc w:val="center"/>
              <w:rPr>
                <w:rFonts w:eastAsia="Times New Roman"/>
                <w:bCs/>
                <w:color w:val="000000"/>
                <w:sz w:val="20"/>
                <w:szCs w:val="20"/>
                <w:lang w:eastAsia="lt-LT"/>
              </w:rPr>
            </w:pPr>
            <w:r>
              <w:rPr>
                <w:rFonts w:eastAsia="Times New Roman"/>
                <w:bCs/>
                <w:color w:val="000000"/>
                <w:sz w:val="20"/>
                <w:szCs w:val="20"/>
                <w:lang w:eastAsia="lt-LT"/>
              </w:rPr>
              <w:t>31.</w:t>
            </w:r>
          </w:p>
        </w:tc>
        <w:tc>
          <w:tcPr>
            <w:tcW w:w="1730" w:type="dxa"/>
            <w:gridSpan w:val="2"/>
            <w:shd w:val="clear" w:color="auto" w:fill="auto"/>
            <w:vAlign w:val="center"/>
          </w:tcPr>
          <w:p w:rsidR="000453F7" w:rsidRPr="005E663C" w:rsidRDefault="000453F7" w:rsidP="000453F7">
            <w:pPr>
              <w:jc w:val="center"/>
              <w:rPr>
                <w:sz w:val="22"/>
                <w:szCs w:val="22"/>
                <w:lang w:eastAsia="lt-LT"/>
              </w:rPr>
            </w:pPr>
            <w:r w:rsidRPr="005E663C">
              <w:rPr>
                <w:sz w:val="22"/>
                <w:szCs w:val="22"/>
                <w:lang w:eastAsia="lt-LT"/>
              </w:rPr>
              <w:t>Jungtys drenažo maišui</w:t>
            </w:r>
          </w:p>
        </w:tc>
        <w:tc>
          <w:tcPr>
            <w:tcW w:w="4394" w:type="dxa"/>
            <w:shd w:val="clear" w:color="auto" w:fill="auto"/>
            <w:vAlign w:val="center"/>
          </w:tcPr>
          <w:p w:rsidR="000453F7" w:rsidRPr="005E663C" w:rsidRDefault="000453F7" w:rsidP="00D45D4D">
            <w:pPr>
              <w:rPr>
                <w:sz w:val="22"/>
                <w:szCs w:val="22"/>
                <w:lang w:eastAsia="lt-LT"/>
              </w:rPr>
            </w:pPr>
            <w:r w:rsidRPr="005E663C">
              <w:rPr>
                <w:sz w:val="22"/>
                <w:szCs w:val="22"/>
                <w:lang w:eastAsia="lt-LT"/>
              </w:rPr>
              <w:t>„Male“tipo jungtys/piltuvėlis su keturiomis pakopomis. Su lanksčiu prailginimo vamzdeliu, kuris yra rezistentiškas</w:t>
            </w:r>
          </w:p>
          <w:p w:rsidR="000453F7" w:rsidRPr="005E663C" w:rsidRDefault="000453F7" w:rsidP="000453F7">
            <w:pPr>
              <w:jc w:val="center"/>
              <w:rPr>
                <w:sz w:val="22"/>
                <w:szCs w:val="22"/>
                <w:lang w:eastAsia="lt-LT"/>
              </w:rPr>
            </w:pPr>
            <w:r w:rsidRPr="005E663C">
              <w:rPr>
                <w:sz w:val="22"/>
                <w:szCs w:val="22"/>
                <w:lang w:eastAsia="lt-LT"/>
              </w:rPr>
              <w:t>( atsparus užsilenkimams ), ilgis 15cm.</w:t>
            </w:r>
          </w:p>
        </w:tc>
        <w:tc>
          <w:tcPr>
            <w:tcW w:w="2268" w:type="dxa"/>
          </w:tcPr>
          <w:p w:rsidR="000453F7" w:rsidRDefault="000C584A" w:rsidP="000453F7">
            <w:pPr>
              <w:jc w:val="center"/>
              <w:rPr>
                <w:rFonts w:eastAsia="Times New Roman"/>
                <w:color w:val="000000"/>
                <w:sz w:val="22"/>
                <w:szCs w:val="22"/>
                <w:lang w:eastAsia="lt-LT"/>
              </w:rPr>
            </w:pPr>
            <w:r>
              <w:rPr>
                <w:rFonts w:eastAsia="Times New Roman"/>
                <w:color w:val="000000"/>
                <w:sz w:val="22"/>
                <w:szCs w:val="22"/>
                <w:lang w:eastAsia="lt-LT"/>
              </w:rPr>
              <w:t>Nr.31</w:t>
            </w:r>
            <w:r w:rsidR="000453F7">
              <w:rPr>
                <w:rFonts w:eastAsia="Times New Roman"/>
                <w:color w:val="000000"/>
                <w:sz w:val="22"/>
                <w:szCs w:val="22"/>
                <w:lang w:eastAsia="lt-LT"/>
              </w:rPr>
              <w:t>_</w:t>
            </w:r>
            <w:r>
              <w:rPr>
                <w:rFonts w:eastAsia="Times New Roman"/>
                <w:color w:val="000000"/>
                <w:sz w:val="22"/>
                <w:szCs w:val="22"/>
                <w:lang w:eastAsia="lt-LT"/>
              </w:rPr>
              <w:t>jungtis_drenažo_maišui_</w:t>
            </w:r>
            <w:r w:rsidR="000453F7">
              <w:rPr>
                <w:rFonts w:eastAsia="Times New Roman"/>
                <w:color w:val="000000"/>
                <w:sz w:val="22"/>
                <w:szCs w:val="22"/>
                <w:lang w:eastAsia="lt-LT"/>
              </w:rPr>
              <w:t>Nr.404017015</w:t>
            </w:r>
            <w:r>
              <w:rPr>
                <w:rFonts w:eastAsia="Times New Roman"/>
                <w:color w:val="000000"/>
                <w:sz w:val="22"/>
                <w:szCs w:val="22"/>
                <w:lang w:eastAsia="lt-LT"/>
              </w:rPr>
              <w:t>_</w:t>
            </w:r>
            <w:r w:rsidR="000453F7">
              <w:rPr>
                <w:rFonts w:eastAsia="Times New Roman"/>
                <w:color w:val="000000"/>
                <w:sz w:val="22"/>
                <w:szCs w:val="22"/>
                <w:lang w:eastAsia="lt-LT"/>
              </w:rPr>
              <w:t>Argon Medical devices_psl.1</w:t>
            </w:r>
            <w:r w:rsidR="000453F7">
              <w:rPr>
                <w:rFonts w:eastAsia="Times New Roman"/>
                <w:color w:val="000000"/>
                <w:sz w:val="22"/>
                <w:szCs w:val="22"/>
                <w:lang w:eastAsia="lt-LT"/>
              </w:rPr>
              <w:softHyphen/>
            </w:r>
          </w:p>
          <w:p w:rsidR="000453F7" w:rsidRDefault="000C584A" w:rsidP="000453F7">
            <w:pPr>
              <w:jc w:val="center"/>
              <w:rPr>
                <w:rFonts w:eastAsia="Times New Roman"/>
                <w:color w:val="000000"/>
                <w:sz w:val="22"/>
                <w:szCs w:val="22"/>
                <w:lang w:eastAsia="lt-LT"/>
              </w:rPr>
            </w:pPr>
            <w:hyperlink r:id="rId9" w:history="1">
              <w:r w:rsidR="000453F7" w:rsidRPr="00675DAF">
                <w:rPr>
                  <w:rStyle w:val="Hyperlink"/>
                  <w:rFonts w:eastAsia="Times New Roman"/>
                  <w:sz w:val="22"/>
                  <w:szCs w:val="22"/>
                  <w:lang w:eastAsia="lt-LT"/>
                </w:rPr>
                <w:t>https://www.argonmedical.eu.com/products/connecting-tubes-for-drainage-bags</w:t>
              </w:r>
            </w:hyperlink>
          </w:p>
          <w:p w:rsidR="000453F7" w:rsidRPr="005E663C" w:rsidRDefault="000453F7" w:rsidP="000453F7">
            <w:pPr>
              <w:jc w:val="center"/>
              <w:rPr>
                <w:rFonts w:eastAsia="Times New Roman"/>
                <w:color w:val="000000"/>
                <w:sz w:val="22"/>
                <w:szCs w:val="22"/>
                <w:lang w:eastAsia="lt-LT"/>
              </w:rPr>
            </w:pPr>
          </w:p>
        </w:tc>
        <w:tc>
          <w:tcPr>
            <w:tcW w:w="1276" w:type="dxa"/>
            <w:shd w:val="clear" w:color="auto" w:fill="auto"/>
            <w:vAlign w:val="center"/>
          </w:tcPr>
          <w:p w:rsidR="000453F7" w:rsidRPr="005E663C" w:rsidRDefault="000453F7" w:rsidP="000453F7">
            <w:pPr>
              <w:jc w:val="center"/>
              <w:rPr>
                <w:rFonts w:eastAsia="Times New Roman"/>
                <w:color w:val="000000"/>
                <w:sz w:val="22"/>
                <w:szCs w:val="22"/>
                <w:lang w:eastAsia="lt-LT"/>
              </w:rPr>
            </w:pPr>
            <w:r w:rsidRPr="005E663C">
              <w:rPr>
                <w:rFonts w:eastAsia="Times New Roman"/>
                <w:color w:val="000000"/>
                <w:sz w:val="22"/>
                <w:szCs w:val="22"/>
                <w:lang w:eastAsia="lt-LT"/>
              </w:rPr>
              <w:t>375</w:t>
            </w:r>
          </w:p>
        </w:tc>
        <w:tc>
          <w:tcPr>
            <w:tcW w:w="1559" w:type="dxa"/>
            <w:shd w:val="clear" w:color="auto" w:fill="auto"/>
          </w:tcPr>
          <w:p w:rsidR="00EC4D81" w:rsidRDefault="00EC4D81" w:rsidP="000453F7">
            <w:pPr>
              <w:jc w:val="center"/>
              <w:rPr>
                <w:rFonts w:eastAsia="Times New Roman"/>
                <w:bCs/>
                <w:color w:val="000000"/>
                <w:sz w:val="20"/>
                <w:szCs w:val="20"/>
                <w:lang w:eastAsia="lt-LT"/>
              </w:rPr>
            </w:pPr>
          </w:p>
          <w:p w:rsidR="00EC4D81" w:rsidRDefault="00EC4D81" w:rsidP="000453F7">
            <w:pPr>
              <w:jc w:val="center"/>
              <w:rPr>
                <w:rFonts w:eastAsia="Times New Roman"/>
                <w:bCs/>
                <w:color w:val="000000"/>
                <w:sz w:val="20"/>
                <w:szCs w:val="20"/>
                <w:lang w:eastAsia="lt-LT"/>
              </w:rPr>
            </w:pPr>
          </w:p>
          <w:p w:rsidR="00EC4D81" w:rsidRDefault="00EC4D81" w:rsidP="000453F7">
            <w:pPr>
              <w:jc w:val="center"/>
              <w:rPr>
                <w:rFonts w:eastAsia="Times New Roman"/>
                <w:bCs/>
                <w:color w:val="000000"/>
                <w:sz w:val="20"/>
                <w:szCs w:val="20"/>
                <w:lang w:eastAsia="lt-LT"/>
              </w:rPr>
            </w:pPr>
          </w:p>
          <w:p w:rsidR="00EC4D81" w:rsidRDefault="00EC4D81" w:rsidP="000453F7">
            <w:pPr>
              <w:jc w:val="center"/>
              <w:rPr>
                <w:rFonts w:eastAsia="Times New Roman"/>
                <w:bCs/>
                <w:color w:val="000000"/>
                <w:sz w:val="20"/>
                <w:szCs w:val="20"/>
                <w:lang w:eastAsia="lt-LT"/>
              </w:rPr>
            </w:pPr>
          </w:p>
          <w:p w:rsidR="000453F7" w:rsidRPr="00EE01DE" w:rsidRDefault="000453F7" w:rsidP="000453F7">
            <w:pPr>
              <w:jc w:val="center"/>
              <w:rPr>
                <w:rFonts w:eastAsia="Times New Roman"/>
                <w:bCs/>
                <w:color w:val="000000"/>
                <w:sz w:val="20"/>
                <w:szCs w:val="20"/>
                <w:lang w:eastAsia="lt-LT"/>
              </w:rPr>
            </w:pPr>
            <w:r>
              <w:rPr>
                <w:rFonts w:eastAsia="Times New Roman"/>
                <w:bCs/>
                <w:color w:val="000000"/>
                <w:sz w:val="20"/>
                <w:szCs w:val="20"/>
                <w:lang w:eastAsia="lt-LT"/>
              </w:rPr>
              <w:t>5,80</w:t>
            </w:r>
          </w:p>
        </w:tc>
        <w:tc>
          <w:tcPr>
            <w:tcW w:w="1230" w:type="dxa"/>
            <w:shd w:val="clear" w:color="auto" w:fill="auto"/>
          </w:tcPr>
          <w:p w:rsidR="00D27128" w:rsidRDefault="00D27128" w:rsidP="000453F7">
            <w:pPr>
              <w:jc w:val="center"/>
              <w:rPr>
                <w:rFonts w:eastAsia="Times New Roman"/>
                <w:bCs/>
                <w:color w:val="000000"/>
                <w:sz w:val="20"/>
                <w:szCs w:val="20"/>
                <w:lang w:eastAsia="lt-LT"/>
              </w:rPr>
            </w:pPr>
          </w:p>
          <w:p w:rsidR="00D27128" w:rsidRDefault="00D27128" w:rsidP="000453F7">
            <w:pPr>
              <w:jc w:val="center"/>
              <w:rPr>
                <w:rFonts w:eastAsia="Times New Roman"/>
                <w:bCs/>
                <w:color w:val="000000"/>
                <w:sz w:val="20"/>
                <w:szCs w:val="20"/>
                <w:lang w:eastAsia="lt-LT"/>
              </w:rPr>
            </w:pPr>
          </w:p>
          <w:p w:rsidR="00D27128" w:rsidRDefault="00D27128" w:rsidP="000453F7">
            <w:pPr>
              <w:jc w:val="center"/>
              <w:rPr>
                <w:rFonts w:eastAsia="Times New Roman"/>
                <w:bCs/>
                <w:color w:val="000000"/>
                <w:sz w:val="20"/>
                <w:szCs w:val="20"/>
                <w:lang w:eastAsia="lt-LT"/>
              </w:rPr>
            </w:pPr>
          </w:p>
          <w:p w:rsidR="00D27128" w:rsidRDefault="00D27128" w:rsidP="000453F7">
            <w:pPr>
              <w:jc w:val="center"/>
              <w:rPr>
                <w:rFonts w:eastAsia="Times New Roman"/>
                <w:bCs/>
                <w:color w:val="000000"/>
                <w:sz w:val="20"/>
                <w:szCs w:val="20"/>
                <w:lang w:eastAsia="lt-LT"/>
              </w:rPr>
            </w:pPr>
          </w:p>
          <w:p w:rsidR="000453F7" w:rsidRPr="00EE01DE" w:rsidRDefault="00D27128" w:rsidP="000453F7">
            <w:pPr>
              <w:jc w:val="center"/>
              <w:rPr>
                <w:rFonts w:eastAsia="Times New Roman"/>
                <w:bCs/>
                <w:color w:val="000000"/>
                <w:sz w:val="20"/>
                <w:szCs w:val="20"/>
                <w:lang w:eastAsia="lt-LT"/>
              </w:rPr>
            </w:pPr>
            <w:r>
              <w:rPr>
                <w:rFonts w:eastAsia="Times New Roman"/>
                <w:bCs/>
                <w:color w:val="000000"/>
                <w:sz w:val="20"/>
                <w:szCs w:val="20"/>
                <w:lang w:eastAsia="lt-LT"/>
              </w:rPr>
              <w:t>6,09</w:t>
            </w:r>
          </w:p>
        </w:tc>
        <w:tc>
          <w:tcPr>
            <w:tcW w:w="1322" w:type="dxa"/>
            <w:shd w:val="clear" w:color="auto" w:fill="auto"/>
          </w:tcPr>
          <w:p w:rsidR="00D27128" w:rsidRDefault="00D27128" w:rsidP="000453F7">
            <w:pPr>
              <w:jc w:val="center"/>
              <w:rPr>
                <w:rFonts w:eastAsia="Times New Roman"/>
                <w:bCs/>
                <w:color w:val="000000"/>
                <w:sz w:val="20"/>
                <w:szCs w:val="20"/>
                <w:lang w:eastAsia="lt-LT"/>
              </w:rPr>
            </w:pPr>
          </w:p>
          <w:p w:rsidR="00D27128" w:rsidRDefault="00D27128" w:rsidP="000453F7">
            <w:pPr>
              <w:jc w:val="center"/>
              <w:rPr>
                <w:rFonts w:eastAsia="Times New Roman"/>
                <w:bCs/>
                <w:color w:val="000000"/>
                <w:sz w:val="20"/>
                <w:szCs w:val="20"/>
                <w:lang w:eastAsia="lt-LT"/>
              </w:rPr>
            </w:pPr>
          </w:p>
          <w:p w:rsidR="00D27128" w:rsidRDefault="00D27128" w:rsidP="000453F7">
            <w:pPr>
              <w:jc w:val="center"/>
              <w:rPr>
                <w:rFonts w:eastAsia="Times New Roman"/>
                <w:bCs/>
                <w:color w:val="000000"/>
                <w:sz w:val="20"/>
                <w:szCs w:val="20"/>
                <w:lang w:eastAsia="lt-LT"/>
              </w:rPr>
            </w:pPr>
          </w:p>
          <w:p w:rsidR="00D27128" w:rsidRDefault="00D27128" w:rsidP="000453F7">
            <w:pPr>
              <w:jc w:val="center"/>
              <w:rPr>
                <w:rFonts w:eastAsia="Times New Roman"/>
                <w:bCs/>
                <w:color w:val="000000"/>
                <w:sz w:val="20"/>
                <w:szCs w:val="20"/>
                <w:lang w:eastAsia="lt-LT"/>
              </w:rPr>
            </w:pPr>
          </w:p>
          <w:p w:rsidR="000453F7" w:rsidRPr="00EE01DE" w:rsidRDefault="00D27128" w:rsidP="000453F7">
            <w:pPr>
              <w:jc w:val="center"/>
              <w:rPr>
                <w:rFonts w:eastAsia="Times New Roman"/>
                <w:bCs/>
                <w:color w:val="000000"/>
                <w:sz w:val="20"/>
                <w:szCs w:val="20"/>
                <w:lang w:eastAsia="lt-LT"/>
              </w:rPr>
            </w:pPr>
            <w:r>
              <w:rPr>
                <w:rFonts w:eastAsia="Times New Roman"/>
                <w:bCs/>
                <w:color w:val="000000"/>
                <w:sz w:val="20"/>
                <w:szCs w:val="20"/>
                <w:lang w:eastAsia="lt-LT"/>
              </w:rPr>
              <w:t>2283,75</w:t>
            </w:r>
          </w:p>
        </w:tc>
      </w:tr>
    </w:tbl>
    <w:p w:rsidR="00CC2FA8" w:rsidRDefault="00CC2FA8" w:rsidP="00CC2FA8">
      <w:pPr>
        <w:ind w:firstLine="720"/>
        <w:rPr>
          <w:lang w:eastAsia="lt-LT"/>
        </w:rPr>
      </w:pPr>
    </w:p>
    <w:p w:rsidR="00FC218A" w:rsidRPr="0003114D" w:rsidRDefault="00B60B7C" w:rsidP="0003114D">
      <w:pPr>
        <w:pStyle w:val="ListParagraph"/>
        <w:spacing w:after="0" w:line="240" w:lineRule="auto"/>
        <w:ind w:left="0"/>
        <w:jc w:val="both"/>
        <w:rPr>
          <w:i/>
          <w:sz w:val="22"/>
          <w:lang w:eastAsia="lt-LT"/>
        </w:rPr>
        <w:sectPr w:rsidR="00FC218A" w:rsidRPr="0003114D" w:rsidSect="001C3C9E">
          <w:pgSz w:w="16840" w:h="11900" w:orient="landscape"/>
          <w:pgMar w:top="284" w:right="1440" w:bottom="276" w:left="1440" w:header="720" w:footer="720" w:gutter="0"/>
          <w:cols w:space="1296"/>
          <w:docGrid w:linePitch="326"/>
        </w:sectPr>
      </w:pPr>
      <w:r>
        <w:rPr>
          <w:i/>
          <w:sz w:val="22"/>
          <w:lang w:eastAsia="lt-LT"/>
        </w:rPr>
        <w:t>*</w:t>
      </w:r>
      <w:r w:rsidRPr="00184817">
        <w:rPr>
          <w:i/>
          <w:sz w:val="22"/>
          <w:lang w:eastAsia="lt-LT"/>
        </w:rPr>
        <w:t>Sutarties vykdymo metu įsigyjami prekių kiekiai priklauso nuo faktinių Pirkė</w:t>
      </w:r>
      <w:r>
        <w:rPr>
          <w:i/>
          <w:sz w:val="22"/>
          <w:lang w:eastAsia="lt-LT"/>
        </w:rPr>
        <w:t xml:space="preserve">jo užsakymų, tačiau negali būti </w:t>
      </w:r>
      <w:r w:rsidRPr="00184817">
        <w:rPr>
          <w:i/>
          <w:sz w:val="22"/>
          <w:lang w:eastAsia="lt-LT"/>
        </w:rPr>
        <w:t xml:space="preserve">viršytas nurodytas maksimalus kiekis, išpirkti mažesnį </w:t>
      </w:r>
      <w:r>
        <w:rPr>
          <w:i/>
          <w:sz w:val="22"/>
          <w:lang w:eastAsia="lt-LT"/>
        </w:rPr>
        <w:t xml:space="preserve">prekių </w:t>
      </w:r>
      <w:r w:rsidR="0003114D">
        <w:rPr>
          <w:i/>
          <w:sz w:val="22"/>
          <w:lang w:eastAsia="lt-LT"/>
        </w:rPr>
        <w:t>kiekį Pirkėjas gali.</w:t>
      </w:r>
    </w:p>
    <w:p w:rsidR="00E77E73" w:rsidRPr="00806F2D" w:rsidRDefault="00E77E73" w:rsidP="0003114D">
      <w:pPr>
        <w:pStyle w:val="NormalWeb"/>
        <w:spacing w:before="0" w:beforeAutospacing="0" w:after="40" w:afterAutospacing="0"/>
        <w:rPr>
          <w:sz w:val="22"/>
          <w:szCs w:val="22"/>
        </w:rPr>
      </w:pPr>
    </w:p>
    <w:sectPr w:rsidR="00E77E73" w:rsidRPr="00806F2D" w:rsidSect="00361494">
      <w:pgSz w:w="11900" w:h="16840"/>
      <w:pgMar w:top="340" w:right="340" w:bottom="340" w:left="340"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9BA" w:rsidRDefault="000449BA">
      <w:r>
        <w:separator/>
      </w:r>
    </w:p>
  </w:endnote>
  <w:endnote w:type="continuationSeparator" w:id="0">
    <w:p w:rsidR="000449BA" w:rsidRDefault="00044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Courier New"/>
    <w:panose1 w:val="00000000000000000000"/>
    <w:charset w:val="BA"/>
    <w:family w:val="roman"/>
    <w:notTrueType/>
    <w:pitch w:val="default"/>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9BA" w:rsidRDefault="000449BA">
      <w:r>
        <w:separator/>
      </w:r>
    </w:p>
  </w:footnote>
  <w:footnote w:type="continuationSeparator" w:id="0">
    <w:p w:rsidR="000449BA" w:rsidRDefault="000449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12AD5"/>
    <w:multiLevelType w:val="hybridMultilevel"/>
    <w:tmpl w:val="AC5E4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F67A61"/>
    <w:multiLevelType w:val="hybridMultilevel"/>
    <w:tmpl w:val="20CA499C"/>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3275701E"/>
    <w:multiLevelType w:val="hybridMultilevel"/>
    <w:tmpl w:val="B164C5D4"/>
    <w:lvl w:ilvl="0" w:tplc="87929042">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4B4548B8"/>
    <w:multiLevelType w:val="hybridMultilevel"/>
    <w:tmpl w:val="67A0C7DE"/>
    <w:lvl w:ilvl="0" w:tplc="E178413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D7B2837"/>
    <w:multiLevelType w:val="hybridMultilevel"/>
    <w:tmpl w:val="5D2822DE"/>
    <w:lvl w:ilvl="0" w:tplc="E882744E">
      <w:start w:val="9"/>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F645330"/>
    <w:multiLevelType w:val="hybridMultilevel"/>
    <w:tmpl w:val="AC5E4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0B4124"/>
    <w:multiLevelType w:val="hybridMultilevel"/>
    <w:tmpl w:val="0DE8D380"/>
    <w:lvl w:ilvl="0" w:tplc="79728966">
      <w:start w:val="1"/>
      <w:numFmt w:val="decimal"/>
      <w:lvlText w:val="%1."/>
      <w:lvlJc w:val="left"/>
      <w:pPr>
        <w:ind w:left="644" w:hanging="360"/>
      </w:pPr>
      <w:rPr>
        <w:rFonts w:hint="default"/>
        <w:b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6C443D10"/>
    <w:multiLevelType w:val="hybridMultilevel"/>
    <w:tmpl w:val="493CCF5E"/>
    <w:lvl w:ilvl="0" w:tplc="D7B272D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3C9497A"/>
    <w:multiLevelType w:val="hybridMultilevel"/>
    <w:tmpl w:val="90B86AD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792F4593"/>
    <w:multiLevelType w:val="hybridMultilevel"/>
    <w:tmpl w:val="13ECA7E4"/>
    <w:lvl w:ilvl="0" w:tplc="29B8ECE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AC2251D"/>
    <w:multiLevelType w:val="multilevel"/>
    <w:tmpl w:val="84FE73CC"/>
    <w:lvl w:ilvl="0">
      <w:start w:val="1"/>
      <w:numFmt w:val="decimal"/>
      <w:lvlText w:val="%1."/>
      <w:lvlJc w:val="left"/>
      <w:pPr>
        <w:ind w:left="360" w:hanging="360"/>
      </w:pPr>
      <w:rPr>
        <w:rFonts w:hint="default"/>
        <w:b/>
        <w:i w:val="0"/>
      </w:rPr>
    </w:lvl>
    <w:lvl w:ilvl="1">
      <w:start w:val="1"/>
      <w:numFmt w:val="decimal"/>
      <w:lvlText w:val="%1.%2."/>
      <w:lvlJc w:val="left"/>
      <w:pPr>
        <w:ind w:left="928" w:hanging="360"/>
      </w:pPr>
      <w:rPr>
        <w:rFonts w:hint="default"/>
        <w:i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AEC04DE"/>
    <w:multiLevelType w:val="hybridMultilevel"/>
    <w:tmpl w:val="589A7FE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D492904"/>
    <w:multiLevelType w:val="hybridMultilevel"/>
    <w:tmpl w:val="AF4431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A574C672">
      <w:start w:val="1"/>
      <w:numFmt w:val="decimal"/>
      <w:lvlText w:val="%4."/>
      <w:lvlJc w:val="left"/>
      <w:pPr>
        <w:ind w:left="2880" w:hanging="360"/>
      </w:pPr>
      <w:rPr>
        <w:rFonts w:ascii="Times New Roman" w:eastAsia="Times New Roman" w:hAnsi="Times New Roman" w:cs="Times New Roman"/>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7DCD6382"/>
    <w:multiLevelType w:val="hybridMultilevel"/>
    <w:tmpl w:val="2362EAC0"/>
    <w:lvl w:ilvl="0" w:tplc="7CE87494">
      <w:start w:val="1"/>
      <w:numFmt w:val="upperRoman"/>
      <w:lvlText w:val="%1."/>
      <w:lvlJc w:val="left"/>
      <w:pPr>
        <w:ind w:left="1080" w:hanging="72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3"/>
  </w:num>
  <w:num w:numId="2">
    <w:abstractNumId w:val="2"/>
  </w:num>
  <w:num w:numId="3">
    <w:abstractNumId w:val="4"/>
  </w:num>
  <w:num w:numId="4">
    <w:abstractNumId w:val="5"/>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0"/>
  </w:num>
  <w:num w:numId="9">
    <w:abstractNumId w:val="9"/>
  </w:num>
  <w:num w:numId="10">
    <w:abstractNumId w:val="8"/>
  </w:num>
  <w:num w:numId="11">
    <w:abstractNumId w:val="12"/>
  </w:num>
  <w:num w:numId="12">
    <w:abstractNumId w:val="14"/>
  </w:num>
  <w:num w:numId="13">
    <w:abstractNumId w:val="3"/>
  </w:num>
  <w:num w:numId="14">
    <w:abstractNumId w:val="7"/>
  </w:num>
  <w:num w:numId="15">
    <w:abstractNumId w:val="1"/>
  </w:num>
  <w:num w:numId="16">
    <w:abstractNumId w:val="6"/>
  </w:num>
  <w:num w:numId="17">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35AA"/>
    <w:rsid w:val="000133F6"/>
    <w:rsid w:val="00015752"/>
    <w:rsid w:val="00017E4B"/>
    <w:rsid w:val="00021434"/>
    <w:rsid w:val="00025453"/>
    <w:rsid w:val="0003114D"/>
    <w:rsid w:val="0003262A"/>
    <w:rsid w:val="000449BA"/>
    <w:rsid w:val="000453F7"/>
    <w:rsid w:val="00073392"/>
    <w:rsid w:val="00076954"/>
    <w:rsid w:val="0007764F"/>
    <w:rsid w:val="000C03B7"/>
    <w:rsid w:val="000C584A"/>
    <w:rsid w:val="000D0227"/>
    <w:rsid w:val="000D02C1"/>
    <w:rsid w:val="000D5CC3"/>
    <w:rsid w:val="000E4515"/>
    <w:rsid w:val="000E4828"/>
    <w:rsid w:val="000E4FD7"/>
    <w:rsid w:val="000F4214"/>
    <w:rsid w:val="001121FE"/>
    <w:rsid w:val="00171160"/>
    <w:rsid w:val="00172801"/>
    <w:rsid w:val="001744CB"/>
    <w:rsid w:val="00184FD1"/>
    <w:rsid w:val="00186A1A"/>
    <w:rsid w:val="00196F39"/>
    <w:rsid w:val="001A1785"/>
    <w:rsid w:val="001A1B2F"/>
    <w:rsid w:val="001C2629"/>
    <w:rsid w:val="001C3C9E"/>
    <w:rsid w:val="001C74BA"/>
    <w:rsid w:val="001F3302"/>
    <w:rsid w:val="001F5A47"/>
    <w:rsid w:val="0020073A"/>
    <w:rsid w:val="00206479"/>
    <w:rsid w:val="0022150C"/>
    <w:rsid w:val="00245EE4"/>
    <w:rsid w:val="0024723E"/>
    <w:rsid w:val="00257656"/>
    <w:rsid w:val="00264D70"/>
    <w:rsid w:val="0028738D"/>
    <w:rsid w:val="002A0BA1"/>
    <w:rsid w:val="002A397B"/>
    <w:rsid w:val="002B4A39"/>
    <w:rsid w:val="002C0859"/>
    <w:rsid w:val="002C4556"/>
    <w:rsid w:val="002D0FA2"/>
    <w:rsid w:val="002F4BA1"/>
    <w:rsid w:val="00314035"/>
    <w:rsid w:val="00315458"/>
    <w:rsid w:val="00347BB9"/>
    <w:rsid w:val="00357350"/>
    <w:rsid w:val="00361494"/>
    <w:rsid w:val="00382B06"/>
    <w:rsid w:val="0039166B"/>
    <w:rsid w:val="00394C07"/>
    <w:rsid w:val="003A0138"/>
    <w:rsid w:val="003A5CD0"/>
    <w:rsid w:val="003A7845"/>
    <w:rsid w:val="003C7703"/>
    <w:rsid w:val="003D33B7"/>
    <w:rsid w:val="003E3152"/>
    <w:rsid w:val="00432C2A"/>
    <w:rsid w:val="00444628"/>
    <w:rsid w:val="00451AF6"/>
    <w:rsid w:val="0045220C"/>
    <w:rsid w:val="0047170E"/>
    <w:rsid w:val="004800C7"/>
    <w:rsid w:val="004837AE"/>
    <w:rsid w:val="004A3DBB"/>
    <w:rsid w:val="004B7C0A"/>
    <w:rsid w:val="004D15D3"/>
    <w:rsid w:val="004D35E3"/>
    <w:rsid w:val="004D37CD"/>
    <w:rsid w:val="004F2A00"/>
    <w:rsid w:val="005157F5"/>
    <w:rsid w:val="005163EE"/>
    <w:rsid w:val="005270AD"/>
    <w:rsid w:val="005276D6"/>
    <w:rsid w:val="00556D2E"/>
    <w:rsid w:val="0056664D"/>
    <w:rsid w:val="00574747"/>
    <w:rsid w:val="00577C1E"/>
    <w:rsid w:val="00592C20"/>
    <w:rsid w:val="005C3694"/>
    <w:rsid w:val="005C583C"/>
    <w:rsid w:val="005E30F9"/>
    <w:rsid w:val="005E663C"/>
    <w:rsid w:val="00632F9A"/>
    <w:rsid w:val="0064136D"/>
    <w:rsid w:val="00687AE0"/>
    <w:rsid w:val="006903D2"/>
    <w:rsid w:val="006B05F8"/>
    <w:rsid w:val="006B4BFD"/>
    <w:rsid w:val="006C6C16"/>
    <w:rsid w:val="006D4DF7"/>
    <w:rsid w:val="006D6A2E"/>
    <w:rsid w:val="006E6A66"/>
    <w:rsid w:val="006F0E37"/>
    <w:rsid w:val="007052A6"/>
    <w:rsid w:val="00717C20"/>
    <w:rsid w:val="00722B51"/>
    <w:rsid w:val="007236BF"/>
    <w:rsid w:val="0072567A"/>
    <w:rsid w:val="007459C2"/>
    <w:rsid w:val="00781B80"/>
    <w:rsid w:val="0078344A"/>
    <w:rsid w:val="007860EF"/>
    <w:rsid w:val="0078772B"/>
    <w:rsid w:val="007926DD"/>
    <w:rsid w:val="0079508E"/>
    <w:rsid w:val="007A3352"/>
    <w:rsid w:val="007A52B1"/>
    <w:rsid w:val="007B73F6"/>
    <w:rsid w:val="007C7312"/>
    <w:rsid w:val="007D4B46"/>
    <w:rsid w:val="00806F2D"/>
    <w:rsid w:val="0081761F"/>
    <w:rsid w:val="008260B0"/>
    <w:rsid w:val="00852FBE"/>
    <w:rsid w:val="00895801"/>
    <w:rsid w:val="008A1F3A"/>
    <w:rsid w:val="008A26E0"/>
    <w:rsid w:val="008A6B34"/>
    <w:rsid w:val="008B3D56"/>
    <w:rsid w:val="008C7D86"/>
    <w:rsid w:val="008D3135"/>
    <w:rsid w:val="008E4CCD"/>
    <w:rsid w:val="008E7B97"/>
    <w:rsid w:val="00901903"/>
    <w:rsid w:val="009432DD"/>
    <w:rsid w:val="009463A9"/>
    <w:rsid w:val="009A40B0"/>
    <w:rsid w:val="009B1673"/>
    <w:rsid w:val="009C3350"/>
    <w:rsid w:val="009C5D91"/>
    <w:rsid w:val="009C6CCB"/>
    <w:rsid w:val="009D2630"/>
    <w:rsid w:val="009E5120"/>
    <w:rsid w:val="00A117A1"/>
    <w:rsid w:val="00A269A2"/>
    <w:rsid w:val="00A52C7A"/>
    <w:rsid w:val="00A57C4A"/>
    <w:rsid w:val="00A71EB8"/>
    <w:rsid w:val="00AA1822"/>
    <w:rsid w:val="00AB1E83"/>
    <w:rsid w:val="00B00ADE"/>
    <w:rsid w:val="00B16C52"/>
    <w:rsid w:val="00B22F62"/>
    <w:rsid w:val="00B31F05"/>
    <w:rsid w:val="00B456AF"/>
    <w:rsid w:val="00B55E5E"/>
    <w:rsid w:val="00B60B7C"/>
    <w:rsid w:val="00B8550E"/>
    <w:rsid w:val="00B87413"/>
    <w:rsid w:val="00B91516"/>
    <w:rsid w:val="00BB45C2"/>
    <w:rsid w:val="00BC3AFF"/>
    <w:rsid w:val="00BD0B3D"/>
    <w:rsid w:val="00C05196"/>
    <w:rsid w:val="00C30E26"/>
    <w:rsid w:val="00C30EE4"/>
    <w:rsid w:val="00C348AD"/>
    <w:rsid w:val="00C626D4"/>
    <w:rsid w:val="00C80094"/>
    <w:rsid w:val="00CA406C"/>
    <w:rsid w:val="00CB6B53"/>
    <w:rsid w:val="00CC2FA8"/>
    <w:rsid w:val="00CC7858"/>
    <w:rsid w:val="00CE32AE"/>
    <w:rsid w:val="00CE4E42"/>
    <w:rsid w:val="00CF0B2E"/>
    <w:rsid w:val="00CF205C"/>
    <w:rsid w:val="00D24248"/>
    <w:rsid w:val="00D27128"/>
    <w:rsid w:val="00D337A1"/>
    <w:rsid w:val="00D4313D"/>
    <w:rsid w:val="00D45D4D"/>
    <w:rsid w:val="00D5459B"/>
    <w:rsid w:val="00D611BC"/>
    <w:rsid w:val="00D6258B"/>
    <w:rsid w:val="00D67C4A"/>
    <w:rsid w:val="00D7519B"/>
    <w:rsid w:val="00D8518F"/>
    <w:rsid w:val="00D9644B"/>
    <w:rsid w:val="00DF7FD0"/>
    <w:rsid w:val="00E21221"/>
    <w:rsid w:val="00E22D74"/>
    <w:rsid w:val="00E5711E"/>
    <w:rsid w:val="00E77E73"/>
    <w:rsid w:val="00E87DAD"/>
    <w:rsid w:val="00E9390F"/>
    <w:rsid w:val="00E9590C"/>
    <w:rsid w:val="00EB1182"/>
    <w:rsid w:val="00EC4D81"/>
    <w:rsid w:val="00EE0663"/>
    <w:rsid w:val="00EF747A"/>
    <w:rsid w:val="00F1280F"/>
    <w:rsid w:val="00F26C57"/>
    <w:rsid w:val="00F2734D"/>
    <w:rsid w:val="00F31DEE"/>
    <w:rsid w:val="00F4055B"/>
    <w:rsid w:val="00F5328E"/>
    <w:rsid w:val="00F63F6A"/>
    <w:rsid w:val="00F7282A"/>
    <w:rsid w:val="00F82A35"/>
    <w:rsid w:val="00F82E4E"/>
    <w:rsid w:val="00F87880"/>
    <w:rsid w:val="00F94E31"/>
    <w:rsid w:val="00F95807"/>
    <w:rsid w:val="00FB70EE"/>
    <w:rsid w:val="00FC218A"/>
    <w:rsid w:val="00FC7F04"/>
    <w:rsid w:val="00FE0A95"/>
    <w:rsid w:val="00FF1FF6"/>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3BF6C"/>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D8518F"/>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1985"/>
      </w:tabs>
      <w:outlineLvl w:val="0"/>
    </w:pPr>
    <w:rPr>
      <w:rFonts w:eastAsia="Times New Roman"/>
      <w:b/>
      <w:bCs/>
      <w:noProof/>
      <w:sz w:val="20"/>
      <w:szCs w:val="20"/>
      <w:bdr w:val="none" w:sz="0" w:space="0" w:color="auto"/>
      <w:lang w:val="lt-LT"/>
    </w:rPr>
  </w:style>
  <w:style w:type="paragraph" w:styleId="Heading6">
    <w:name w:val="heading 6"/>
    <w:basedOn w:val="Normal"/>
    <w:next w:val="Normal"/>
    <w:link w:val="Heading6Char"/>
    <w:uiPriority w:val="99"/>
    <w:qFormat/>
    <w:rsid w:val="0007764F"/>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4320"/>
      </w:tabs>
      <w:suppressAutoHyphens/>
      <w:ind w:left="4320" w:hanging="180"/>
      <w:outlineLvl w:val="5"/>
    </w:pPr>
    <w:rPr>
      <w:rFonts w:eastAsia="Times New Roman"/>
      <w:b/>
      <w:sz w:val="36"/>
      <w:szCs w:val="20"/>
      <w:bdr w:val="none" w:sz="0" w:space="0" w:color="auto"/>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518F"/>
    <w:rPr>
      <w:rFonts w:eastAsia="Times New Roman"/>
      <w:b/>
      <w:bCs/>
      <w:noProof/>
      <w:bdr w:val="none" w:sz="0" w:space="0" w:color="auto"/>
      <w:lang w:eastAsia="en-US"/>
    </w:rPr>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uiPriority w:val="99"/>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character" w:customStyle="1" w:styleId="TitleChar">
    <w:name w:val="Title Char"/>
    <w:link w:val="Title"/>
    <w:uiPriority w:val="99"/>
    <w:rsid w:val="003E3152"/>
    <w:rPr>
      <w:rFonts w:ascii="Helvetica Neue UltraLight" w:hAnsi="Helvetica Neue UltraLight" w:cs="Arial Unicode MS"/>
      <w:color w:val="000000"/>
      <w:spacing w:val="16"/>
      <w:sz w:val="56"/>
      <w:szCs w:val="56"/>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w:basedOn w:val="Normal"/>
    <w:link w:val="HeaderChar"/>
    <w:uiPriority w:val="99"/>
    <w:unhideWhenUsed/>
    <w:rsid w:val="0045220C"/>
    <w:pPr>
      <w:tabs>
        <w:tab w:val="center" w:pos="4819"/>
        <w:tab w:val="right" w:pos="9638"/>
      </w:tabs>
    </w:p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table" w:styleId="TableGrid">
    <w:name w:val="Table Grid"/>
    <w:basedOn w:val="TableNormal"/>
    <w:uiPriority w:val="59"/>
    <w:rsid w:val="00247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p1,Bullet 1,Use Case List Paragraph,Numbering,ERP-List Paragraph,List Paragraph11,List Paragraph Red,List Paragraph21,Table of contents numbered,List Paragraph2"/>
    <w:basedOn w:val="Normal"/>
    <w:link w:val="ListParagraphChar"/>
    <w:uiPriority w:val="34"/>
    <w:qFormat/>
    <w:rsid w:val="00D8518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
    <w:link w:val="ListParagraph"/>
    <w:uiPriority w:val="34"/>
    <w:locked/>
    <w:rsid w:val="00D8518F"/>
    <w:rPr>
      <w:rFonts w:eastAsia="Calibri"/>
      <w:sz w:val="24"/>
      <w:szCs w:val="22"/>
      <w:bdr w:val="none" w:sz="0" w:space="0" w:color="auto"/>
      <w:lang w:eastAsia="en-US"/>
    </w:rPr>
  </w:style>
  <w:style w:type="paragraph" w:customStyle="1" w:styleId="Standard">
    <w:name w:val="Standard"/>
    <w:uiPriority w:val="99"/>
    <w:rsid w:val="00D8518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Calibri" w:cs="Tahoma"/>
      <w:kern w:val="3"/>
      <w:sz w:val="24"/>
      <w:szCs w:val="24"/>
      <w:bdr w:val="none" w:sz="0" w:space="0" w:color="auto"/>
      <w:lang w:val="de-DE" w:eastAsia="ja-JP" w:bidi="fa-IR"/>
    </w:rPr>
  </w:style>
  <w:style w:type="paragraph" w:customStyle="1" w:styleId="Sraopastraipa1">
    <w:name w:val="Sąrašo pastraipa1"/>
    <w:basedOn w:val="Normal"/>
    <w:uiPriority w:val="99"/>
    <w:rsid w:val="00D8518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contextualSpacing/>
    </w:pPr>
    <w:rPr>
      <w:rFonts w:ascii="Calibri" w:eastAsia="Calibri" w:hAnsi="Calibri"/>
      <w:sz w:val="22"/>
      <w:szCs w:val="22"/>
      <w:bdr w:val="none" w:sz="0" w:space="0" w:color="auto"/>
    </w:rPr>
  </w:style>
  <w:style w:type="paragraph" w:customStyle="1" w:styleId="Betarp1">
    <w:name w:val="Be tarpų1"/>
    <w:uiPriority w:val="99"/>
    <w:rsid w:val="00D8518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pPr>
    <w:rPr>
      <w:rFonts w:ascii="Calibri" w:eastAsia="Times New Roman" w:hAnsi="Calibri"/>
      <w:sz w:val="22"/>
      <w:szCs w:val="22"/>
      <w:bdr w:val="none" w:sz="0" w:space="0" w:color="auto"/>
      <w:lang w:val="en-US" w:eastAsia="en-US"/>
    </w:rPr>
  </w:style>
  <w:style w:type="paragraph" w:styleId="BodyText">
    <w:name w:val="Body Text"/>
    <w:basedOn w:val="Normal"/>
    <w:link w:val="BodyTextChar"/>
    <w:semiHidden/>
    <w:unhideWhenUsed/>
    <w:rsid w:val="00D8518F"/>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Char">
    <w:name w:val="Body Text Char"/>
    <w:basedOn w:val="DefaultParagraphFont"/>
    <w:link w:val="BodyText"/>
    <w:semiHidden/>
    <w:rsid w:val="00D8518F"/>
    <w:rPr>
      <w:rFonts w:eastAsia="Times New Roman"/>
      <w:sz w:val="24"/>
      <w:bdr w:val="none" w:sz="0" w:space="0" w:color="auto"/>
      <w:lang w:eastAsia="en-US"/>
    </w:rPr>
  </w:style>
  <w:style w:type="paragraph" w:styleId="BodyText2">
    <w:name w:val="Body Text 2"/>
    <w:basedOn w:val="Normal"/>
    <w:link w:val="BodyText2Char"/>
    <w:uiPriority w:val="99"/>
    <w:semiHidden/>
    <w:unhideWhenUsed/>
    <w:rsid w:val="00D8518F"/>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Calibri"/>
      <w:szCs w:val="22"/>
      <w:bdr w:val="none" w:sz="0" w:space="0" w:color="auto"/>
      <w:lang w:val="lt-LT"/>
    </w:rPr>
  </w:style>
  <w:style w:type="character" w:customStyle="1" w:styleId="BodyText2Char">
    <w:name w:val="Body Text 2 Char"/>
    <w:basedOn w:val="DefaultParagraphFont"/>
    <w:link w:val="BodyText2"/>
    <w:uiPriority w:val="99"/>
    <w:semiHidden/>
    <w:rsid w:val="00D8518F"/>
    <w:rPr>
      <w:rFonts w:eastAsia="Calibri"/>
      <w:sz w:val="24"/>
      <w:szCs w:val="22"/>
      <w:bdr w:val="none" w:sz="0" w:space="0" w:color="auto"/>
      <w:lang w:eastAsia="en-US"/>
    </w:rPr>
  </w:style>
  <w:style w:type="paragraph" w:customStyle="1" w:styleId="TableContents">
    <w:name w:val="Table Contents"/>
    <w:basedOn w:val="Normal"/>
    <w:rsid w:val="00D8518F"/>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2"/>
      <w:bdr w:val="none" w:sz="0" w:space="0" w:color="auto"/>
      <w:lang w:val="en-GB" w:eastAsia="ar-SA"/>
    </w:rPr>
  </w:style>
  <w:style w:type="paragraph" w:customStyle="1" w:styleId="BodyText1">
    <w:name w:val="Body Text1"/>
    <w:rsid w:val="00E77E73"/>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ind w:firstLine="312"/>
      <w:jc w:val="both"/>
    </w:pPr>
    <w:rPr>
      <w:rFonts w:ascii="TimesLT" w:eastAsia="Times New Roman" w:hAnsi="TimesLT"/>
      <w:bdr w:val="none" w:sz="0" w:space="0" w:color="auto"/>
      <w:lang w:val="en-US" w:eastAsia="ar-SA"/>
    </w:rPr>
  </w:style>
  <w:style w:type="paragraph" w:customStyle="1" w:styleId="linija">
    <w:name w:val="linija"/>
    <w:basedOn w:val="Normal"/>
    <w:rsid w:val="00E77E7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NoSpacing1">
    <w:name w:val="No Spacing1"/>
    <w:rsid w:val="00D9644B"/>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4"/>
      <w:szCs w:val="22"/>
      <w:bdr w:val="none" w:sz="0" w:space="0" w:color="auto"/>
      <w:lang w:eastAsia="zh-CN"/>
    </w:rPr>
  </w:style>
  <w:style w:type="paragraph" w:styleId="NoSpacing">
    <w:name w:val="No Spacing"/>
    <w:uiPriority w:val="99"/>
    <w:qFormat/>
    <w:rsid w:val="001C3C9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sz w:val="22"/>
      <w:szCs w:val="22"/>
      <w:bdr w:val="none" w:sz="0" w:space="0" w:color="auto"/>
      <w:lang w:val="en-US" w:eastAsia="en-US"/>
    </w:rPr>
  </w:style>
  <w:style w:type="character" w:customStyle="1" w:styleId="Heading6Char">
    <w:name w:val="Heading 6 Char"/>
    <w:basedOn w:val="DefaultParagraphFont"/>
    <w:link w:val="Heading6"/>
    <w:uiPriority w:val="99"/>
    <w:rsid w:val="0007764F"/>
    <w:rPr>
      <w:rFonts w:eastAsia="Times New Roman"/>
      <w:b/>
      <w:sz w:val="36"/>
      <w:bdr w:val="none" w:sz="0" w:space="0" w:color="auto"/>
      <w:lang w:eastAsia="ar-SA"/>
    </w:rPr>
  </w:style>
  <w:style w:type="character" w:customStyle="1" w:styleId="xslt-doc-title">
    <w:name w:val="xslt-doc-title"/>
    <w:basedOn w:val="DefaultParagraphFont"/>
    <w:rsid w:val="00CC2FA8"/>
  </w:style>
  <w:style w:type="character" w:customStyle="1" w:styleId="spellingerror">
    <w:name w:val="spellingerror"/>
    <w:basedOn w:val="DefaultParagraphFont"/>
    <w:rsid w:val="00CC2FA8"/>
  </w:style>
  <w:style w:type="character" w:customStyle="1" w:styleId="normaltextrun1">
    <w:name w:val="normaltextrun1"/>
    <w:basedOn w:val="DefaultParagraphFont"/>
    <w:rsid w:val="00CC2FA8"/>
  </w:style>
  <w:style w:type="paragraph" w:styleId="BalloonText">
    <w:name w:val="Balloon Text"/>
    <w:basedOn w:val="Normal"/>
    <w:link w:val="BalloonTextChar"/>
    <w:uiPriority w:val="99"/>
    <w:semiHidden/>
    <w:unhideWhenUsed/>
    <w:rsid w:val="00B22F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F62"/>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6434">
      <w:bodyDiv w:val="1"/>
      <w:marLeft w:val="0"/>
      <w:marRight w:val="0"/>
      <w:marTop w:val="0"/>
      <w:marBottom w:val="0"/>
      <w:divBdr>
        <w:top w:val="none" w:sz="0" w:space="0" w:color="auto"/>
        <w:left w:val="none" w:sz="0" w:space="0" w:color="auto"/>
        <w:bottom w:val="none" w:sz="0" w:space="0" w:color="auto"/>
        <w:right w:val="none" w:sz="0" w:space="0" w:color="auto"/>
      </w:divBdr>
    </w:div>
    <w:div w:id="159121611">
      <w:bodyDiv w:val="1"/>
      <w:marLeft w:val="0"/>
      <w:marRight w:val="0"/>
      <w:marTop w:val="0"/>
      <w:marBottom w:val="0"/>
      <w:divBdr>
        <w:top w:val="none" w:sz="0" w:space="0" w:color="auto"/>
        <w:left w:val="none" w:sz="0" w:space="0" w:color="auto"/>
        <w:bottom w:val="none" w:sz="0" w:space="0" w:color="auto"/>
        <w:right w:val="none" w:sz="0" w:space="0" w:color="auto"/>
      </w:divBdr>
    </w:div>
    <w:div w:id="273371864">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109852636">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85932782">
      <w:bodyDiv w:val="1"/>
      <w:marLeft w:val="0"/>
      <w:marRight w:val="0"/>
      <w:marTop w:val="0"/>
      <w:marBottom w:val="0"/>
      <w:divBdr>
        <w:top w:val="none" w:sz="0" w:space="0" w:color="auto"/>
        <w:left w:val="none" w:sz="0" w:space="0" w:color="auto"/>
        <w:bottom w:val="none" w:sz="0" w:space="0" w:color="auto"/>
        <w:right w:val="none" w:sz="0" w:space="0" w:color="auto"/>
      </w:divBdr>
    </w:div>
    <w:div w:id="1863394186">
      <w:bodyDiv w:val="1"/>
      <w:marLeft w:val="0"/>
      <w:marRight w:val="0"/>
      <w:marTop w:val="0"/>
      <w:marBottom w:val="0"/>
      <w:divBdr>
        <w:top w:val="none" w:sz="0" w:space="0" w:color="auto"/>
        <w:left w:val="none" w:sz="0" w:space="0" w:color="auto"/>
        <w:bottom w:val="none" w:sz="0" w:space="0" w:color="auto"/>
        <w:right w:val="none" w:sz="0" w:space="0" w:color="auto"/>
      </w:divBdr>
    </w:div>
    <w:div w:id="1917664711">
      <w:bodyDiv w:val="1"/>
      <w:marLeft w:val="0"/>
      <w:marRight w:val="0"/>
      <w:marTop w:val="0"/>
      <w:marBottom w:val="0"/>
      <w:divBdr>
        <w:top w:val="none" w:sz="0" w:space="0" w:color="auto"/>
        <w:left w:val="none" w:sz="0" w:space="0" w:color="auto"/>
        <w:bottom w:val="none" w:sz="0" w:space="0" w:color="auto"/>
        <w:right w:val="none" w:sz="0" w:space="0" w:color="auto"/>
      </w:divBdr>
    </w:div>
    <w:div w:id="2095930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ygon.com/catalog/nasal-oxygen-catheter_579_0005950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rgonmedical.eu.com/products/connecting-tubes-for-drainage-bags"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AD303-F7E8-4B18-BDE7-3BA17F47F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3</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Rasa V</cp:lastModifiedBy>
  <cp:revision>41</cp:revision>
  <cp:lastPrinted>2018-05-31T10:11:00Z</cp:lastPrinted>
  <dcterms:created xsi:type="dcterms:W3CDTF">2018-07-09T10:56:00Z</dcterms:created>
  <dcterms:modified xsi:type="dcterms:W3CDTF">2019-02-07T15:15:00Z</dcterms:modified>
</cp:coreProperties>
</file>