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1EF1" w14:textId="77777777" w:rsidR="002343AA" w:rsidRPr="002343AA" w:rsidRDefault="002343AA" w:rsidP="002343AA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6"/>
          <w:szCs w:val="16"/>
          <w:lang w:val="en-US"/>
        </w:rPr>
      </w:pPr>
      <w:r w:rsidRPr="002343AA">
        <w:rPr>
          <w:rFonts w:ascii="Tahoma" w:eastAsia="Times New Roman" w:hAnsi="Tahoma" w:cs="Tahoma"/>
          <w:color w:val="000000"/>
          <w:sz w:val="16"/>
          <w:szCs w:val="16"/>
          <w:lang w:val="en-US"/>
        </w:rPr>
        <w:fldChar w:fldCharType="begin"/>
      </w:r>
      <w:r w:rsidRPr="002343AA">
        <w:rPr>
          <w:rFonts w:ascii="Tahoma" w:eastAsia="Times New Roman" w:hAnsi="Tahoma" w:cs="Tahoma"/>
          <w:color w:val="000000"/>
          <w:sz w:val="16"/>
          <w:szCs w:val="16"/>
          <w:lang w:val="en-US"/>
        </w:rPr>
        <w:instrText xml:space="preserve"> HYPERLINK "https://www.spsc.lt/registrai/spec2012/israsas.php?editid1=35766" </w:instrText>
      </w:r>
      <w:r w:rsidRPr="002343AA">
        <w:rPr>
          <w:rFonts w:ascii="Tahoma" w:eastAsia="Times New Roman" w:hAnsi="Tahoma" w:cs="Tahoma"/>
          <w:color w:val="000000"/>
          <w:sz w:val="16"/>
          <w:szCs w:val="16"/>
          <w:lang w:val="en-US"/>
        </w:rPr>
        <w:fldChar w:fldCharType="separate"/>
      </w:r>
      <w:r w:rsidRPr="002343AA">
        <w:rPr>
          <w:rFonts w:ascii="Tahoma" w:eastAsia="Times New Roman" w:hAnsi="Tahoma" w:cs="Tahoma"/>
          <w:noProof/>
          <w:color w:val="0000FF"/>
          <w:sz w:val="16"/>
          <w:szCs w:val="16"/>
          <w:lang w:val="en-US"/>
        </w:rPr>
        <w:drawing>
          <wp:inline distT="0" distB="0" distL="0" distR="0" wp14:anchorId="425D0AF8" wp14:editId="067A94B4">
            <wp:extent cx="152400" cy="152400"/>
            <wp:effectExtent l="0" t="0" r="0" b="0"/>
            <wp:docPr id="5" name="Paveikslėlis 3" descr="Spausdint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ausdint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3AA">
        <w:rPr>
          <w:rFonts w:ascii="Tahoma" w:eastAsia="Times New Roman" w:hAnsi="Tahoma" w:cs="Tahoma"/>
          <w:color w:val="0000FF"/>
          <w:sz w:val="16"/>
          <w:szCs w:val="16"/>
          <w:u w:val="single"/>
          <w:lang w:val="en-US"/>
        </w:rPr>
        <w:t>  </w:t>
      </w:r>
      <w:proofErr w:type="spellStart"/>
      <w:r w:rsidRPr="002343AA">
        <w:rPr>
          <w:rFonts w:ascii="Tahoma" w:eastAsia="Times New Roman" w:hAnsi="Tahoma" w:cs="Tahoma"/>
          <w:color w:val="000000"/>
          <w:sz w:val="16"/>
          <w:szCs w:val="16"/>
          <w:lang w:val="en-US"/>
        </w:rPr>
        <w:fldChar w:fldCharType="end"/>
      </w:r>
      <w:hyperlink r:id="rId6" w:history="1">
        <w:r w:rsidRPr="002343AA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val="en-US"/>
          </w:rPr>
          <w:t>Spausdinti</w:t>
        </w:r>
        <w:proofErr w:type="spellEnd"/>
      </w:hyperlink>
    </w:p>
    <w:p w14:paraId="2A6AD034" w14:textId="77777777" w:rsidR="002343AA" w:rsidRPr="002343AA" w:rsidRDefault="002343AA" w:rsidP="002343A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val="en-US"/>
        </w:rPr>
      </w:pPr>
      <w:r w:rsidRPr="002343AA">
        <w:rPr>
          <w:rFonts w:ascii="Tahoma" w:eastAsia="Times New Roman" w:hAnsi="Tahoma" w:cs="Tahoma"/>
          <w:noProof/>
          <w:color w:val="000000"/>
          <w:sz w:val="16"/>
          <w:szCs w:val="16"/>
          <w:lang w:val="en-US"/>
        </w:rPr>
        <w:drawing>
          <wp:inline distT="0" distB="0" distL="0" distR="0" wp14:anchorId="27A7713E" wp14:editId="5DB025AC">
            <wp:extent cx="2000250" cy="66675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3"/>
      </w:tblGrid>
      <w:tr w:rsidR="002343AA" w:rsidRPr="002343AA" w14:paraId="5A6267A2" w14:textId="77777777" w:rsidTr="002343AA">
        <w:tc>
          <w:tcPr>
            <w:tcW w:w="0" w:type="auto"/>
            <w:tcBorders>
              <w:top w:val="single" w:sz="6" w:space="0" w:color="B2C7E4"/>
              <w:bottom w:val="single" w:sz="6" w:space="0" w:color="B2C7E4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EC22DC2" w14:textId="77777777" w:rsidR="002343AA" w:rsidRPr="002343AA" w:rsidRDefault="002343AA" w:rsidP="00234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Valstybės</w:t>
            </w:r>
            <w:proofErr w:type="spellEnd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įmonė</w:t>
            </w:r>
            <w:proofErr w:type="spellEnd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kodas</w:t>
            </w:r>
            <w:proofErr w:type="spellEnd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110068926 • </w:t>
            </w:r>
            <w:proofErr w:type="spellStart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Linkmenų</w:t>
            </w:r>
            <w:proofErr w:type="spellEnd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g. 28, LT-08217 Vilnius • Tel.:2728077, faks.:2728075</w:t>
            </w:r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El.p</w:t>
            </w:r>
            <w:proofErr w:type="spellEnd"/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.: </w:t>
            </w:r>
            <w:hyperlink r:id="rId8" w:history="1">
              <w:r w:rsidRPr="002343AA">
                <w:rPr>
                  <w:rFonts w:ascii="Tahoma" w:eastAsia="Times New Roman" w:hAnsi="Tahoma" w:cs="Tahoma"/>
                  <w:color w:val="000000"/>
                  <w:sz w:val="16"/>
                  <w:szCs w:val="16"/>
                  <w:u w:val="single"/>
                  <w:lang w:val="en-US"/>
                </w:rPr>
                <w:t>centras@spsc.lt</w:t>
              </w:r>
            </w:hyperlink>
            <w:r w:rsidRPr="002343A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 , </w:t>
            </w:r>
            <w:hyperlink r:id="rId9" w:history="1">
              <w:r w:rsidRPr="002343AA">
                <w:rPr>
                  <w:rFonts w:ascii="Tahoma" w:eastAsia="Times New Roman" w:hAnsi="Tahoma" w:cs="Tahoma"/>
                  <w:color w:val="000000"/>
                  <w:sz w:val="16"/>
                  <w:szCs w:val="16"/>
                  <w:u w:val="single"/>
                  <w:lang w:val="en-US"/>
                </w:rPr>
                <w:t>http://www.spsc.lt</w:t>
              </w:r>
            </w:hyperlink>
          </w:p>
        </w:tc>
      </w:tr>
    </w:tbl>
    <w:p w14:paraId="0C2E8ADF" w14:textId="77777777" w:rsidR="002343AA" w:rsidRPr="002343AA" w:rsidRDefault="002343AA" w:rsidP="002343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19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5"/>
      </w:tblGrid>
      <w:tr w:rsidR="002343AA" w:rsidRPr="002343AA" w14:paraId="792CAFB1" w14:textId="77777777" w:rsidTr="002343AA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19618"/>
              <w:gridCol w:w="8"/>
            </w:tblGrid>
            <w:tr w:rsidR="002343AA" w:rsidRPr="002343AA" w14:paraId="348A5B0D" w14:textId="77777777" w:rsidTr="002343AA">
              <w:trPr>
                <w:trHeight w:val="15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70923864" w14:textId="77777777" w:rsidR="002343AA" w:rsidRPr="002343AA" w:rsidRDefault="002343AA" w:rsidP="002343AA">
                  <w:pPr>
                    <w:spacing w:line="240" w:lineRule="auto"/>
                    <w:jc w:val="center"/>
                    <w:divId w:val="879630234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</w:pP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Išrašas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iš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statybos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specialistų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kvalifikacijos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atestatų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ir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teisės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pripažinimo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dokumentų</w:t>
                  </w:r>
                  <w:proofErr w:type="spellEnd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 xml:space="preserve"> </w:t>
                  </w:r>
                  <w:proofErr w:type="spellStart"/>
                  <w:r w:rsidRPr="002343AA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  <w:t>registro</w:t>
                  </w:r>
                  <w:proofErr w:type="spellEnd"/>
                </w:p>
              </w:tc>
            </w:tr>
            <w:tr w:rsidR="002343AA" w:rsidRPr="002343AA" w14:paraId="04EB8040" w14:textId="77777777" w:rsidTr="002343A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D3CBFA" w14:textId="77777777" w:rsidR="002343AA" w:rsidRPr="002343AA" w:rsidRDefault="002343AA" w:rsidP="002343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12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7"/>
                    <w:gridCol w:w="10348"/>
                    <w:gridCol w:w="6"/>
                    <w:gridCol w:w="6"/>
                  </w:tblGrid>
                  <w:tr w:rsidR="002343AA" w:rsidRPr="002343AA" w14:paraId="767F37AD" w14:textId="77777777" w:rsidTr="002343AA">
                    <w:trPr>
                      <w:trHeight w:val="14"/>
                    </w:trPr>
                    <w:tc>
                      <w:tcPr>
                        <w:tcW w:w="0" w:type="auto"/>
                        <w:gridSpan w:val="4"/>
                        <w:tcBorders>
                          <w:bottom w:val="single" w:sz="6" w:space="0" w:color="B2C7E4"/>
                        </w:tcBorders>
                        <w:shd w:val="clear" w:color="auto" w:fill="F1F1F1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6A450FE2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aps/>
                            <w:sz w:val="21"/>
                            <w:szCs w:val="21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caps/>
                            <w:sz w:val="21"/>
                            <w:szCs w:val="21"/>
                            <w:lang w:val="en-US"/>
                          </w:rPr>
                          <w:t>SPECIALISTAS</w:t>
                        </w:r>
                      </w:p>
                    </w:tc>
                  </w:tr>
                  <w:tr w:rsidR="002343AA" w:rsidRPr="002343AA" w14:paraId="69562036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0987DB3E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Vardas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pavardė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3BF28283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Almantas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Malinauskas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859CC7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DC592E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2343AA" w:rsidRPr="002343AA" w14:paraId="7ABFC5BA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281EA40A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El.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paštas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3A87E71B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almantas.malinauskas@live.com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B9B7A0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C62D2D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2343AA" w:rsidRPr="002343AA" w14:paraId="76E17320" w14:textId="77777777" w:rsidTr="002343AA">
                    <w:trPr>
                      <w:trHeight w:val="14"/>
                    </w:trPr>
                    <w:tc>
                      <w:tcPr>
                        <w:tcW w:w="0" w:type="auto"/>
                        <w:gridSpan w:val="4"/>
                        <w:tcBorders>
                          <w:bottom w:val="single" w:sz="6" w:space="0" w:color="B2C7E4"/>
                        </w:tcBorders>
                        <w:shd w:val="clear" w:color="auto" w:fill="F1F1F1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2A115B1F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aps/>
                            <w:sz w:val="21"/>
                            <w:szCs w:val="21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caps/>
                            <w:sz w:val="21"/>
                            <w:szCs w:val="21"/>
                            <w:lang w:val="en-US"/>
                          </w:rPr>
                          <w:t>TEISĖS DOKUMENTAS</w:t>
                        </w:r>
                      </w:p>
                    </w:tc>
                  </w:tr>
                  <w:tr w:rsidR="002343AA" w:rsidRPr="002343AA" w14:paraId="76FE2529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420A7BAD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Tipas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273768CD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Kvalifikacijos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atestatas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BC48DB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43BEDE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2343AA" w:rsidRPr="002343AA" w14:paraId="424FF2D4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0EE47FEC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Numeris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6F0C351B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35766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5E4BBD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8C601C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2343AA" w:rsidRPr="002343AA" w14:paraId="5C0F7044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102394FF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Pirmą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kartą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išduotas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4017B648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2016-03-24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B8B21C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95C0BB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2343AA" w:rsidRPr="002343AA" w14:paraId="1F65EEA8" w14:textId="77777777" w:rsidTr="002343AA">
                    <w:trPr>
                      <w:trHeight w:val="14"/>
                    </w:trPr>
                    <w:tc>
                      <w:tcPr>
                        <w:tcW w:w="0" w:type="auto"/>
                        <w:gridSpan w:val="4"/>
                        <w:tcBorders>
                          <w:bottom w:val="single" w:sz="6" w:space="0" w:color="B2C7E4"/>
                        </w:tcBorders>
                        <w:shd w:val="clear" w:color="auto" w:fill="F1F1F1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5752D298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aps/>
                            <w:sz w:val="21"/>
                            <w:szCs w:val="21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caps/>
                            <w:sz w:val="21"/>
                            <w:szCs w:val="21"/>
                            <w:lang w:val="en-US"/>
                          </w:rPr>
                          <w:t>SUTEIKTA TEISĖ</w:t>
                        </w:r>
                      </w:p>
                    </w:tc>
                  </w:tr>
                  <w:tr w:rsidR="002343AA" w:rsidRPr="002343AA" w14:paraId="6DB42166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248169EA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Nuo 2016-03-24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iki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2018-12-10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13C90968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Suteikta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teisė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eiti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ypatingo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specialiųjų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statybos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vadovo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ypatingo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specialiųjų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statybos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techninės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priežiūros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vadovo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pareigas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gyvenamieji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negyvenamieji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pastatai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sritis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elektros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procesų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valdymo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automatizavimo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7A94A1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A4A0A8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2343AA" w:rsidRPr="002343AA" w14:paraId="2264F17D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32723420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Nuo 2018-12-10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iki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2020-03-04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62468305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Suteikta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teisė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eiti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ypatingojo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specialiųjų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statybos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vadovo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ypatingojo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specialiųjų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statybos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techninės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priežiūros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vadovo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pareigas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gyvenamieji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negyvenamieji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pastatai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taip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pat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minėti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esantys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kultūros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paveldo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objekto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teritorijoje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jo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apsaugos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zonoje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kultūros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paveldo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vietovėje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sritis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elektros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procesų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valdymo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automatizavimo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1D3706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D4C3B5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2343AA" w:rsidRPr="002343AA" w14:paraId="44904D99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1591101F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Nuo 2020-03-04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iki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2020-06-22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79242237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Suteikta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teisė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eiti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ypatingojo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specialiųjų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statybos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vadovo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ypatingojo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specialiųjų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statybos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techninės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priežiūros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vadovo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pareigas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gyvenamieji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negyvenamieji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pastatai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susisiekimo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komunikacijos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gatvės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),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tinklai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elektros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),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kiti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taip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pat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minėti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esantys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kultūros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paveldo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objekto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teritorijoje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jo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apsaugos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zonoje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kultūros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paveldo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vietovėje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sritys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elektros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energijos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tiekimo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skirstymo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montavimas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elektros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procesų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valdymo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automatizavimo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nuotolinio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ryšio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telekomunikacijų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)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apsauginės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signalizacijos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gaisrinės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saugos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419795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6115DB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2343AA" w:rsidRPr="002343AA" w14:paraId="170C2FD5" w14:textId="77777777" w:rsidTr="002343AA">
                    <w:trPr>
                      <w:trHeight w:val="14"/>
                    </w:trPr>
                    <w:tc>
                      <w:tcPr>
                        <w:tcW w:w="3767" w:type="dxa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14:paraId="6EFDB4A8" w14:textId="77777777" w:rsidR="002343AA" w:rsidRPr="002343AA" w:rsidRDefault="002343AA" w:rsidP="002343AA">
                        <w:pPr>
                          <w:shd w:val="clear" w:color="auto" w:fill="F1F1F1"/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r w:rsidRPr="002343AA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lastRenderedPageBreak/>
                          <w:t>Nuo 2020-06-22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16087537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Suteikta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teisė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eiti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ypatingojo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specialiųjų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statybos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vadovo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ypatingojo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specialiųjų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statybos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techninės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priežiūros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vadovo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pareigas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gyvenamieji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negyvenamieji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pastatai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susisiekimo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komunikacijos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keliai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gatvės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geležinkelio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kelias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oro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uosto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kiti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transporto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),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tinklai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elektros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),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kiti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taip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pat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minėti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statiniai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esantys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kultūros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paveldo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objekto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teritorijoje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jo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apsaugos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zonoje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kultūros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paveldo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vietovėje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Darbo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sritys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elektros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energijos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tiekimo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skirstymo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montavimas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elektros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procesų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valdymo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ir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automatizavimo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nuotolinio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ryšio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telekomunikacijų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)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statinio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apsauginės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signalizacijos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gaisrinės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saugos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inžinerinių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sistemų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įrengimas</w:t>
                        </w:r>
                        <w:proofErr w:type="spellEnd"/>
                        <w:r w:rsidRPr="002343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856CE9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B00DBE" w14:textId="77777777" w:rsidR="002343AA" w:rsidRPr="002343AA" w:rsidRDefault="002343AA" w:rsidP="002343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4993B0E1" w14:textId="77777777" w:rsidR="002343AA" w:rsidRPr="002343AA" w:rsidRDefault="002343AA" w:rsidP="002343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591E9" w14:textId="77777777" w:rsidR="002343AA" w:rsidRPr="002343AA" w:rsidRDefault="002343AA" w:rsidP="002343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9A3BA3E" w14:textId="77777777" w:rsidR="002343AA" w:rsidRPr="002343AA" w:rsidRDefault="002343AA" w:rsidP="00234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21AAFF60" w14:textId="77777777" w:rsidR="00B908AD" w:rsidRPr="002343AA" w:rsidRDefault="00B908AD" w:rsidP="002343AA"/>
    <w:sectPr w:rsidR="00B908AD" w:rsidRPr="002343AA" w:rsidSect="002343AA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AA"/>
    <w:rsid w:val="00085EA3"/>
    <w:rsid w:val="002343AA"/>
    <w:rsid w:val="00647C5B"/>
    <w:rsid w:val="00B22704"/>
    <w:rsid w:val="00B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6F3"/>
  <w15:chartTrackingRefBased/>
  <w15:docId w15:val="{3998C03F-1B99-4DDB-9F08-0627DC04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02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65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s@spsc.l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sc.lt/registrai/spec2012/israsas.php?editid1=3576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spsc.lt/registrai/spec2012/israsas.php?editid1=35766" TargetMode="External"/><Relationship Id="rId9" Type="http://schemas.openxmlformats.org/officeDocument/2006/relationships/hyperlink" Target="http://www.spsc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2</cp:revision>
  <dcterms:created xsi:type="dcterms:W3CDTF">2021-04-23T08:21:00Z</dcterms:created>
  <dcterms:modified xsi:type="dcterms:W3CDTF">2021-04-23T08:21:00Z</dcterms:modified>
</cp:coreProperties>
</file>