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3E68A" w14:textId="3E2B3BAD" w:rsidR="00E9257C" w:rsidRPr="009A6F11" w:rsidRDefault="00E9257C" w:rsidP="009A6F11">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 xml:space="preserve">SUSITARIMAS NR. </w:t>
      </w:r>
      <w:r w:rsidR="00361008">
        <w:rPr>
          <w:rFonts w:eastAsia="Times New Roman" w:cs="Times New Roman"/>
          <w:b/>
          <w:sz w:val="24"/>
          <w:szCs w:val="24"/>
          <w:lang w:eastAsia="lt-LT"/>
        </w:rPr>
        <w:t>4</w:t>
      </w:r>
    </w:p>
    <w:p w14:paraId="39E001D1" w14:textId="77777777" w:rsidR="007E7F51" w:rsidRDefault="00E9257C" w:rsidP="007E7F51">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 xml:space="preserve">DĖL </w:t>
      </w:r>
      <w:r w:rsidR="00F43474" w:rsidRPr="009A6F11">
        <w:rPr>
          <w:rFonts w:eastAsia="Times New Roman" w:cs="Times New Roman"/>
          <w:b/>
          <w:sz w:val="24"/>
          <w:szCs w:val="24"/>
          <w:lang w:eastAsia="lt-LT"/>
        </w:rPr>
        <w:t xml:space="preserve">2019-12-23 </w:t>
      </w:r>
      <w:r w:rsidRPr="009A6F11">
        <w:rPr>
          <w:rFonts w:eastAsia="Times New Roman" w:cs="Times New Roman"/>
          <w:b/>
          <w:sz w:val="24"/>
          <w:szCs w:val="24"/>
          <w:lang w:eastAsia="lt-LT"/>
        </w:rPr>
        <w:t>RANGOS SUTARTIES Nr</w:t>
      </w:r>
      <w:r w:rsidRPr="009A6F11">
        <w:rPr>
          <w:rFonts w:eastAsia="Times New Roman" w:cs="Times New Roman"/>
          <w:b/>
          <w:bCs/>
          <w:sz w:val="24"/>
          <w:szCs w:val="24"/>
          <w:lang w:eastAsia="lt-LT"/>
        </w:rPr>
        <w:t xml:space="preserve">. </w:t>
      </w:r>
      <w:r w:rsidR="00F43474" w:rsidRPr="009A6F11">
        <w:rPr>
          <w:rFonts w:eastAsia="Times New Roman" w:cs="Times New Roman"/>
          <w:b/>
          <w:bCs/>
          <w:sz w:val="24"/>
          <w:szCs w:val="24"/>
          <w:lang w:eastAsia="lt-LT"/>
        </w:rPr>
        <w:t>GIPL_RANGA</w:t>
      </w:r>
      <w:r w:rsidRPr="009A6F11">
        <w:rPr>
          <w:rFonts w:eastAsia="Times New Roman" w:cs="Times New Roman"/>
          <w:b/>
          <w:bCs/>
          <w:sz w:val="24"/>
          <w:szCs w:val="24"/>
          <w:lang w:eastAsia="lt-LT"/>
        </w:rPr>
        <w:t xml:space="preserve"> PAKEITIMO</w:t>
      </w:r>
    </w:p>
    <w:p w14:paraId="61B285EA" w14:textId="77777777" w:rsidR="007E7F51" w:rsidRDefault="007E7F51" w:rsidP="007E7F51">
      <w:pPr>
        <w:spacing w:before="120" w:after="0" w:line="240" w:lineRule="auto"/>
        <w:ind w:right="284"/>
        <w:jc w:val="center"/>
        <w:rPr>
          <w:rFonts w:eastAsia="Times New Roman" w:cs="Times New Roman"/>
          <w:b/>
          <w:sz w:val="24"/>
          <w:szCs w:val="24"/>
          <w:lang w:eastAsia="lt-LT"/>
        </w:rPr>
      </w:pPr>
    </w:p>
    <w:p w14:paraId="18C85DCB" w14:textId="31600D3E" w:rsidR="00E9257C" w:rsidRPr="006A3173" w:rsidRDefault="000669A7" w:rsidP="007E7F51">
      <w:pPr>
        <w:spacing w:before="120" w:after="0" w:line="240" w:lineRule="auto"/>
        <w:ind w:right="284"/>
        <w:jc w:val="right"/>
        <w:rPr>
          <w:rFonts w:cs="Calibri"/>
          <w:sz w:val="24"/>
          <w:szCs w:val="24"/>
        </w:rPr>
      </w:pPr>
      <w:r w:rsidRPr="006A3173">
        <w:rPr>
          <w:rFonts w:cs="Calibri"/>
          <w:sz w:val="24"/>
          <w:szCs w:val="24"/>
        </w:rPr>
        <w:t>202</w:t>
      </w:r>
      <w:r w:rsidR="00361008">
        <w:rPr>
          <w:rFonts w:cs="Calibri"/>
          <w:sz w:val="24"/>
          <w:szCs w:val="24"/>
        </w:rPr>
        <w:t>1</w:t>
      </w:r>
      <w:r w:rsidRPr="006A3173">
        <w:rPr>
          <w:rFonts w:cs="Calibri"/>
          <w:sz w:val="24"/>
          <w:szCs w:val="24"/>
        </w:rPr>
        <w:t xml:space="preserve"> m. </w:t>
      </w:r>
      <w:r w:rsidR="00361008">
        <w:rPr>
          <w:rFonts w:cs="Calibri"/>
          <w:sz w:val="24"/>
          <w:szCs w:val="24"/>
        </w:rPr>
        <w:t>gegužės</w:t>
      </w:r>
      <w:r w:rsidRPr="006A3173">
        <w:rPr>
          <w:rFonts w:cs="Calibri"/>
          <w:sz w:val="24"/>
          <w:szCs w:val="24"/>
        </w:rPr>
        <w:t xml:space="preserve"> </w:t>
      </w:r>
      <w:r w:rsidR="00FE7663">
        <w:rPr>
          <w:rFonts w:cs="Calibri"/>
          <w:sz w:val="24"/>
          <w:szCs w:val="24"/>
        </w:rPr>
        <w:t>27</w:t>
      </w:r>
      <w:bookmarkStart w:id="0" w:name="_GoBack"/>
      <w:bookmarkEnd w:id="0"/>
      <w:r w:rsidR="00F43474" w:rsidRPr="006A3173">
        <w:rPr>
          <w:rFonts w:cs="Calibri"/>
          <w:sz w:val="24"/>
          <w:szCs w:val="24"/>
        </w:rPr>
        <w:t xml:space="preserve"> </w:t>
      </w:r>
      <w:r w:rsidR="00E9257C" w:rsidRPr="006A3173">
        <w:rPr>
          <w:rFonts w:cs="Calibri"/>
          <w:sz w:val="24"/>
          <w:szCs w:val="24"/>
        </w:rPr>
        <w:t>d.</w:t>
      </w:r>
    </w:p>
    <w:p w14:paraId="59C2EAEB" w14:textId="77777777" w:rsidR="00E9257C" w:rsidRPr="009A6F11" w:rsidRDefault="00E9257C" w:rsidP="009A6F11">
      <w:pPr>
        <w:tabs>
          <w:tab w:val="left" w:pos="284"/>
        </w:tabs>
        <w:spacing w:before="120" w:after="0" w:line="240" w:lineRule="auto"/>
        <w:ind w:right="284"/>
        <w:jc w:val="both"/>
        <w:rPr>
          <w:rFonts w:eastAsia="Times New Roman" w:cs="Times New Roman"/>
          <w:sz w:val="24"/>
          <w:szCs w:val="24"/>
          <w:lang w:eastAsia="lt-LT"/>
        </w:rPr>
      </w:pPr>
    </w:p>
    <w:p w14:paraId="25BB1FBA"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b/>
          <w:sz w:val="24"/>
          <w:szCs w:val="24"/>
        </w:rPr>
        <w:t>AB „Amber Grid“</w:t>
      </w:r>
      <w:r w:rsidRPr="009A6F11">
        <w:rPr>
          <w:rFonts w:cs="Calibri"/>
          <w:sz w:val="24"/>
          <w:szCs w:val="24"/>
        </w:rPr>
        <w:t xml:space="preserve">, </w:t>
      </w:r>
      <w:r w:rsidR="00F43474" w:rsidRPr="009A6F11">
        <w:rPr>
          <w:rFonts w:cs="Calibri"/>
          <w:sz w:val="24"/>
          <w:szCs w:val="24"/>
        </w:rPr>
        <w:t xml:space="preserve">įmonės kodas 303090867, buveinės adresas Savanorių pr. 28, LT-03116 Vilnius, Lietuva, </w:t>
      </w:r>
      <w:r w:rsidRPr="009A6F11">
        <w:rPr>
          <w:rFonts w:cs="Calibri"/>
          <w:sz w:val="24"/>
          <w:szCs w:val="24"/>
        </w:rPr>
        <w:t xml:space="preserve">atstovaujama </w:t>
      </w:r>
      <w:r w:rsidR="00F43474" w:rsidRPr="009A6F11">
        <w:rPr>
          <w:rFonts w:cs="Calibri"/>
          <w:sz w:val="24"/>
          <w:szCs w:val="24"/>
        </w:rPr>
        <w:t>generalinio</w:t>
      </w:r>
      <w:r w:rsidRPr="009A6F11">
        <w:rPr>
          <w:rFonts w:cs="Calibri"/>
          <w:sz w:val="24"/>
          <w:szCs w:val="24"/>
        </w:rPr>
        <w:t xml:space="preserve"> direktoriaus </w:t>
      </w:r>
      <w:r w:rsidR="00F43474" w:rsidRPr="009A6F11">
        <w:rPr>
          <w:rFonts w:cs="Calibri"/>
          <w:sz w:val="24"/>
          <w:szCs w:val="24"/>
        </w:rPr>
        <w:t>Nemuno Bikniaus</w:t>
      </w:r>
      <w:r w:rsidRPr="009A6F11">
        <w:rPr>
          <w:rFonts w:cs="Calibri"/>
          <w:sz w:val="24"/>
          <w:szCs w:val="24"/>
        </w:rPr>
        <w:t xml:space="preserve">, </w:t>
      </w:r>
      <w:r w:rsidRPr="009A6F11">
        <w:rPr>
          <w:rFonts w:cs="Times New Roman"/>
          <w:sz w:val="24"/>
          <w:szCs w:val="24"/>
        </w:rPr>
        <w:t xml:space="preserve">veikiančio </w:t>
      </w:r>
      <w:r w:rsidR="00F43474" w:rsidRPr="009A6F11">
        <w:rPr>
          <w:rFonts w:cs="Times New Roman"/>
          <w:sz w:val="24"/>
          <w:szCs w:val="24"/>
        </w:rPr>
        <w:t>AB „Amber Grid“ įstatų pagrindu</w:t>
      </w:r>
      <w:r w:rsidR="00983487" w:rsidRPr="009A6F11">
        <w:rPr>
          <w:rFonts w:cs="Times New Roman"/>
          <w:sz w:val="24"/>
          <w:szCs w:val="24"/>
        </w:rPr>
        <w:t>,</w:t>
      </w:r>
      <w:r w:rsidR="00F43474" w:rsidRPr="009A6F11">
        <w:rPr>
          <w:rFonts w:cs="Calibri"/>
          <w:sz w:val="24"/>
          <w:szCs w:val="24"/>
        </w:rPr>
        <w:t xml:space="preserve"> (</w:t>
      </w:r>
      <w:r w:rsidRPr="009A6F11">
        <w:rPr>
          <w:rFonts w:cs="Calibri"/>
          <w:sz w:val="24"/>
          <w:szCs w:val="24"/>
        </w:rPr>
        <w:t xml:space="preserve">toliau vadinama </w:t>
      </w:r>
      <w:r w:rsidRPr="009A6F11">
        <w:rPr>
          <w:rFonts w:cs="Calibri"/>
          <w:b/>
          <w:sz w:val="24"/>
          <w:szCs w:val="24"/>
        </w:rPr>
        <w:t>Užsakovu</w:t>
      </w:r>
      <w:r w:rsidR="00F43474" w:rsidRPr="009A6F11">
        <w:rPr>
          <w:rFonts w:cs="Calibri"/>
          <w:sz w:val="24"/>
          <w:szCs w:val="24"/>
        </w:rPr>
        <w:t>)</w:t>
      </w:r>
    </w:p>
    <w:p w14:paraId="16BCDAB2"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ir </w:t>
      </w:r>
    </w:p>
    <w:p w14:paraId="661E9403" w14:textId="4C744BBE" w:rsidR="00983487"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b/>
          <w:sz w:val="24"/>
          <w:szCs w:val="24"/>
        </w:rPr>
        <w:t>UAB „Alvora“</w:t>
      </w:r>
      <w:r w:rsidRPr="009A6F11">
        <w:rPr>
          <w:rFonts w:cs="Calibri"/>
          <w:sz w:val="24"/>
          <w:szCs w:val="24"/>
        </w:rPr>
        <w:t xml:space="preserve">, </w:t>
      </w:r>
      <w:r w:rsidR="00F43474" w:rsidRPr="009A6F11">
        <w:rPr>
          <w:rFonts w:cs="Calibri"/>
          <w:sz w:val="24"/>
          <w:szCs w:val="24"/>
        </w:rPr>
        <w:t xml:space="preserve">įmonės kodas 122049143, buveinės adresas Visorių g. 33, LT-08300 Vilnius, </w:t>
      </w:r>
      <w:r w:rsidR="00F43474" w:rsidRPr="009A6F11">
        <w:rPr>
          <w:rFonts w:cs="Calibri"/>
          <w:b/>
          <w:sz w:val="24"/>
          <w:szCs w:val="24"/>
        </w:rPr>
        <w:t>ir UAB „Šiaulių dujotiekio statyba“</w:t>
      </w:r>
      <w:r w:rsidR="00F43474" w:rsidRPr="009A6F11">
        <w:rPr>
          <w:rFonts w:cs="Calibri"/>
          <w:sz w:val="24"/>
          <w:szCs w:val="24"/>
        </w:rPr>
        <w:t xml:space="preserve">, įmonės kodas 144662024, buveinės adresas Bačiūnų g. 12, LT-77109 Šiauliai, </w:t>
      </w:r>
      <w:r w:rsidRPr="009A6F11">
        <w:rPr>
          <w:rFonts w:cs="Calibri"/>
          <w:sz w:val="24"/>
          <w:szCs w:val="24"/>
        </w:rPr>
        <w:t xml:space="preserve">atstovaujama </w:t>
      </w:r>
      <w:r w:rsidR="00925D32" w:rsidRPr="00674148">
        <w:rPr>
          <w:rFonts w:cstheme="minorHAnsi"/>
        </w:rPr>
        <w:t xml:space="preserve">UAB „Alvora“ </w:t>
      </w:r>
      <w:r w:rsidRPr="009A6F11">
        <w:rPr>
          <w:rFonts w:cs="Calibri"/>
          <w:sz w:val="24"/>
          <w:szCs w:val="24"/>
        </w:rPr>
        <w:t xml:space="preserve">generalinio direktoriaus </w:t>
      </w:r>
      <w:r w:rsidR="00F43474" w:rsidRPr="009A6F11">
        <w:rPr>
          <w:rFonts w:cs="Calibri"/>
          <w:sz w:val="24"/>
          <w:szCs w:val="24"/>
        </w:rPr>
        <w:t>Tomo Šidlausko</w:t>
      </w:r>
      <w:r w:rsidRPr="009A6F11">
        <w:rPr>
          <w:rFonts w:cs="Calibri"/>
          <w:sz w:val="24"/>
          <w:szCs w:val="24"/>
        </w:rPr>
        <w:t xml:space="preserve">, </w:t>
      </w:r>
      <w:r w:rsidRPr="009A6F11">
        <w:rPr>
          <w:rFonts w:cs="Times New Roman"/>
          <w:sz w:val="24"/>
          <w:szCs w:val="24"/>
        </w:rPr>
        <w:t>veikiančio UAB „Alvora“ įstat</w:t>
      </w:r>
      <w:r w:rsidR="00F43474" w:rsidRPr="009A6F11">
        <w:rPr>
          <w:rFonts w:cs="Times New Roman"/>
          <w:sz w:val="24"/>
          <w:szCs w:val="24"/>
        </w:rPr>
        <w:t>ų ir jungtinės veiklos sutarties pagrindu, (</w:t>
      </w:r>
      <w:r w:rsidRPr="009A6F11">
        <w:rPr>
          <w:rFonts w:cs="Calibri"/>
          <w:sz w:val="24"/>
          <w:szCs w:val="24"/>
        </w:rPr>
        <w:t xml:space="preserve"> toliau vadinama </w:t>
      </w:r>
      <w:r w:rsidRPr="009A6F11">
        <w:rPr>
          <w:rFonts w:cs="Calibri"/>
          <w:b/>
          <w:sz w:val="24"/>
          <w:szCs w:val="24"/>
        </w:rPr>
        <w:t>Rangovu</w:t>
      </w:r>
      <w:r w:rsidR="00F43474" w:rsidRPr="009A6F11">
        <w:rPr>
          <w:rFonts w:cs="Calibri"/>
          <w:b/>
          <w:sz w:val="24"/>
          <w:szCs w:val="24"/>
        </w:rPr>
        <w:t>)</w:t>
      </w:r>
      <w:r w:rsidRPr="009A6F11">
        <w:rPr>
          <w:rFonts w:cs="Calibri"/>
          <w:sz w:val="24"/>
          <w:szCs w:val="24"/>
        </w:rPr>
        <w:t>,</w:t>
      </w:r>
    </w:p>
    <w:p w14:paraId="3E211D84"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 </w:t>
      </w:r>
    </w:p>
    <w:p w14:paraId="17763669" w14:textId="77777777" w:rsidR="00E9257C" w:rsidRPr="009A6F11" w:rsidRDefault="00E9257C" w:rsidP="009A6F11">
      <w:pPr>
        <w:tabs>
          <w:tab w:val="left" w:pos="0"/>
          <w:tab w:val="left" w:pos="6521"/>
        </w:tabs>
        <w:spacing w:before="120" w:after="0" w:line="240" w:lineRule="auto"/>
        <w:ind w:firstLine="284"/>
        <w:jc w:val="both"/>
        <w:rPr>
          <w:rFonts w:cs="Calibri"/>
          <w:sz w:val="24"/>
          <w:szCs w:val="24"/>
        </w:rPr>
      </w:pPr>
      <w:r w:rsidRPr="009A6F11">
        <w:rPr>
          <w:rFonts w:cs="Calibri"/>
          <w:sz w:val="24"/>
          <w:szCs w:val="24"/>
        </w:rPr>
        <w:t xml:space="preserve">Užsakovas ir Rangovas kartu toliau vadinami – </w:t>
      </w:r>
      <w:r w:rsidRPr="009A6F11">
        <w:rPr>
          <w:rFonts w:cs="Calibri"/>
          <w:b/>
          <w:sz w:val="24"/>
          <w:szCs w:val="24"/>
        </w:rPr>
        <w:t>Šalimis</w:t>
      </w:r>
      <w:r w:rsidRPr="009A6F11">
        <w:rPr>
          <w:rFonts w:cs="Calibri"/>
          <w:sz w:val="24"/>
          <w:szCs w:val="24"/>
        </w:rPr>
        <w:t xml:space="preserve">, o kiekvienas atskirai – </w:t>
      </w:r>
      <w:r w:rsidRPr="009A6F11">
        <w:rPr>
          <w:rFonts w:cs="Calibri"/>
          <w:b/>
          <w:sz w:val="24"/>
          <w:szCs w:val="24"/>
        </w:rPr>
        <w:t>Šalimi</w:t>
      </w:r>
      <w:r w:rsidRPr="009A6F11">
        <w:rPr>
          <w:rFonts w:cs="Calibri"/>
          <w:sz w:val="24"/>
          <w:szCs w:val="24"/>
        </w:rPr>
        <w:t>.</w:t>
      </w:r>
    </w:p>
    <w:p w14:paraId="2D120B60" w14:textId="77777777" w:rsidR="00E9257C" w:rsidRPr="009A6F11" w:rsidRDefault="00E9257C" w:rsidP="009A6F11">
      <w:pPr>
        <w:tabs>
          <w:tab w:val="left" w:pos="284"/>
        </w:tabs>
        <w:spacing w:before="120" w:after="0" w:line="240" w:lineRule="auto"/>
        <w:ind w:left="284" w:right="283"/>
        <w:jc w:val="both"/>
        <w:rPr>
          <w:rFonts w:eastAsia="Times New Roman" w:cs="Times New Roman"/>
          <w:b/>
          <w:caps/>
          <w:sz w:val="24"/>
          <w:szCs w:val="24"/>
          <w:lang w:eastAsia="lt-LT"/>
        </w:rPr>
      </w:pPr>
      <w:r w:rsidRPr="009A6F11">
        <w:rPr>
          <w:rFonts w:eastAsia="Times New Roman" w:cs="Times New Roman"/>
          <w:b/>
          <w:caps/>
          <w:sz w:val="24"/>
          <w:szCs w:val="24"/>
          <w:lang w:eastAsia="lt-LT"/>
        </w:rPr>
        <w:t>Atsižvelgdamos į tai, kad:</w:t>
      </w:r>
    </w:p>
    <w:p w14:paraId="284B2251" w14:textId="77777777" w:rsidR="00E9257C" w:rsidRPr="009A6F11" w:rsidRDefault="00E9257C" w:rsidP="009A6F11">
      <w:pPr>
        <w:tabs>
          <w:tab w:val="left" w:pos="284"/>
        </w:tabs>
        <w:spacing w:before="120" w:after="0" w:line="240" w:lineRule="auto"/>
        <w:ind w:left="284" w:right="283"/>
        <w:jc w:val="both"/>
        <w:rPr>
          <w:rFonts w:eastAsia="Times New Roman" w:cs="Times New Roman"/>
          <w:sz w:val="24"/>
          <w:szCs w:val="24"/>
          <w:lang w:eastAsia="lt-LT"/>
        </w:rPr>
      </w:pPr>
    </w:p>
    <w:p w14:paraId="657038FE" w14:textId="77777777" w:rsidR="00E9257C" w:rsidRPr="009A6F11" w:rsidRDefault="00D91CAF" w:rsidP="009A6F11">
      <w:pPr>
        <w:tabs>
          <w:tab w:val="left" w:pos="284"/>
        </w:tabs>
        <w:spacing w:before="120" w:after="0" w:line="240" w:lineRule="auto"/>
        <w:ind w:left="284" w:right="-1"/>
        <w:jc w:val="both"/>
        <w:rPr>
          <w:rFonts w:cs="Calibri"/>
          <w:sz w:val="24"/>
          <w:szCs w:val="24"/>
        </w:rPr>
      </w:pPr>
      <w:r w:rsidRPr="009A6F11">
        <w:rPr>
          <w:rFonts w:cs="Calibri"/>
          <w:sz w:val="24"/>
          <w:szCs w:val="24"/>
        </w:rPr>
        <w:t xml:space="preserve">(A) Šalys 2019-12-23 sudarė rangos sutartį Nr. GIPL_RANGA (toliau vadinama </w:t>
      </w:r>
      <w:r w:rsidRPr="009A6F11">
        <w:rPr>
          <w:rFonts w:cs="Calibri"/>
          <w:b/>
          <w:sz w:val="24"/>
          <w:szCs w:val="24"/>
        </w:rPr>
        <w:t>Sutartimi</w:t>
      </w:r>
      <w:r w:rsidRPr="009A6F11">
        <w:rPr>
          <w:rFonts w:cs="Calibri"/>
          <w:sz w:val="24"/>
          <w:szCs w:val="24"/>
        </w:rPr>
        <w:t>) dėl Dujotiekių jungties tarp Lenkijos ir Lietuvos dalies Lietuvos Respublikos teritor</w:t>
      </w:r>
      <w:r w:rsidR="001358E4" w:rsidRPr="009A6F11">
        <w:rPr>
          <w:rFonts w:cs="Calibri"/>
          <w:sz w:val="24"/>
          <w:szCs w:val="24"/>
        </w:rPr>
        <w:t xml:space="preserve">ijoje statybos darbų (toliau - </w:t>
      </w:r>
      <w:r w:rsidR="001358E4" w:rsidRPr="009A6F11">
        <w:rPr>
          <w:rFonts w:cs="Calibri"/>
          <w:b/>
          <w:sz w:val="24"/>
          <w:szCs w:val="24"/>
        </w:rPr>
        <w:t>Da</w:t>
      </w:r>
      <w:r w:rsidRPr="009A6F11">
        <w:rPr>
          <w:rFonts w:cs="Calibri"/>
          <w:b/>
          <w:sz w:val="24"/>
          <w:szCs w:val="24"/>
        </w:rPr>
        <w:t>rbai</w:t>
      </w:r>
      <w:r w:rsidRPr="009A6F11">
        <w:rPr>
          <w:rFonts w:cs="Calibri"/>
          <w:sz w:val="24"/>
          <w:szCs w:val="24"/>
        </w:rPr>
        <w:t>) atlikimo.</w:t>
      </w:r>
    </w:p>
    <w:p w14:paraId="1D4751A0" w14:textId="5C8D5E42" w:rsidR="00D91CAF" w:rsidRPr="009A6F11" w:rsidRDefault="00D91CAF"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(B</w:t>
      </w:r>
      <w:r w:rsidR="00E9257C" w:rsidRPr="009A6F11">
        <w:rPr>
          <w:rFonts w:cs="Calibri"/>
          <w:sz w:val="24"/>
          <w:szCs w:val="24"/>
        </w:rPr>
        <w:t xml:space="preserve">) </w:t>
      </w:r>
      <w:r w:rsidRPr="009A6F11">
        <w:rPr>
          <w:rFonts w:cs="Calibri"/>
          <w:sz w:val="24"/>
          <w:szCs w:val="24"/>
        </w:rPr>
        <w:t xml:space="preserve">Į Kainą yra įtraukti archeologiniai detalieji tyrimai, kurių apimtys buvo nurodytos </w:t>
      </w:r>
      <w:r w:rsidR="00925D32" w:rsidRPr="00925D32">
        <w:rPr>
          <w:rFonts w:cs="Calibri"/>
          <w:sz w:val="24"/>
          <w:szCs w:val="24"/>
        </w:rPr>
        <w:t>pirkim</w:t>
      </w:r>
      <w:r w:rsidR="00925D32">
        <w:rPr>
          <w:rFonts w:cs="Calibri"/>
          <w:sz w:val="24"/>
          <w:szCs w:val="24"/>
        </w:rPr>
        <w:t>o</w:t>
      </w:r>
      <w:r w:rsidR="00925D32" w:rsidRPr="00925D32">
        <w:rPr>
          <w:rFonts w:cs="Calibri"/>
          <w:sz w:val="24"/>
          <w:szCs w:val="24"/>
        </w:rPr>
        <w:t xml:space="preserve"> „Dujotiekių jungties tarp Lenkijos ir Lietuvos dalies Lietuvos Respublikos teritorijoje statybos darbai“, pirkimo Nr. 381642</w:t>
      </w:r>
      <w:r w:rsidR="00925D32">
        <w:rPr>
          <w:rFonts w:cs="Calibri"/>
          <w:sz w:val="24"/>
          <w:szCs w:val="24"/>
        </w:rPr>
        <w:t xml:space="preserve"> (toliau – </w:t>
      </w:r>
      <w:r w:rsidRPr="00925D32">
        <w:rPr>
          <w:rFonts w:cs="Calibri"/>
          <w:b/>
          <w:bCs/>
          <w:sz w:val="24"/>
          <w:szCs w:val="24"/>
        </w:rPr>
        <w:t>Pirkim</w:t>
      </w:r>
      <w:r w:rsidR="00925D32" w:rsidRPr="00925D32">
        <w:rPr>
          <w:rFonts w:cs="Calibri"/>
          <w:b/>
          <w:bCs/>
          <w:sz w:val="24"/>
          <w:szCs w:val="24"/>
        </w:rPr>
        <w:t>as</w:t>
      </w:r>
      <w:r w:rsidR="00925D32">
        <w:rPr>
          <w:rFonts w:cs="Calibri"/>
          <w:sz w:val="24"/>
          <w:szCs w:val="24"/>
        </w:rPr>
        <w:t>)</w:t>
      </w:r>
      <w:r w:rsidRPr="009A6F11">
        <w:rPr>
          <w:rFonts w:cs="Calibri"/>
          <w:sz w:val="24"/>
          <w:szCs w:val="24"/>
        </w:rPr>
        <w:t xml:space="preserve"> dokumentuose. </w:t>
      </w:r>
    </w:p>
    <w:p w14:paraId="54132970" w14:textId="0345AAE7" w:rsidR="00FB15B6" w:rsidRPr="009A6F11" w:rsidRDefault="00413FDD"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(C) Vykdant darbus paaiškėjo</w:t>
      </w:r>
      <w:r w:rsidR="001358E4" w:rsidRPr="009A6F11">
        <w:rPr>
          <w:rFonts w:cs="Calibri"/>
          <w:sz w:val="24"/>
          <w:szCs w:val="24"/>
        </w:rPr>
        <w:t>,</w:t>
      </w:r>
      <w:r w:rsidRPr="009A6F11">
        <w:rPr>
          <w:rFonts w:cs="Calibri"/>
          <w:sz w:val="24"/>
          <w:szCs w:val="24"/>
        </w:rPr>
        <w:t xml:space="preserve"> jog būtina atlikti </w:t>
      </w:r>
      <w:r w:rsidR="00925D32">
        <w:rPr>
          <w:rFonts w:cs="Calibri"/>
          <w:sz w:val="24"/>
          <w:szCs w:val="24"/>
        </w:rPr>
        <w:t xml:space="preserve">daugiau </w:t>
      </w:r>
      <w:r w:rsidR="00925D32" w:rsidRPr="00925D32">
        <w:rPr>
          <w:rFonts w:cs="Calibri"/>
          <w:sz w:val="24"/>
          <w:szCs w:val="24"/>
        </w:rPr>
        <w:t>archeologinių tyrinėjimų nei įvertinta Kainoje</w:t>
      </w:r>
      <w:r w:rsidR="00925D32">
        <w:rPr>
          <w:rFonts w:cs="Calibri"/>
          <w:sz w:val="24"/>
          <w:szCs w:val="24"/>
        </w:rPr>
        <w:t>.</w:t>
      </w:r>
      <w:r w:rsidR="001358E4" w:rsidRPr="009A6F11">
        <w:rPr>
          <w:rFonts w:cs="Calibri"/>
          <w:sz w:val="24"/>
          <w:szCs w:val="24"/>
        </w:rPr>
        <w:t xml:space="preserve"> </w:t>
      </w:r>
      <w:r w:rsidR="00925D32" w:rsidRPr="00925D32">
        <w:rPr>
          <w:rFonts w:cs="Calibri"/>
          <w:sz w:val="24"/>
          <w:szCs w:val="24"/>
        </w:rPr>
        <w:t xml:space="preserve">Šiems detaliesiems tyrinėjimams </w:t>
      </w:r>
      <w:r w:rsidR="001358E4" w:rsidRPr="009A6F11">
        <w:rPr>
          <w:rFonts w:cs="Calibri"/>
          <w:sz w:val="24"/>
          <w:szCs w:val="24"/>
        </w:rPr>
        <w:t xml:space="preserve">yra gautas </w:t>
      </w:r>
      <w:r w:rsidR="001358E4" w:rsidRPr="009A6F11">
        <w:rPr>
          <w:rFonts w:cs="Arial"/>
        </w:rPr>
        <w:t>Kultūros paveldo departamento prie Kultūros ministerijos</w:t>
      </w:r>
      <w:r w:rsidR="00FB15B6" w:rsidRPr="009A6F11">
        <w:rPr>
          <w:rFonts w:cs="Arial"/>
        </w:rPr>
        <w:t xml:space="preserve"> </w:t>
      </w:r>
      <w:r w:rsidR="001358E4" w:rsidRPr="009A6F11">
        <w:rPr>
          <w:rFonts w:cs="Calibri"/>
          <w:sz w:val="24"/>
          <w:szCs w:val="24"/>
        </w:rPr>
        <w:t xml:space="preserve">Mokslinės archeologijos komisijos (toliau - </w:t>
      </w:r>
      <w:r w:rsidR="001358E4" w:rsidRPr="009A6F11">
        <w:rPr>
          <w:rFonts w:cs="Calibri"/>
          <w:b/>
          <w:sz w:val="24"/>
          <w:szCs w:val="24"/>
        </w:rPr>
        <w:t>MAK</w:t>
      </w:r>
      <w:r w:rsidR="001358E4" w:rsidRPr="009A6F11">
        <w:rPr>
          <w:rFonts w:cs="Calibri"/>
          <w:sz w:val="24"/>
          <w:szCs w:val="24"/>
        </w:rPr>
        <w:t>) pritarimas</w:t>
      </w:r>
      <w:r w:rsidR="009A6F11">
        <w:rPr>
          <w:rFonts w:cs="Calibri"/>
          <w:sz w:val="24"/>
          <w:szCs w:val="24"/>
        </w:rPr>
        <w:t>.</w:t>
      </w:r>
    </w:p>
    <w:p w14:paraId="7E297E02" w14:textId="22BA12CC" w:rsidR="00FB15B6" w:rsidRPr="00FB15B6" w:rsidRDefault="00FB15B6"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(D) Sutarties 14.2.p. įtvirtinta, jog j</w:t>
      </w:r>
      <w:r w:rsidRPr="00FB15B6">
        <w:rPr>
          <w:rFonts w:eastAsia="Times New Roman" w:cs="Times New Roman"/>
          <w:sz w:val="24"/>
          <w:szCs w:val="24"/>
          <w:lang w:eastAsia="lt-LT"/>
        </w:rPr>
        <w:t xml:space="preserve">eigu paaiškėja, kad atliekant Darbus faktiškai reikės atlikti daugiau archeologinių tyrimų, nei nurodyta Specifikacijose (Pirkimo sąlygų C priedas), Užsakovas turi teisę pasirinkti, ar tokius archeologinius tyrimus pirkti iš trečiųjų asmenų, ar juos įsigyti iš Rangovo. Jeigu tokie archeologiniai tyrimai yra perkami iš Rangovo, Kaina padidinama tokių papildomų archeologinių tyrimų verte. Ši vertė apskaičiuojama pagal </w:t>
      </w:r>
      <w:r w:rsidR="00925D32" w:rsidRPr="00925D32">
        <w:rPr>
          <w:rFonts w:eastAsia="Times New Roman" w:cs="Times New Roman"/>
          <w:sz w:val="24"/>
          <w:szCs w:val="24"/>
          <w:lang w:eastAsia="lt-LT"/>
        </w:rPr>
        <w:t>Rangovo 2019 m. kovo 8 d. Pirkimui pateikta</w:t>
      </w:r>
      <w:r w:rsidR="00925D32">
        <w:rPr>
          <w:rFonts w:eastAsia="Times New Roman" w:cs="Times New Roman"/>
          <w:sz w:val="24"/>
          <w:szCs w:val="24"/>
          <w:lang w:eastAsia="lt-LT"/>
        </w:rPr>
        <w:t>me</w:t>
      </w:r>
      <w:r w:rsidR="00925D32" w:rsidRPr="00925D32">
        <w:rPr>
          <w:rFonts w:eastAsia="Times New Roman" w:cs="Times New Roman"/>
          <w:sz w:val="24"/>
          <w:szCs w:val="24"/>
          <w:lang w:eastAsia="lt-LT"/>
        </w:rPr>
        <w:t xml:space="preserve"> galutini</w:t>
      </w:r>
      <w:r w:rsidR="00925D32">
        <w:rPr>
          <w:rFonts w:eastAsia="Times New Roman" w:cs="Times New Roman"/>
          <w:sz w:val="24"/>
          <w:szCs w:val="24"/>
          <w:lang w:eastAsia="lt-LT"/>
        </w:rPr>
        <w:t>ame</w:t>
      </w:r>
      <w:r w:rsidR="00925D32" w:rsidRPr="00925D32">
        <w:rPr>
          <w:rFonts w:eastAsia="Times New Roman" w:cs="Times New Roman"/>
          <w:sz w:val="24"/>
          <w:szCs w:val="24"/>
          <w:lang w:eastAsia="lt-LT"/>
        </w:rPr>
        <w:t xml:space="preserve"> </w:t>
      </w:r>
      <w:r w:rsidR="00925D32">
        <w:rPr>
          <w:rFonts w:eastAsia="Times New Roman" w:cs="Times New Roman"/>
          <w:sz w:val="24"/>
          <w:szCs w:val="24"/>
          <w:lang w:eastAsia="lt-LT"/>
        </w:rPr>
        <w:t>p</w:t>
      </w:r>
      <w:r w:rsidRPr="00FB15B6">
        <w:rPr>
          <w:rFonts w:eastAsia="Times New Roman" w:cs="Times New Roman"/>
          <w:sz w:val="24"/>
          <w:szCs w:val="24"/>
          <w:lang w:eastAsia="lt-LT"/>
        </w:rPr>
        <w:t>asiūlyme</w:t>
      </w:r>
      <w:r w:rsidR="00925D32">
        <w:rPr>
          <w:rFonts w:eastAsia="Times New Roman" w:cs="Times New Roman"/>
          <w:sz w:val="24"/>
          <w:szCs w:val="24"/>
          <w:lang w:eastAsia="lt-LT"/>
        </w:rPr>
        <w:t xml:space="preserve"> (toliau – </w:t>
      </w:r>
      <w:r w:rsidR="00925D32" w:rsidRPr="00925D32">
        <w:rPr>
          <w:rFonts w:eastAsia="Times New Roman" w:cs="Times New Roman"/>
          <w:b/>
          <w:bCs/>
          <w:sz w:val="24"/>
          <w:szCs w:val="24"/>
          <w:lang w:eastAsia="lt-LT"/>
        </w:rPr>
        <w:t>Pasiūlymas</w:t>
      </w:r>
      <w:r w:rsidR="00925D32">
        <w:rPr>
          <w:rFonts w:eastAsia="Times New Roman" w:cs="Times New Roman"/>
          <w:sz w:val="24"/>
          <w:szCs w:val="24"/>
          <w:lang w:eastAsia="lt-LT"/>
        </w:rPr>
        <w:t>)</w:t>
      </w:r>
      <w:r w:rsidRPr="00FB15B6">
        <w:rPr>
          <w:rFonts w:eastAsia="Times New Roman" w:cs="Times New Roman"/>
          <w:sz w:val="24"/>
          <w:szCs w:val="24"/>
          <w:lang w:eastAsia="lt-LT"/>
        </w:rPr>
        <w:t xml:space="preserve"> nurodytus atitinkamų archeologinių tyrimų įkainius. Jeigu būtini papildomi archeologiniai tyrimai savo pobūdžiu skiriasi nuo tų archeologinių tyrimų, kuriems Pasiūlyme nurodyti įkainiai (įskaitant kartu su Pasiūlymu pateiktas lokalines sąmatas), taikomi Pasiūlyme nurodyti 1 m</w:t>
      </w:r>
      <w:r w:rsidRPr="00FB15B6">
        <w:rPr>
          <w:rFonts w:eastAsia="Times New Roman" w:cs="Times New Roman"/>
          <w:sz w:val="24"/>
          <w:szCs w:val="24"/>
          <w:vertAlign w:val="superscript"/>
          <w:lang w:eastAsia="lt-LT"/>
        </w:rPr>
        <w:t>2</w:t>
      </w:r>
      <w:r w:rsidRPr="00FB15B6">
        <w:rPr>
          <w:rFonts w:eastAsia="Times New Roman" w:cs="Times New Roman"/>
          <w:sz w:val="24"/>
          <w:szCs w:val="24"/>
          <w:lang w:eastAsia="lt-LT"/>
        </w:rPr>
        <w:t xml:space="preserve"> žvalgomųjų arba detaliųjų archeologinių tyrinėjimų įkainiai, priklausomai nuo to, kuriems tyrinėjimams artimesni atitinkami papildomi archeologiniai tyrimai. Archeologinių tyrimų apimties padidėjimo atveju Rangovas privalo pateikti Užsakovui pirminę sutartį su subrangovu, vykdančiu archeologinius tyrimus (jei toks yra), ir susitarimą, sutartį ar kitą dokumentą su šiuo ar kitu subrangovu, kuriuo susitariama dėl didesnės apimties archeologinių tyrimų atlikimo ir jų kainos. Jeigu archeologinių tyrimų apimtis padidėja ir Rangovo subrangovas, vykdantis archeologinius tyrimus, dėl to Rangovui taiko mažesnius archeologinių tyrimų įkainius (kainą), nei </w:t>
      </w:r>
      <w:r w:rsidRPr="00FB15B6">
        <w:rPr>
          <w:rFonts w:eastAsia="Times New Roman" w:cs="Times New Roman"/>
          <w:sz w:val="24"/>
          <w:szCs w:val="24"/>
          <w:lang w:eastAsia="lt-LT"/>
        </w:rPr>
        <w:lastRenderedPageBreak/>
        <w:t xml:space="preserve">nurodyta Pasiūlyme, Pasiūlyme nurodyti archeologinių darbų įkainiai yra mažinami 50% nuo skirtumo tarp Pasiūlyme nurodytų archeologinių tyrimų įkainių ir subrangovo pasiūlytų įkainių. </w:t>
      </w:r>
    </w:p>
    <w:p w14:paraId="244A6F5C" w14:textId="77777777" w:rsidR="001358E4" w:rsidRPr="009A6F11" w:rsidRDefault="001358E4" w:rsidP="009A6F11">
      <w:pPr>
        <w:tabs>
          <w:tab w:val="left" w:pos="567"/>
          <w:tab w:val="left" w:pos="6521"/>
        </w:tabs>
        <w:spacing w:before="120" w:after="0" w:line="240" w:lineRule="auto"/>
        <w:ind w:left="284"/>
        <w:jc w:val="both"/>
        <w:rPr>
          <w:rFonts w:cs="Calibri"/>
          <w:sz w:val="24"/>
          <w:szCs w:val="24"/>
        </w:rPr>
      </w:pPr>
    </w:p>
    <w:p w14:paraId="569ED6F1" w14:textId="5E6A7FD2" w:rsidR="00FB06DD" w:rsidRPr="0056740C" w:rsidRDefault="00361008" w:rsidP="00361008">
      <w:pPr>
        <w:ind w:left="284" w:hanging="284"/>
        <w:jc w:val="both"/>
        <w:rPr>
          <w:rFonts w:ascii="Calibri" w:eastAsia="Times New Roman" w:hAnsi="Calibri" w:cs="Calibri"/>
          <w:color w:val="000000"/>
          <w:lang w:eastAsia="lt-LT"/>
        </w:rPr>
      </w:pPr>
      <w:r>
        <w:rPr>
          <w:sz w:val="24"/>
          <w:szCs w:val="24"/>
        </w:rPr>
        <w:t xml:space="preserve">       </w:t>
      </w:r>
      <w:r w:rsidR="00FB15B6" w:rsidRPr="009A6F11">
        <w:rPr>
          <w:sz w:val="24"/>
          <w:szCs w:val="24"/>
        </w:rPr>
        <w:t xml:space="preserve">(E) </w:t>
      </w:r>
      <w:r w:rsidR="00FB15B6" w:rsidRPr="00736483">
        <w:rPr>
          <w:sz w:val="24"/>
          <w:szCs w:val="24"/>
        </w:rPr>
        <w:t xml:space="preserve">Užsakovas </w:t>
      </w:r>
      <w:r w:rsidR="00736483" w:rsidRPr="00736483">
        <w:rPr>
          <w:rFonts w:ascii="Calibri" w:eastAsia="Times New Roman" w:hAnsi="Calibri" w:cs="Calibri"/>
          <w:color w:val="000000"/>
          <w:lang w:eastAsia="lt-LT"/>
        </w:rPr>
        <w:t>2021-03-16</w:t>
      </w:r>
      <w:r w:rsidR="00736483" w:rsidRPr="00736483">
        <w:rPr>
          <w:sz w:val="24"/>
          <w:szCs w:val="24"/>
        </w:rPr>
        <w:t xml:space="preserve"> </w:t>
      </w:r>
      <w:r w:rsidR="00FB15B6" w:rsidRPr="00736483">
        <w:rPr>
          <w:sz w:val="24"/>
          <w:szCs w:val="24"/>
        </w:rPr>
        <w:t xml:space="preserve">raštu Nr. </w:t>
      </w:r>
      <w:r w:rsidR="00736483" w:rsidRPr="00736483">
        <w:rPr>
          <w:rFonts w:ascii="Calibri" w:eastAsia="Times New Roman" w:hAnsi="Calibri" w:cs="Calibri"/>
          <w:color w:val="000000"/>
          <w:lang w:eastAsia="lt-LT"/>
        </w:rPr>
        <w:t>7-294-311,</w:t>
      </w:r>
      <w:r w:rsidR="00736483" w:rsidRPr="00736483">
        <w:rPr>
          <w:sz w:val="24"/>
          <w:szCs w:val="24"/>
        </w:rPr>
        <w:t xml:space="preserve"> </w:t>
      </w:r>
      <w:r w:rsidR="00C15E8B" w:rsidRPr="00736483">
        <w:rPr>
          <w:sz w:val="24"/>
          <w:szCs w:val="24"/>
        </w:rPr>
        <w:t xml:space="preserve"> </w:t>
      </w:r>
      <w:r w:rsidR="00736483" w:rsidRPr="00736483">
        <w:rPr>
          <w:rFonts w:ascii="Calibri" w:eastAsia="Times New Roman" w:hAnsi="Calibri" w:cs="Calibri"/>
          <w:color w:val="000000"/>
          <w:lang w:eastAsia="lt-LT"/>
        </w:rPr>
        <w:t>2021-04-08</w:t>
      </w:r>
      <w:r w:rsidR="00736483" w:rsidRPr="00736483">
        <w:rPr>
          <w:sz w:val="24"/>
          <w:szCs w:val="24"/>
        </w:rPr>
        <w:t xml:space="preserve"> </w:t>
      </w:r>
      <w:r w:rsidR="00C15E8B" w:rsidRPr="00736483">
        <w:rPr>
          <w:sz w:val="24"/>
          <w:szCs w:val="24"/>
        </w:rPr>
        <w:t xml:space="preserve">Nr. </w:t>
      </w:r>
      <w:r w:rsidR="00736483" w:rsidRPr="00736483">
        <w:rPr>
          <w:rFonts w:ascii="Calibri" w:eastAsia="Times New Roman" w:hAnsi="Calibri" w:cs="Calibri"/>
          <w:color w:val="000000"/>
          <w:lang w:eastAsia="lt-LT"/>
        </w:rPr>
        <w:t>7-294-437</w:t>
      </w:r>
      <w:r w:rsidR="00736483" w:rsidRPr="00736483">
        <w:rPr>
          <w:sz w:val="24"/>
          <w:szCs w:val="24"/>
        </w:rPr>
        <w:t xml:space="preserve">, </w:t>
      </w:r>
      <w:r w:rsidR="00736483" w:rsidRPr="00736483">
        <w:rPr>
          <w:rFonts w:ascii="Calibri" w:eastAsia="Times New Roman" w:hAnsi="Calibri" w:cs="Calibri"/>
          <w:color w:val="000000"/>
          <w:lang w:eastAsia="lt-LT"/>
        </w:rPr>
        <w:t>2021-04-23</w:t>
      </w:r>
      <w:r w:rsidR="00736483" w:rsidRPr="00736483">
        <w:rPr>
          <w:sz w:val="24"/>
          <w:szCs w:val="24"/>
        </w:rPr>
        <w:t xml:space="preserve"> Nr. </w:t>
      </w:r>
      <w:r w:rsidR="00736483" w:rsidRPr="00736483">
        <w:rPr>
          <w:rFonts w:ascii="Calibri" w:eastAsia="Times New Roman" w:hAnsi="Calibri" w:cs="Calibri"/>
          <w:color w:val="000000"/>
          <w:lang w:eastAsia="lt-LT"/>
        </w:rPr>
        <w:t>7-294-505</w:t>
      </w:r>
      <w:r w:rsidR="00736483" w:rsidRPr="00736483">
        <w:rPr>
          <w:sz w:val="24"/>
          <w:szCs w:val="24"/>
        </w:rPr>
        <w:t>,</w:t>
      </w:r>
      <w:r w:rsidR="00736483" w:rsidRPr="00736483">
        <w:rPr>
          <w:rFonts w:ascii="Calibri" w:eastAsia="Times New Roman" w:hAnsi="Calibri" w:cs="Calibri"/>
          <w:color w:val="000000"/>
          <w:lang w:eastAsia="lt-LT"/>
        </w:rPr>
        <w:t xml:space="preserve"> 2021-05-05</w:t>
      </w:r>
      <w:r w:rsidR="00736483" w:rsidRPr="00736483">
        <w:rPr>
          <w:sz w:val="24"/>
          <w:szCs w:val="24"/>
        </w:rPr>
        <w:t xml:space="preserve"> Nr. </w:t>
      </w:r>
      <w:r w:rsidR="00736483" w:rsidRPr="00736483">
        <w:rPr>
          <w:rFonts w:ascii="Calibri" w:eastAsia="Times New Roman" w:hAnsi="Calibri" w:cs="Calibri"/>
          <w:color w:val="000000"/>
          <w:lang w:eastAsia="lt-LT"/>
        </w:rPr>
        <w:t>7-294-560</w:t>
      </w:r>
      <w:r w:rsidR="00736483" w:rsidRPr="00736483">
        <w:rPr>
          <w:sz w:val="24"/>
          <w:szCs w:val="24"/>
        </w:rPr>
        <w:t xml:space="preserve">  </w:t>
      </w:r>
      <w:r w:rsidR="00FB15B6" w:rsidRPr="00736483">
        <w:rPr>
          <w:sz w:val="24"/>
          <w:szCs w:val="24"/>
        </w:rPr>
        <w:t>patvirtino, jog pirk</w:t>
      </w:r>
      <w:r w:rsidR="00925D32" w:rsidRPr="00736483">
        <w:rPr>
          <w:sz w:val="24"/>
          <w:szCs w:val="24"/>
        </w:rPr>
        <w:t>s</w:t>
      </w:r>
      <w:r w:rsidR="00FB15B6" w:rsidRPr="00736483">
        <w:rPr>
          <w:sz w:val="24"/>
          <w:szCs w:val="24"/>
        </w:rPr>
        <w:t xml:space="preserve"> Rangovo </w:t>
      </w:r>
      <w:r w:rsidR="00736483" w:rsidRPr="00736483">
        <w:rPr>
          <w:rFonts w:ascii="Calibri" w:eastAsia="Times New Roman" w:hAnsi="Calibri" w:cs="Calibri"/>
          <w:color w:val="000000"/>
          <w:lang w:eastAsia="lt-LT"/>
        </w:rPr>
        <w:t>2021-03-09</w:t>
      </w:r>
      <w:r w:rsidR="00736483">
        <w:rPr>
          <w:rFonts w:ascii="Calibri" w:eastAsia="Times New Roman" w:hAnsi="Calibri" w:cs="Calibri"/>
          <w:color w:val="000000"/>
          <w:lang w:eastAsia="lt-LT"/>
        </w:rPr>
        <w:t xml:space="preserve">, </w:t>
      </w:r>
      <w:r w:rsidR="00736483" w:rsidRPr="00736483">
        <w:rPr>
          <w:rFonts w:ascii="Calibri" w:eastAsia="Times New Roman" w:hAnsi="Calibri" w:cs="Calibri"/>
          <w:color w:val="000000"/>
          <w:lang w:eastAsia="lt-LT"/>
        </w:rPr>
        <w:t>2021-04-06</w:t>
      </w:r>
      <w:r w:rsidR="00736483">
        <w:rPr>
          <w:rFonts w:ascii="Calibri" w:eastAsia="Times New Roman" w:hAnsi="Calibri" w:cs="Calibri"/>
          <w:color w:val="000000"/>
          <w:lang w:eastAsia="lt-LT"/>
        </w:rPr>
        <w:t xml:space="preserve">, </w:t>
      </w:r>
      <w:r w:rsidR="00736483" w:rsidRPr="00736483">
        <w:rPr>
          <w:rFonts w:ascii="Calibri" w:eastAsia="Times New Roman" w:hAnsi="Calibri" w:cs="Calibri"/>
          <w:color w:val="000000"/>
          <w:lang w:eastAsia="lt-LT"/>
        </w:rPr>
        <w:t>2021-04-16</w:t>
      </w:r>
      <w:r w:rsidR="00736483">
        <w:rPr>
          <w:rFonts w:ascii="Calibri" w:eastAsia="Times New Roman" w:hAnsi="Calibri" w:cs="Calibri"/>
          <w:color w:val="000000"/>
          <w:lang w:eastAsia="lt-LT"/>
        </w:rPr>
        <w:t xml:space="preserve">, </w:t>
      </w:r>
      <w:r w:rsidR="00736483" w:rsidRPr="00736483">
        <w:rPr>
          <w:rFonts w:ascii="Calibri" w:eastAsia="Times New Roman" w:hAnsi="Calibri" w:cs="Calibri"/>
          <w:color w:val="000000"/>
          <w:lang w:eastAsia="lt-LT"/>
        </w:rPr>
        <w:t>2021-04-30</w:t>
      </w:r>
      <w:r w:rsidR="0056740C">
        <w:rPr>
          <w:rFonts w:ascii="Calibri" w:eastAsia="Times New Roman" w:hAnsi="Calibri" w:cs="Calibri"/>
          <w:color w:val="000000"/>
          <w:lang w:eastAsia="lt-LT"/>
        </w:rPr>
        <w:t xml:space="preserve"> </w:t>
      </w:r>
      <w:r w:rsidR="00FB15B6" w:rsidRPr="00736483">
        <w:rPr>
          <w:sz w:val="24"/>
          <w:szCs w:val="24"/>
        </w:rPr>
        <w:t>raštuose nurodytų papildomų, Sutartyje nenumatytų, naujai surastų archeologijos paminklų detaliųjų Archeologinių</w:t>
      </w:r>
      <w:r w:rsidR="00FB15B6" w:rsidRPr="009A6F11">
        <w:rPr>
          <w:sz w:val="24"/>
          <w:szCs w:val="24"/>
        </w:rPr>
        <w:t xml:space="preserve"> </w:t>
      </w:r>
      <w:r w:rsidR="0066560C" w:rsidRPr="009A6F11">
        <w:rPr>
          <w:sz w:val="24"/>
          <w:szCs w:val="24"/>
        </w:rPr>
        <w:t>tyri</w:t>
      </w:r>
      <w:r w:rsidR="00FB15B6" w:rsidRPr="009A6F11">
        <w:rPr>
          <w:sz w:val="24"/>
          <w:szCs w:val="24"/>
        </w:rPr>
        <w:t>mų, kurių atlikimui yra gautas MAK pritarimas, paslaugas</w:t>
      </w:r>
      <w:r w:rsidR="00FB06DD" w:rsidRPr="009A6F11">
        <w:rPr>
          <w:sz w:val="24"/>
          <w:szCs w:val="24"/>
        </w:rPr>
        <w:t xml:space="preserve"> iš R</w:t>
      </w:r>
      <w:r w:rsidR="00FB15B6" w:rsidRPr="009A6F11">
        <w:rPr>
          <w:sz w:val="24"/>
          <w:szCs w:val="24"/>
        </w:rPr>
        <w:t>angovo</w:t>
      </w:r>
      <w:r w:rsidR="00FB06DD" w:rsidRPr="009A6F11">
        <w:rPr>
          <w:sz w:val="24"/>
          <w:szCs w:val="24"/>
        </w:rPr>
        <w:t>, ir patvirtino, kad už šiuos detaliuosius archeologinius tyrimus mokės</w:t>
      </w:r>
      <w:r w:rsidR="00E9257C" w:rsidRPr="009A6F11">
        <w:rPr>
          <w:sz w:val="24"/>
          <w:szCs w:val="24"/>
        </w:rPr>
        <w:t xml:space="preserve"> </w:t>
      </w:r>
      <w:r w:rsidR="00FB06DD" w:rsidRPr="009A6F11">
        <w:rPr>
          <w:sz w:val="24"/>
          <w:szCs w:val="24"/>
        </w:rPr>
        <w:t>pagal faktiškai atliktų tokių darbų kiekį ir Sutartyje numatytą įkainį (130,00 Eur/m²), tačiau tik su sąlyga, kad Rangovas pateiks Užsakovui susitarimus su subrangovu, vykdančiu archeologinius tyrimus, ar bet kokius kitus dokumentus, kuriais susitariama dėl didesnės apimties archeologinių tyrimų atlikimo ir jų kainos.</w:t>
      </w:r>
    </w:p>
    <w:p w14:paraId="26A8B012" w14:textId="4066E509" w:rsidR="00E9257C" w:rsidRDefault="00FB06DD" w:rsidP="009A6F11">
      <w:pPr>
        <w:tabs>
          <w:tab w:val="left" w:pos="567"/>
          <w:tab w:val="left" w:pos="6521"/>
        </w:tabs>
        <w:spacing w:before="120" w:after="0" w:line="240" w:lineRule="auto"/>
        <w:ind w:left="284"/>
        <w:jc w:val="both"/>
        <w:rPr>
          <w:sz w:val="24"/>
          <w:szCs w:val="24"/>
        </w:rPr>
      </w:pPr>
      <w:r w:rsidRPr="009A6F11">
        <w:rPr>
          <w:sz w:val="24"/>
          <w:szCs w:val="24"/>
        </w:rPr>
        <w:t xml:space="preserve">(F) </w:t>
      </w:r>
      <w:r w:rsidR="0056740C" w:rsidRPr="0056740C">
        <w:rPr>
          <w:sz w:val="24"/>
          <w:szCs w:val="24"/>
        </w:rPr>
        <w:t xml:space="preserve">2021-05-14 </w:t>
      </w:r>
      <w:r w:rsidRPr="0056740C">
        <w:rPr>
          <w:sz w:val="24"/>
          <w:szCs w:val="24"/>
        </w:rPr>
        <w:t>Rangovas pateikė Užsakovui</w:t>
      </w:r>
      <w:r w:rsidR="00E616DA" w:rsidRPr="0056740C">
        <w:rPr>
          <w:sz w:val="24"/>
          <w:szCs w:val="24"/>
        </w:rPr>
        <w:t xml:space="preserve"> </w:t>
      </w:r>
      <w:r w:rsidR="00D13636" w:rsidRPr="0056740C">
        <w:rPr>
          <w:sz w:val="24"/>
          <w:szCs w:val="24"/>
        </w:rPr>
        <w:t xml:space="preserve">2021-05-14 papildomą susitarimą Nr. 7 </w:t>
      </w:r>
      <w:r w:rsidR="00E616DA" w:rsidRPr="0056740C">
        <w:rPr>
          <w:sz w:val="24"/>
          <w:szCs w:val="24"/>
        </w:rPr>
        <w:t>prie 2020-03-05 subrangos sutarties Nr. D0066/(5.74) SU-494</w:t>
      </w:r>
      <w:r w:rsidR="00203451" w:rsidRPr="0056740C">
        <w:rPr>
          <w:sz w:val="24"/>
          <w:szCs w:val="24"/>
        </w:rPr>
        <w:t xml:space="preserve"> (toliau – </w:t>
      </w:r>
      <w:r w:rsidR="00203451" w:rsidRPr="0056740C">
        <w:rPr>
          <w:b/>
          <w:bCs/>
          <w:sz w:val="24"/>
          <w:szCs w:val="24"/>
        </w:rPr>
        <w:t>Subrangos sutartis</w:t>
      </w:r>
      <w:r w:rsidR="00203451" w:rsidRPr="0056740C">
        <w:rPr>
          <w:sz w:val="24"/>
          <w:szCs w:val="24"/>
        </w:rPr>
        <w:t>),</w:t>
      </w:r>
      <w:r w:rsidR="00E616DA" w:rsidRPr="0056740C">
        <w:rPr>
          <w:sz w:val="24"/>
          <w:szCs w:val="24"/>
        </w:rPr>
        <w:t xml:space="preserve"> sudarytą su </w:t>
      </w:r>
      <w:r w:rsidR="009430BF" w:rsidRPr="0056740C">
        <w:rPr>
          <w:sz w:val="24"/>
          <w:szCs w:val="24"/>
        </w:rPr>
        <w:t xml:space="preserve">VšĮ Vilniaus universitetu, veikiančiu jungtinės sutarties pagrindu su partneriais VšĮ Klaipėdos universitetas, VšĮ Kultūros paveldo išsaugojimo pajėgos“, UAB „Kultūros vertybių paieška“, Biudžetinė įstaiga Lietuvos istorijos institutas </w:t>
      </w:r>
      <w:r w:rsidR="00203451" w:rsidRPr="0056740C">
        <w:rPr>
          <w:sz w:val="24"/>
          <w:szCs w:val="24"/>
        </w:rPr>
        <w:t xml:space="preserve">(toliau – </w:t>
      </w:r>
      <w:r w:rsidR="00203451" w:rsidRPr="0056740C">
        <w:rPr>
          <w:b/>
          <w:bCs/>
          <w:sz w:val="24"/>
          <w:szCs w:val="24"/>
        </w:rPr>
        <w:t>Subrangovas</w:t>
      </w:r>
      <w:r w:rsidR="00203451" w:rsidRPr="0056740C">
        <w:rPr>
          <w:sz w:val="24"/>
          <w:szCs w:val="24"/>
        </w:rPr>
        <w:t xml:space="preserve">) </w:t>
      </w:r>
      <w:r w:rsidR="00BA054E" w:rsidRPr="0056740C">
        <w:rPr>
          <w:sz w:val="24"/>
          <w:szCs w:val="24"/>
        </w:rPr>
        <w:t>dėl papildomų detaliųjų archeologinių tyrimų atlikimo</w:t>
      </w:r>
      <w:r w:rsidR="008A3EC3" w:rsidRPr="0056740C">
        <w:rPr>
          <w:sz w:val="24"/>
          <w:szCs w:val="24"/>
        </w:rPr>
        <w:t xml:space="preserve"> ir jų kainos</w:t>
      </w:r>
      <w:r w:rsidR="00925D32" w:rsidRPr="0056740C">
        <w:rPr>
          <w:sz w:val="24"/>
          <w:szCs w:val="24"/>
        </w:rPr>
        <w:t>, kuriame numatyta, jog detaliųjų archeologinių tyrimų kaina yra 130 Eur/m²</w:t>
      </w:r>
      <w:r w:rsidR="008A3EC3" w:rsidRPr="0056740C">
        <w:rPr>
          <w:sz w:val="24"/>
          <w:szCs w:val="24"/>
        </w:rPr>
        <w:t>.</w:t>
      </w:r>
      <w:r w:rsidR="00BA054E" w:rsidRPr="009A6F11">
        <w:rPr>
          <w:sz w:val="24"/>
          <w:szCs w:val="24"/>
        </w:rPr>
        <w:t xml:space="preserve"> </w:t>
      </w:r>
    </w:p>
    <w:p w14:paraId="2C70A829" w14:textId="47547DD1" w:rsidR="00E9257C" w:rsidRPr="009A6F11" w:rsidRDefault="00BA054E" w:rsidP="00361008">
      <w:pPr>
        <w:spacing w:before="120" w:after="0" w:line="240" w:lineRule="auto"/>
        <w:ind w:left="284"/>
        <w:jc w:val="both"/>
        <w:rPr>
          <w:rFonts w:eastAsia="Arial Unicode MS" w:cs="Times New Roman"/>
          <w:sz w:val="24"/>
          <w:szCs w:val="24"/>
        </w:rPr>
      </w:pPr>
      <w:r w:rsidRPr="009A6F11">
        <w:rPr>
          <w:rFonts w:eastAsia="Arial Unicode MS" w:cs="Times New Roman"/>
          <w:sz w:val="24"/>
          <w:szCs w:val="24"/>
        </w:rPr>
        <w:t>Vadovaudamosi S</w:t>
      </w:r>
      <w:r w:rsidR="00E9257C" w:rsidRPr="009A6F11">
        <w:rPr>
          <w:rFonts w:eastAsia="Arial Unicode MS" w:cs="Times New Roman"/>
          <w:sz w:val="24"/>
          <w:szCs w:val="24"/>
        </w:rPr>
        <w:t xml:space="preserve">utarties </w:t>
      </w:r>
      <w:r w:rsidRPr="009A6F11">
        <w:rPr>
          <w:rFonts w:eastAsia="Arial Unicode MS" w:cs="Times New Roman"/>
          <w:sz w:val="24"/>
          <w:szCs w:val="24"/>
        </w:rPr>
        <w:t>14.2</w:t>
      </w:r>
      <w:r w:rsidR="00F144C4" w:rsidRPr="009A6F11">
        <w:rPr>
          <w:rFonts w:eastAsia="Arial Unicode MS" w:cs="Times New Roman"/>
          <w:sz w:val="24"/>
          <w:szCs w:val="24"/>
        </w:rPr>
        <w:t>, 18.1</w:t>
      </w:r>
      <w:r w:rsidR="00E9257C" w:rsidRPr="009A6F11">
        <w:rPr>
          <w:rFonts w:eastAsia="Arial Unicode MS" w:cs="Times New Roman"/>
          <w:sz w:val="24"/>
          <w:szCs w:val="24"/>
        </w:rPr>
        <w:t xml:space="preserve"> punktų nuostatomis, Šalys sudarė šį susitarimą Nr. </w:t>
      </w:r>
      <w:r w:rsidR="00361008">
        <w:rPr>
          <w:rFonts w:eastAsia="Arial Unicode MS" w:cs="Times New Roman"/>
          <w:sz w:val="24"/>
          <w:szCs w:val="24"/>
        </w:rPr>
        <w:t>4</w:t>
      </w:r>
      <w:r w:rsidR="00E9257C" w:rsidRPr="009A6F11">
        <w:rPr>
          <w:rFonts w:eastAsia="Arial Unicode MS" w:cs="Times New Roman"/>
          <w:sz w:val="24"/>
          <w:szCs w:val="24"/>
        </w:rPr>
        <w:t xml:space="preserve"> (toliau – </w:t>
      </w:r>
      <w:r w:rsidR="00E9257C" w:rsidRPr="009A6F11">
        <w:rPr>
          <w:rFonts w:eastAsia="Arial Unicode MS" w:cs="Times New Roman"/>
          <w:b/>
          <w:sz w:val="24"/>
          <w:szCs w:val="24"/>
        </w:rPr>
        <w:t>Susitarimas</w:t>
      </w:r>
      <w:r w:rsidR="00297B4E">
        <w:rPr>
          <w:rFonts w:eastAsia="Arial Unicode MS" w:cs="Times New Roman"/>
          <w:b/>
          <w:sz w:val="24"/>
          <w:szCs w:val="24"/>
        </w:rPr>
        <w:t xml:space="preserve"> Nr. 4</w:t>
      </w:r>
      <w:r w:rsidR="00E9257C" w:rsidRPr="009A6F11">
        <w:rPr>
          <w:rFonts w:eastAsia="Arial Unicode MS" w:cs="Times New Roman"/>
          <w:sz w:val="24"/>
          <w:szCs w:val="24"/>
        </w:rPr>
        <w:t>), kuriuo susitaria:</w:t>
      </w:r>
    </w:p>
    <w:p w14:paraId="78EFE636" w14:textId="593B38AC" w:rsidR="00F144C4" w:rsidRPr="009A6F11" w:rsidRDefault="00361008" w:rsidP="00361008">
      <w:pPr>
        <w:spacing w:before="120" w:after="0" w:line="240" w:lineRule="auto"/>
        <w:ind w:left="284" w:hanging="284"/>
        <w:jc w:val="both"/>
        <w:rPr>
          <w:rFonts w:eastAsia="Arial Unicode MS" w:cs="Times New Roman"/>
          <w:sz w:val="24"/>
          <w:szCs w:val="24"/>
        </w:rPr>
      </w:pPr>
      <w:r>
        <w:rPr>
          <w:rFonts w:eastAsia="Arial Unicode MS" w:cs="Times New Roman"/>
          <w:sz w:val="24"/>
          <w:szCs w:val="24"/>
        </w:rPr>
        <w:t xml:space="preserve">1.  </w:t>
      </w:r>
      <w:r w:rsidR="00F144C4" w:rsidRPr="00F144C4">
        <w:rPr>
          <w:rFonts w:eastAsia="Times New Roman" w:cs="Times New Roman"/>
          <w:sz w:val="24"/>
          <w:szCs w:val="20"/>
          <w:lang w:eastAsia="lt-LT"/>
        </w:rPr>
        <w:t xml:space="preserve">Sutartyje </w:t>
      </w:r>
      <w:r w:rsidR="00F144C4" w:rsidRPr="009A6F11">
        <w:rPr>
          <w:rFonts w:eastAsia="Times New Roman" w:cs="Times New Roman"/>
          <w:sz w:val="24"/>
          <w:szCs w:val="20"/>
          <w:lang w:eastAsia="lt-LT"/>
        </w:rPr>
        <w:t>ir šiame Susitarime</w:t>
      </w:r>
      <w:r w:rsidR="00297B4E">
        <w:rPr>
          <w:rFonts w:eastAsia="Times New Roman" w:cs="Times New Roman"/>
          <w:sz w:val="24"/>
          <w:szCs w:val="20"/>
          <w:lang w:eastAsia="lt-LT"/>
        </w:rPr>
        <w:t xml:space="preserve"> Nr. 4</w:t>
      </w:r>
      <w:r w:rsidR="00F144C4" w:rsidRPr="009A6F11">
        <w:rPr>
          <w:rFonts w:eastAsia="Times New Roman" w:cs="Times New Roman"/>
          <w:sz w:val="24"/>
          <w:szCs w:val="20"/>
          <w:lang w:eastAsia="lt-LT"/>
        </w:rPr>
        <w:t xml:space="preserve"> </w:t>
      </w:r>
      <w:r w:rsidR="00F144C4" w:rsidRPr="00F144C4">
        <w:rPr>
          <w:rFonts w:eastAsia="Times New Roman" w:cs="Times New Roman"/>
          <w:sz w:val="24"/>
          <w:szCs w:val="20"/>
          <w:lang w:eastAsia="lt-LT"/>
        </w:rPr>
        <w:t xml:space="preserve">nustatytomis sąlygomis, tvarka ir </w:t>
      </w:r>
      <w:r w:rsidR="00F144C4" w:rsidRPr="009A6F11">
        <w:rPr>
          <w:rFonts w:eastAsia="Times New Roman" w:cs="Times New Roman"/>
          <w:sz w:val="24"/>
          <w:szCs w:val="20"/>
          <w:lang w:eastAsia="lt-LT"/>
        </w:rPr>
        <w:t xml:space="preserve">terminais Rangovas įsipareigoja </w:t>
      </w:r>
      <w:r w:rsidR="00F144C4" w:rsidRPr="00F144C4">
        <w:rPr>
          <w:rFonts w:eastAsia="Times New Roman" w:cs="Times New Roman"/>
          <w:sz w:val="24"/>
          <w:szCs w:val="20"/>
          <w:lang w:eastAsia="lt-LT"/>
        </w:rPr>
        <w:t xml:space="preserve">atlikti </w:t>
      </w:r>
      <w:r w:rsidR="003A679F">
        <w:rPr>
          <w:rFonts w:eastAsia="Times New Roman" w:cs="Times New Roman"/>
          <w:sz w:val="24"/>
          <w:szCs w:val="20"/>
          <w:lang w:eastAsia="lt-LT"/>
        </w:rPr>
        <w:t xml:space="preserve">  </w:t>
      </w:r>
      <w:r w:rsidR="00F144C4" w:rsidRPr="009A6F11">
        <w:rPr>
          <w:rFonts w:eastAsia="Times New Roman" w:cs="Times New Roman"/>
          <w:sz w:val="24"/>
          <w:szCs w:val="20"/>
          <w:lang w:eastAsia="lt-LT"/>
        </w:rPr>
        <w:t xml:space="preserve">žemiau nurodytus papildomus </w:t>
      </w:r>
      <w:r w:rsidR="004557F6" w:rsidRPr="004557F6">
        <w:rPr>
          <w:rFonts w:eastAsia="Times New Roman" w:cs="Times New Roman"/>
          <w:sz w:val="24"/>
          <w:szCs w:val="20"/>
          <w:lang w:eastAsia="lt-LT"/>
        </w:rPr>
        <w:t>detaliuosius archeologinius tyrimus</w:t>
      </w:r>
      <w:r w:rsidR="00F144C4" w:rsidRPr="009A6F11">
        <w:rPr>
          <w:rFonts w:eastAsia="Times New Roman" w:cs="Times New Roman"/>
          <w:sz w:val="24"/>
          <w:szCs w:val="20"/>
          <w:lang w:eastAsia="lt-LT"/>
        </w:rPr>
        <w:t>:</w:t>
      </w:r>
      <w:r w:rsidR="00F144C4" w:rsidRPr="00F144C4">
        <w:rPr>
          <w:rFonts w:eastAsia="Times New Roman" w:cs="Times New Roman"/>
          <w:sz w:val="24"/>
          <w:szCs w:val="20"/>
          <w:lang w:eastAsia="lt-LT"/>
        </w:rPr>
        <w:t xml:space="preserve"> </w:t>
      </w:r>
    </w:p>
    <w:p w14:paraId="319C22C6" w14:textId="49B9472D"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1.1 iki 2021 m. birželio 30 d. atlikti detaliuosius archeologinius tyrimus ties Cibielikų senovės gyvenviete nuo PK1179+82 iki PK1180+28 – 46 m ilgio ir 8 m pločio ruože. Preliminarus tyrimų plotas apie 368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4DEEDA39" w14:textId="5E525640"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1.2 iki 2021 m. birželio 30 d. atlikti detaliuosius archeologinius tyrimus ties Daugirdų II senovės gyvenviete nuo PK1196+76 iki PK1197+44 – 68 m ilgio ir 8 m pločio ruože. Preliminarus tyrimų plotas apie </w:t>
      </w:r>
      <w:r w:rsidR="005B1CB0" w:rsidRPr="00361008">
        <w:rPr>
          <w:rFonts w:eastAsia="Times New Roman" w:cs="Times New Roman"/>
          <w:sz w:val="24"/>
          <w:szCs w:val="20"/>
          <w:lang w:eastAsia="lt-LT"/>
        </w:rPr>
        <w:t>480</w:t>
      </w:r>
      <w:r w:rsidRPr="00361008">
        <w:rPr>
          <w:rFonts w:eastAsia="Times New Roman" w:cs="Times New Roman"/>
          <w:sz w:val="24"/>
          <w:szCs w:val="20"/>
          <w:lang w:eastAsia="lt-LT"/>
        </w:rPr>
        <w:t xml:space="preserve">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5F36A3CF" w14:textId="5DBB9E71"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1.3 iki 2021 m. birželio 30 d. atlikti detaliuosius archeologinius tyrimus ties Skiturių senovės gyvenviete II nuo PK1331+85 iki PK1332+10 – preliminarus tyrimų plotas apie 130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4E3713A4" w14:textId="412299BB"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1.4 iki 2021 m. birželio 30 d. atlikti detaliuosius archeologinius tyrimus ties Birsčių senovės gyvenviete nuo PK1394+37 iki PK1394+57 – preliminarus tyrimų plotas apie 172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31F95372" w14:textId="3C8A641B"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1.5 iki 2021 m. birželio 30 d. atlikti detaliuosius archeologinius tyrimus ties Kirsnelės I ir II senovės gyvenvietėmis nuo PK1508+81 iki PK1509+10 – preliminarus tyrimų plotas apie 193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ir nuo PK1516+03 iki PK1516+59 – preliminarus tyrimų plotas 426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Bendras preliminarus tyrimų plotas apie 619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45030039" w14:textId="33EECFA1"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1.6 iki 2021 m. birželio 30 d. atlikti detaliuosius archeologinius tyrimus ties Mikniškių senovės gyvenviete nuo PK1522+55 iki PK1523+15 – preliminarus tyrimų plotas apie 491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1F2C734F" w14:textId="7EFC363A"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 xml:space="preserve">1.7 iki 2021 m. birželio 30 d. atlikti detaliuosius archeologinius tyrimus ties Dzūkų senovės gyvenviete nuo PK1538+39 iki PK1538+68 – preliminarus tyrimų plotas apie 205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nuo PK1538+95 iki PK1539+15 – preliminarus tyrimų plotas apie 112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ir nuo PK1539+82 iki PK1540+36 – preliminarus tyrimų plotas apie 475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Bendras preliminarus tyrimų plotas apie 792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0750670F" w14:textId="2BCC671B"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1.</w:t>
      </w:r>
      <w:r w:rsidR="005B1CB0" w:rsidRPr="00361008">
        <w:rPr>
          <w:rFonts w:eastAsia="Times New Roman" w:cs="Times New Roman"/>
          <w:sz w:val="24"/>
          <w:szCs w:val="20"/>
          <w:lang w:eastAsia="lt-LT"/>
        </w:rPr>
        <w:t>8</w:t>
      </w:r>
      <w:r w:rsidRPr="00361008">
        <w:rPr>
          <w:rFonts w:eastAsia="Times New Roman" w:cs="Times New Roman"/>
          <w:sz w:val="24"/>
          <w:szCs w:val="20"/>
          <w:lang w:eastAsia="lt-LT"/>
        </w:rPr>
        <w:t xml:space="preserve"> iki 2021 m. birželio 30 d. atlikti detaliuosius archeologinius tyrimus ties Strumbagalvės senovės gyvenviete nuo PK1589+11 iki PK1589+33 – preliminarus tyrimų plotas apie 189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ir </w:t>
      </w:r>
      <w:r w:rsidRPr="00361008">
        <w:rPr>
          <w:rFonts w:eastAsia="Times New Roman" w:cs="Times New Roman"/>
          <w:sz w:val="24"/>
          <w:szCs w:val="20"/>
          <w:lang w:eastAsia="lt-LT"/>
        </w:rPr>
        <w:lastRenderedPageBreak/>
        <w:t xml:space="preserve">nuo PK1590+76 iki PK1590+94 – preliminarus tyrimų plotas apie 147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Bendras preliminarus tyrimų plotas apie 336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328E5742" w14:textId="18AAD8F5" w:rsidR="004153BD" w:rsidRPr="00361008" w:rsidRDefault="004153BD" w:rsidP="004153BD">
      <w:pPr>
        <w:tabs>
          <w:tab w:val="left" w:pos="567"/>
          <w:tab w:val="left" w:pos="6521"/>
        </w:tabs>
        <w:spacing w:before="120" w:after="0" w:line="240" w:lineRule="auto"/>
        <w:ind w:left="992"/>
        <w:jc w:val="both"/>
        <w:rPr>
          <w:rFonts w:eastAsia="Times New Roman" w:cs="Times New Roman"/>
          <w:sz w:val="24"/>
          <w:szCs w:val="20"/>
          <w:lang w:eastAsia="lt-LT"/>
        </w:rPr>
      </w:pPr>
      <w:r w:rsidRPr="00361008">
        <w:rPr>
          <w:rFonts w:eastAsia="Times New Roman" w:cs="Times New Roman"/>
          <w:sz w:val="24"/>
          <w:szCs w:val="20"/>
          <w:lang w:eastAsia="lt-LT"/>
        </w:rPr>
        <w:t>1.</w:t>
      </w:r>
      <w:r w:rsidR="005B1CB0" w:rsidRPr="00361008">
        <w:rPr>
          <w:rFonts w:eastAsia="Times New Roman" w:cs="Times New Roman"/>
          <w:sz w:val="24"/>
          <w:szCs w:val="20"/>
          <w:lang w:eastAsia="lt-LT"/>
        </w:rPr>
        <w:t>9</w:t>
      </w:r>
      <w:r w:rsidRPr="00361008">
        <w:rPr>
          <w:rFonts w:eastAsia="Times New Roman" w:cs="Times New Roman"/>
          <w:sz w:val="24"/>
          <w:szCs w:val="20"/>
          <w:lang w:eastAsia="lt-LT"/>
        </w:rPr>
        <w:t xml:space="preserve"> iki 2021 m. birželio 30 d. atlikti detaliuosius archeologinius tyrimus ties Vingrėnų kaimaviete nuo PK1622+40 iki PK1623+85 – preliminarus tyrimų plotas apie 1.232,5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ir nuo PK1624+45 iki PK1624+68 – preliminarus tyrimų plotas apie 195,5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 xml:space="preserve">. Bendras preliminarus tyrimų plotas apie 1.428 </w:t>
      </w:r>
      <w:r w:rsidR="00C21463" w:rsidRPr="009A6F11">
        <w:rPr>
          <w:rFonts w:eastAsia="Arial Unicode MS" w:cs="Times New Roman"/>
          <w:color w:val="000000" w:themeColor="text1"/>
        </w:rPr>
        <w:t>m</w:t>
      </w:r>
      <w:r w:rsidR="00C21463" w:rsidRPr="009A6F11">
        <w:rPr>
          <w:rFonts w:eastAsia="Arial Unicode MS" w:cs="Times New Roman"/>
          <w:color w:val="000000" w:themeColor="text1"/>
          <w:vertAlign w:val="superscript"/>
        </w:rPr>
        <w:t>2</w:t>
      </w:r>
      <w:r w:rsidRPr="00361008">
        <w:rPr>
          <w:rFonts w:eastAsia="Times New Roman" w:cs="Times New Roman"/>
          <w:sz w:val="24"/>
          <w:szCs w:val="20"/>
          <w:lang w:eastAsia="lt-LT"/>
        </w:rPr>
        <w:t>.</w:t>
      </w:r>
    </w:p>
    <w:p w14:paraId="4D586F38" w14:textId="77777777" w:rsidR="00556033" w:rsidRPr="009A6F11" w:rsidRDefault="00556033" w:rsidP="00556033">
      <w:pPr>
        <w:pStyle w:val="ListParagraph"/>
        <w:tabs>
          <w:tab w:val="left" w:pos="567"/>
          <w:tab w:val="left" w:pos="1560"/>
        </w:tabs>
        <w:spacing w:before="120" w:after="0" w:line="240" w:lineRule="auto"/>
        <w:ind w:left="1408"/>
        <w:contextualSpacing w:val="0"/>
        <w:jc w:val="both"/>
        <w:rPr>
          <w:rFonts w:eastAsia="Arial Unicode MS" w:cs="Times New Roman"/>
          <w:color w:val="000000" w:themeColor="text1"/>
        </w:rPr>
      </w:pPr>
    </w:p>
    <w:p w14:paraId="54AFA8C9" w14:textId="5A878D88" w:rsidR="00F144C4" w:rsidRPr="006A3173" w:rsidRDefault="00F144C4" w:rsidP="006A3173">
      <w:pPr>
        <w:pStyle w:val="ListParagraph"/>
        <w:numPr>
          <w:ilvl w:val="0"/>
          <w:numId w:val="4"/>
        </w:numPr>
        <w:spacing w:before="120" w:after="0" w:line="240" w:lineRule="auto"/>
        <w:jc w:val="both"/>
        <w:rPr>
          <w:rFonts w:eastAsia="Times New Roman" w:cs="Times New Roman"/>
          <w:sz w:val="24"/>
          <w:szCs w:val="20"/>
          <w:lang w:eastAsia="lt-LT"/>
        </w:rPr>
      </w:pPr>
      <w:r w:rsidRPr="006A3173">
        <w:rPr>
          <w:rFonts w:eastAsia="Times New Roman" w:cs="Times New Roman"/>
          <w:sz w:val="24"/>
          <w:szCs w:val="20"/>
          <w:lang w:eastAsia="lt-LT"/>
        </w:rPr>
        <w:t xml:space="preserve">Užsakovas </w:t>
      </w:r>
      <w:r w:rsidR="004557F6" w:rsidRPr="006A3173">
        <w:rPr>
          <w:rFonts w:eastAsia="Times New Roman" w:cs="Times New Roman"/>
          <w:sz w:val="24"/>
          <w:szCs w:val="20"/>
          <w:lang w:eastAsia="lt-LT"/>
        </w:rPr>
        <w:t xml:space="preserve">už </w:t>
      </w:r>
      <w:r w:rsidR="00CC132A">
        <w:rPr>
          <w:rFonts w:eastAsia="Times New Roman" w:cs="Times New Roman"/>
          <w:sz w:val="24"/>
          <w:szCs w:val="20"/>
          <w:lang w:eastAsia="lt-LT"/>
        </w:rPr>
        <w:t xml:space="preserve">šiame Susitarime nurodytus </w:t>
      </w:r>
      <w:r w:rsidR="004557F6" w:rsidRPr="006A3173">
        <w:rPr>
          <w:rFonts w:eastAsia="Times New Roman" w:cs="Times New Roman"/>
          <w:sz w:val="24"/>
          <w:szCs w:val="20"/>
          <w:lang w:eastAsia="lt-LT"/>
        </w:rPr>
        <w:t xml:space="preserve">atliktus </w:t>
      </w:r>
      <w:r w:rsidR="004557F6">
        <w:rPr>
          <w:rFonts w:eastAsia="Times New Roman" w:cs="Times New Roman"/>
          <w:sz w:val="24"/>
          <w:szCs w:val="20"/>
          <w:lang w:eastAsia="lt-LT"/>
        </w:rPr>
        <w:t xml:space="preserve">papildomus </w:t>
      </w:r>
      <w:r w:rsidR="004557F6" w:rsidRPr="004557F6">
        <w:rPr>
          <w:rFonts w:eastAsia="Times New Roman" w:cs="Times New Roman"/>
          <w:sz w:val="24"/>
          <w:szCs w:val="20"/>
          <w:lang w:eastAsia="lt-LT"/>
        </w:rPr>
        <w:t xml:space="preserve">detaliuosius archeologinius </w:t>
      </w:r>
      <w:r w:rsidR="004557F6" w:rsidRPr="006A3173">
        <w:rPr>
          <w:rFonts w:eastAsia="Times New Roman" w:cs="Times New Roman"/>
          <w:sz w:val="24"/>
          <w:szCs w:val="20"/>
          <w:lang w:eastAsia="lt-LT"/>
        </w:rPr>
        <w:t xml:space="preserve">tyrimus </w:t>
      </w:r>
      <w:r w:rsidR="00B947B4">
        <w:rPr>
          <w:rFonts w:eastAsia="Times New Roman" w:cs="Times New Roman"/>
          <w:sz w:val="24"/>
          <w:szCs w:val="20"/>
          <w:lang w:eastAsia="lt-LT"/>
        </w:rPr>
        <w:t>su</w:t>
      </w:r>
      <w:r w:rsidR="004557F6" w:rsidRPr="006A3173">
        <w:rPr>
          <w:rFonts w:eastAsia="Times New Roman" w:cs="Times New Roman"/>
          <w:sz w:val="24"/>
          <w:szCs w:val="20"/>
          <w:lang w:eastAsia="lt-LT"/>
        </w:rPr>
        <w:t>mokės Sutartyje ir Susitarime nustatytomis sąlygomis ir tvarka</w:t>
      </w:r>
      <w:r w:rsidR="009A6F11" w:rsidRPr="006A3173">
        <w:rPr>
          <w:rFonts w:eastAsia="Times New Roman" w:cs="Times New Roman"/>
          <w:sz w:val="24"/>
          <w:szCs w:val="20"/>
          <w:lang w:eastAsia="lt-LT"/>
        </w:rPr>
        <w:t>.</w:t>
      </w:r>
    </w:p>
    <w:p w14:paraId="71EB0101" w14:textId="2516BE8A" w:rsidR="009A6F11" w:rsidRPr="00C21463" w:rsidRDefault="009A6F11"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sidRPr="00C21463">
        <w:rPr>
          <w:rFonts w:eastAsia="Times New Roman" w:cs="Times New Roman"/>
          <w:sz w:val="24"/>
          <w:szCs w:val="20"/>
          <w:lang w:eastAsia="lt-LT"/>
        </w:rPr>
        <w:t xml:space="preserve">Aiškumo dėlei Šalys patvirtina, jog </w:t>
      </w:r>
      <w:r w:rsidR="004557F6" w:rsidRPr="00C21463">
        <w:rPr>
          <w:rFonts w:eastAsia="Times New Roman" w:cs="Times New Roman"/>
          <w:sz w:val="24"/>
          <w:szCs w:val="20"/>
          <w:lang w:eastAsia="lt-LT"/>
        </w:rPr>
        <w:t xml:space="preserve">detaliųjų archeologinių tyrimų </w:t>
      </w:r>
      <w:r w:rsidRPr="00C21463">
        <w:rPr>
          <w:rFonts w:eastAsia="Times New Roman" w:cs="Times New Roman"/>
          <w:sz w:val="24"/>
          <w:szCs w:val="20"/>
          <w:lang w:eastAsia="lt-LT"/>
        </w:rPr>
        <w:t>1 m2 įkainis</w:t>
      </w:r>
      <w:r w:rsidR="004557F6" w:rsidRPr="00C21463">
        <w:rPr>
          <w:rFonts w:eastAsia="Times New Roman" w:cs="Times New Roman"/>
          <w:sz w:val="24"/>
          <w:szCs w:val="20"/>
          <w:lang w:eastAsia="lt-LT"/>
        </w:rPr>
        <w:t xml:space="preserve"> Rangovo pateiktais duomenimis</w:t>
      </w:r>
      <w:r w:rsidRPr="00C21463">
        <w:rPr>
          <w:rFonts w:eastAsia="Times New Roman" w:cs="Times New Roman"/>
          <w:sz w:val="24"/>
          <w:szCs w:val="20"/>
          <w:lang w:eastAsia="lt-LT"/>
        </w:rPr>
        <w:t xml:space="preserve"> yra 130,00 Eur be PVM</w:t>
      </w:r>
      <w:r w:rsidR="004557F6" w:rsidRPr="00C21463">
        <w:rPr>
          <w:rFonts w:eastAsia="Times New Roman" w:cs="Times New Roman"/>
          <w:sz w:val="24"/>
          <w:szCs w:val="20"/>
          <w:lang w:eastAsia="lt-LT"/>
        </w:rPr>
        <w:t xml:space="preserve">, t. y. nepasikeitė (yra toks, koks numatytas Pasiūlyme), tačiau tuo atveju, jeigu dėl archeologinių tyrimų apimties padidėjimo Rangovo </w:t>
      </w:r>
      <w:r w:rsidR="00CC132A" w:rsidRPr="00C21463">
        <w:rPr>
          <w:rFonts w:eastAsia="Times New Roman" w:cs="Times New Roman"/>
          <w:sz w:val="24"/>
          <w:szCs w:val="20"/>
          <w:lang w:eastAsia="lt-LT"/>
        </w:rPr>
        <w:t>S</w:t>
      </w:r>
      <w:r w:rsidR="004557F6" w:rsidRPr="00C21463">
        <w:rPr>
          <w:rFonts w:eastAsia="Times New Roman" w:cs="Times New Roman"/>
          <w:sz w:val="24"/>
          <w:szCs w:val="20"/>
          <w:lang w:eastAsia="lt-LT"/>
        </w:rPr>
        <w:t>ubrangovas, vykdantis archeologinius tyrimus, Rangovui taiky</w:t>
      </w:r>
      <w:r w:rsidR="00B947B4" w:rsidRPr="00C21463">
        <w:rPr>
          <w:rFonts w:eastAsia="Times New Roman" w:cs="Times New Roman"/>
          <w:sz w:val="24"/>
          <w:szCs w:val="20"/>
          <w:lang w:eastAsia="lt-LT"/>
        </w:rPr>
        <w:t>s</w:t>
      </w:r>
      <w:r w:rsidR="004557F6" w:rsidRPr="00C21463">
        <w:rPr>
          <w:rFonts w:eastAsia="Times New Roman" w:cs="Times New Roman"/>
          <w:sz w:val="24"/>
          <w:szCs w:val="20"/>
          <w:lang w:eastAsia="lt-LT"/>
        </w:rPr>
        <w:t xml:space="preserve"> mažesnius archeologinių tyrimų įkainius (kainą), nei nurodyta Pasiūlyme, </w:t>
      </w:r>
      <w:r w:rsidR="00B947B4" w:rsidRPr="00C21463">
        <w:rPr>
          <w:rFonts w:eastAsia="Times New Roman" w:cs="Times New Roman"/>
          <w:sz w:val="24"/>
          <w:szCs w:val="20"/>
          <w:lang w:eastAsia="lt-LT"/>
        </w:rPr>
        <w:t>bus taikomas įkainis, nustatytas Sutarties 14.2 p. numatyta tvarka ir sąlygomis</w:t>
      </w:r>
      <w:r w:rsidRPr="00C21463">
        <w:rPr>
          <w:rFonts w:eastAsia="Times New Roman" w:cs="Times New Roman"/>
          <w:sz w:val="24"/>
          <w:szCs w:val="20"/>
          <w:lang w:eastAsia="lt-LT"/>
        </w:rPr>
        <w:t>. Apmokėjimas bus vykdomas</w:t>
      </w:r>
      <w:r w:rsidR="00B947B4" w:rsidRPr="00C21463">
        <w:rPr>
          <w:rFonts w:eastAsia="Times New Roman" w:cs="Times New Roman"/>
          <w:sz w:val="24"/>
          <w:szCs w:val="20"/>
          <w:lang w:eastAsia="lt-LT"/>
        </w:rPr>
        <w:t xml:space="preserve"> tik</w:t>
      </w:r>
      <w:r w:rsidRPr="00C21463">
        <w:rPr>
          <w:rFonts w:eastAsia="Times New Roman" w:cs="Times New Roman"/>
          <w:sz w:val="24"/>
          <w:szCs w:val="20"/>
          <w:lang w:eastAsia="lt-LT"/>
        </w:rPr>
        <w:t xml:space="preserve"> už faktiškai atliktus </w:t>
      </w:r>
      <w:r w:rsidR="004557F6" w:rsidRPr="00C21463">
        <w:rPr>
          <w:rFonts w:eastAsia="Times New Roman" w:cs="Times New Roman"/>
          <w:sz w:val="24"/>
          <w:szCs w:val="20"/>
          <w:lang w:eastAsia="lt-LT"/>
        </w:rPr>
        <w:t>detaliuosius archeologinius tyrimus kaip tai numatyta Sutartyje</w:t>
      </w:r>
      <w:r w:rsidRPr="00C21463">
        <w:rPr>
          <w:rFonts w:eastAsia="Times New Roman" w:cs="Times New Roman"/>
          <w:sz w:val="24"/>
          <w:szCs w:val="20"/>
          <w:lang w:eastAsia="lt-LT"/>
        </w:rPr>
        <w:t>.</w:t>
      </w:r>
    </w:p>
    <w:p w14:paraId="55D4C123" w14:textId="1435BA35" w:rsidR="00297B4E" w:rsidRPr="00C21463" w:rsidRDefault="00297B4E"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Pr>
          <w:rFonts w:eastAsia="Times New Roman" w:cs="Times New Roman"/>
          <w:sz w:val="24"/>
          <w:szCs w:val="20"/>
          <w:lang w:eastAsia="lt-LT"/>
        </w:rPr>
        <w:t xml:space="preserve">Susitarime Nr. 4 bendras preliminarus </w:t>
      </w:r>
      <w:r w:rsidRPr="00361008">
        <w:rPr>
          <w:rFonts w:eastAsia="Times New Roman" w:cs="Times New Roman"/>
          <w:sz w:val="24"/>
          <w:szCs w:val="20"/>
          <w:lang w:eastAsia="lt-LT"/>
        </w:rPr>
        <w:t>detali</w:t>
      </w:r>
      <w:r>
        <w:rPr>
          <w:rFonts w:eastAsia="Times New Roman" w:cs="Times New Roman"/>
          <w:sz w:val="24"/>
          <w:szCs w:val="20"/>
          <w:lang w:eastAsia="lt-LT"/>
        </w:rPr>
        <w:t>ųjų</w:t>
      </w:r>
      <w:r w:rsidRPr="00361008">
        <w:rPr>
          <w:rFonts w:eastAsia="Times New Roman" w:cs="Times New Roman"/>
          <w:sz w:val="24"/>
          <w:szCs w:val="20"/>
          <w:lang w:eastAsia="lt-LT"/>
        </w:rPr>
        <w:t xml:space="preserve"> archeologini</w:t>
      </w:r>
      <w:r>
        <w:rPr>
          <w:rFonts w:eastAsia="Times New Roman" w:cs="Times New Roman"/>
          <w:sz w:val="24"/>
          <w:szCs w:val="20"/>
          <w:lang w:eastAsia="lt-LT"/>
        </w:rPr>
        <w:t>ų</w:t>
      </w:r>
      <w:r w:rsidRPr="00361008">
        <w:rPr>
          <w:rFonts w:eastAsia="Times New Roman" w:cs="Times New Roman"/>
          <w:sz w:val="24"/>
          <w:szCs w:val="20"/>
          <w:lang w:eastAsia="lt-LT"/>
        </w:rPr>
        <w:t xml:space="preserve"> tyrim</w:t>
      </w:r>
      <w:r>
        <w:rPr>
          <w:rFonts w:eastAsia="Times New Roman" w:cs="Times New Roman"/>
          <w:sz w:val="24"/>
          <w:szCs w:val="20"/>
          <w:lang w:eastAsia="lt-LT"/>
        </w:rPr>
        <w:t xml:space="preserve">ų plotas sudaro apie </w:t>
      </w:r>
      <w:r w:rsidR="00C21463">
        <w:rPr>
          <w:rFonts w:eastAsia="Times New Roman" w:cs="Times New Roman"/>
          <w:sz w:val="24"/>
          <w:szCs w:val="20"/>
          <w:lang w:eastAsia="lt-LT"/>
        </w:rPr>
        <w:t>4816</w:t>
      </w:r>
      <w:r>
        <w:rPr>
          <w:rFonts w:eastAsia="Times New Roman" w:cs="Times New Roman"/>
          <w:sz w:val="24"/>
          <w:szCs w:val="20"/>
          <w:lang w:eastAsia="lt-LT"/>
        </w:rPr>
        <w:t xml:space="preserve"> </w:t>
      </w:r>
      <w:r w:rsidR="00692609" w:rsidRPr="009A6F11">
        <w:rPr>
          <w:rFonts w:eastAsia="Arial Unicode MS" w:cs="Times New Roman"/>
          <w:color w:val="000000" w:themeColor="text1"/>
        </w:rPr>
        <w:t>m</w:t>
      </w:r>
      <w:r w:rsidR="00692609" w:rsidRPr="009A6F11">
        <w:rPr>
          <w:rFonts w:eastAsia="Arial Unicode MS" w:cs="Times New Roman"/>
          <w:color w:val="000000" w:themeColor="text1"/>
          <w:vertAlign w:val="superscript"/>
        </w:rPr>
        <w:t>2</w:t>
      </w:r>
      <w:r w:rsidRPr="00C21463">
        <w:rPr>
          <w:rFonts w:eastAsia="Times New Roman" w:cs="Times New Roman"/>
          <w:sz w:val="24"/>
          <w:szCs w:val="20"/>
          <w:lang w:eastAsia="lt-LT"/>
        </w:rPr>
        <w:t xml:space="preserve">, o šių tyrimų bendra preliminari kaina – apie </w:t>
      </w:r>
      <w:r w:rsidR="00C21463" w:rsidRPr="00C21463">
        <w:rPr>
          <w:rFonts w:eastAsia="Times New Roman" w:cs="Times New Roman"/>
          <w:sz w:val="24"/>
          <w:szCs w:val="20"/>
          <w:lang w:eastAsia="lt-LT"/>
        </w:rPr>
        <w:t>626080</w:t>
      </w:r>
      <w:r w:rsidRPr="00C21463">
        <w:rPr>
          <w:rFonts w:eastAsia="Times New Roman" w:cs="Times New Roman"/>
          <w:sz w:val="24"/>
          <w:szCs w:val="20"/>
          <w:lang w:eastAsia="lt-LT"/>
        </w:rPr>
        <w:t xml:space="preserve"> Eur.</w:t>
      </w:r>
    </w:p>
    <w:p w14:paraId="5F928955" w14:textId="6AA640BF" w:rsidR="009A6F11" w:rsidRPr="00C21463" w:rsidRDefault="009A6F11"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sidRPr="00C21463">
        <w:rPr>
          <w:rFonts w:eastAsia="Times New Roman" w:cs="Times New Roman"/>
          <w:sz w:val="24"/>
          <w:szCs w:val="20"/>
          <w:lang w:eastAsia="lt-LT"/>
        </w:rPr>
        <w:t>Šalys patvirtina, jog supranta, kad</w:t>
      </w:r>
      <w:r w:rsidR="00B947B4" w:rsidRPr="00C21463">
        <w:rPr>
          <w:rFonts w:eastAsia="Times New Roman" w:cs="Times New Roman"/>
          <w:sz w:val="24"/>
          <w:szCs w:val="20"/>
          <w:lang w:eastAsia="lt-LT"/>
        </w:rPr>
        <w:t xml:space="preserve"> kai kuriose</w:t>
      </w:r>
      <w:r w:rsidRPr="00C21463">
        <w:rPr>
          <w:rFonts w:eastAsia="Times New Roman" w:cs="Times New Roman"/>
          <w:sz w:val="24"/>
          <w:szCs w:val="20"/>
          <w:lang w:eastAsia="lt-LT"/>
        </w:rPr>
        <w:t xml:space="preserve"> Susitarimo</w:t>
      </w:r>
      <w:r w:rsidR="00EF73B3">
        <w:rPr>
          <w:rFonts w:eastAsia="Times New Roman" w:cs="Times New Roman"/>
          <w:sz w:val="24"/>
          <w:szCs w:val="20"/>
          <w:lang w:eastAsia="lt-LT"/>
        </w:rPr>
        <w:t xml:space="preserve"> </w:t>
      </w:r>
      <w:r w:rsidR="00EF73B3" w:rsidRPr="00EF73B3">
        <w:rPr>
          <w:rFonts w:eastAsia="Times New Roman" w:cs="Times New Roman"/>
          <w:sz w:val="24"/>
          <w:szCs w:val="20"/>
          <w:lang w:eastAsia="lt-LT"/>
        </w:rPr>
        <w:t>Nr. 4</w:t>
      </w:r>
      <w:r w:rsidR="005F1314" w:rsidRPr="00C21463">
        <w:rPr>
          <w:rFonts w:eastAsia="Times New Roman" w:cs="Times New Roman"/>
          <w:sz w:val="24"/>
          <w:szCs w:val="20"/>
          <w:lang w:eastAsia="lt-LT"/>
        </w:rPr>
        <w:t xml:space="preserve"> </w:t>
      </w:r>
      <w:r w:rsidR="00297B4E" w:rsidRPr="00C21463">
        <w:rPr>
          <w:rFonts w:eastAsia="Times New Roman" w:cs="Times New Roman"/>
          <w:sz w:val="24"/>
          <w:szCs w:val="20"/>
          <w:lang w:eastAsia="lt-LT"/>
        </w:rPr>
        <w:t>1</w:t>
      </w:r>
      <w:r w:rsidRPr="00C21463">
        <w:rPr>
          <w:rFonts w:eastAsia="Times New Roman" w:cs="Times New Roman"/>
          <w:sz w:val="24"/>
          <w:szCs w:val="20"/>
          <w:lang w:eastAsia="lt-LT"/>
        </w:rPr>
        <w:t xml:space="preserve"> punkte</w:t>
      </w:r>
      <w:r w:rsidR="00B947B4" w:rsidRPr="00C21463">
        <w:rPr>
          <w:rFonts w:eastAsia="Times New Roman" w:cs="Times New Roman"/>
          <w:sz w:val="24"/>
          <w:szCs w:val="20"/>
          <w:lang w:eastAsia="lt-LT"/>
        </w:rPr>
        <w:t xml:space="preserve"> išdėstytose</w:t>
      </w:r>
      <w:r w:rsidRPr="00C21463">
        <w:rPr>
          <w:rFonts w:eastAsia="Times New Roman" w:cs="Times New Roman"/>
          <w:sz w:val="24"/>
          <w:szCs w:val="20"/>
          <w:lang w:eastAsia="lt-LT"/>
        </w:rPr>
        <w:t xml:space="preserve"> </w:t>
      </w:r>
      <w:r w:rsidR="00556033" w:rsidRPr="00C21463">
        <w:rPr>
          <w:rFonts w:eastAsia="Times New Roman" w:cs="Times New Roman"/>
          <w:sz w:val="24"/>
          <w:szCs w:val="20"/>
          <w:lang w:eastAsia="lt-LT"/>
        </w:rPr>
        <w:t>pozicijo</w:t>
      </w:r>
      <w:r w:rsidR="00B947B4" w:rsidRPr="00C21463">
        <w:rPr>
          <w:rFonts w:eastAsia="Times New Roman" w:cs="Times New Roman"/>
          <w:sz w:val="24"/>
          <w:szCs w:val="20"/>
          <w:lang w:eastAsia="lt-LT"/>
        </w:rPr>
        <w:t>se</w:t>
      </w:r>
      <w:r w:rsidR="00556033" w:rsidRPr="00C21463">
        <w:rPr>
          <w:rFonts w:eastAsia="Times New Roman" w:cs="Times New Roman"/>
          <w:sz w:val="24"/>
          <w:szCs w:val="20"/>
          <w:lang w:eastAsia="lt-LT"/>
        </w:rPr>
        <w:t xml:space="preserve"> yra ne</w:t>
      </w:r>
      <w:r w:rsidRPr="00C21463">
        <w:rPr>
          <w:rFonts w:eastAsia="Times New Roman" w:cs="Times New Roman"/>
          <w:sz w:val="24"/>
          <w:szCs w:val="20"/>
          <w:lang w:eastAsia="lt-LT"/>
        </w:rPr>
        <w:t xml:space="preserve">nurodyti detaliųjų archeologinių tyrimų plotų pločiai </w:t>
      </w:r>
      <w:r w:rsidR="00556033" w:rsidRPr="00C21463">
        <w:rPr>
          <w:rFonts w:eastAsia="Times New Roman" w:cs="Times New Roman"/>
          <w:sz w:val="24"/>
          <w:szCs w:val="20"/>
          <w:lang w:eastAsia="lt-LT"/>
        </w:rPr>
        <w:t>arba nurodyti</w:t>
      </w:r>
      <w:r w:rsidR="00B947B4" w:rsidRPr="00C21463">
        <w:rPr>
          <w:rFonts w:eastAsia="Times New Roman" w:cs="Times New Roman"/>
          <w:sz w:val="24"/>
          <w:szCs w:val="20"/>
          <w:lang w:eastAsia="lt-LT"/>
        </w:rPr>
        <w:t xml:space="preserve"> tik</w:t>
      </w:r>
      <w:r w:rsidR="00556033" w:rsidRPr="00C21463">
        <w:rPr>
          <w:rFonts w:eastAsia="Times New Roman" w:cs="Times New Roman"/>
          <w:sz w:val="24"/>
          <w:szCs w:val="20"/>
          <w:lang w:eastAsia="lt-LT"/>
        </w:rPr>
        <w:t xml:space="preserve"> preliminarūs pločiai</w:t>
      </w:r>
      <w:r w:rsidRPr="00C21463">
        <w:rPr>
          <w:rFonts w:eastAsia="Times New Roman" w:cs="Times New Roman"/>
          <w:sz w:val="24"/>
          <w:szCs w:val="20"/>
          <w:lang w:eastAsia="lt-LT"/>
        </w:rPr>
        <w:t xml:space="preserve">, kadangi Susitarimo sudarymo </w:t>
      </w:r>
      <w:r w:rsidR="00B947B4" w:rsidRPr="00C21463">
        <w:rPr>
          <w:rFonts w:eastAsia="Times New Roman" w:cs="Times New Roman"/>
          <w:sz w:val="24"/>
          <w:szCs w:val="20"/>
          <w:lang w:eastAsia="lt-LT"/>
        </w:rPr>
        <w:t>metu</w:t>
      </w:r>
      <w:r w:rsidRPr="00C21463">
        <w:rPr>
          <w:rFonts w:eastAsia="Times New Roman" w:cs="Times New Roman"/>
          <w:sz w:val="24"/>
          <w:szCs w:val="20"/>
          <w:lang w:eastAsia="lt-LT"/>
        </w:rPr>
        <w:t xml:space="preserve"> </w:t>
      </w:r>
      <w:r w:rsidR="00556033" w:rsidRPr="00C21463">
        <w:rPr>
          <w:rFonts w:eastAsia="Times New Roman" w:cs="Times New Roman"/>
          <w:sz w:val="24"/>
          <w:szCs w:val="20"/>
          <w:lang w:eastAsia="lt-LT"/>
        </w:rPr>
        <w:t xml:space="preserve">jie </w:t>
      </w:r>
      <w:r w:rsidRPr="00C21463">
        <w:rPr>
          <w:rFonts w:eastAsia="Times New Roman" w:cs="Times New Roman"/>
          <w:sz w:val="24"/>
          <w:szCs w:val="20"/>
          <w:lang w:eastAsia="lt-LT"/>
        </w:rPr>
        <w:t>yra nežinomi, o detalieji archeologiniai tyrimai faktiškai b</w:t>
      </w:r>
      <w:r w:rsidR="001053EA" w:rsidRPr="00C21463">
        <w:rPr>
          <w:rFonts w:eastAsia="Times New Roman" w:cs="Times New Roman"/>
          <w:sz w:val="24"/>
          <w:szCs w:val="20"/>
          <w:lang w:eastAsia="lt-LT"/>
        </w:rPr>
        <w:t xml:space="preserve">us atliekami tokio pločio ruože, </w:t>
      </w:r>
      <w:r w:rsidRPr="00C21463">
        <w:rPr>
          <w:rFonts w:eastAsia="Times New Roman" w:cs="Times New Roman"/>
          <w:sz w:val="24"/>
          <w:szCs w:val="20"/>
          <w:lang w:eastAsia="lt-LT"/>
        </w:rPr>
        <w:t>kuriame Rangovo vykdomų statybos Darbų metu bus faktiškai vykdomi žemės judinimo darbai.</w:t>
      </w:r>
    </w:p>
    <w:p w14:paraId="13AB7964" w14:textId="242EA8C7" w:rsidR="00E9257C" w:rsidRPr="00C21463" w:rsidRDefault="00B947B4"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sidRPr="00C21463">
        <w:rPr>
          <w:rFonts w:eastAsia="Times New Roman" w:cs="Times New Roman"/>
          <w:sz w:val="24"/>
          <w:szCs w:val="20"/>
          <w:lang w:eastAsia="lt-LT"/>
        </w:rPr>
        <w:t xml:space="preserve">Faktiškai atliktų papildomų detaliųjų archeologinių tyrimų verte didinama Sutarties 1.1.7 p. nurodyta Kaina bei atitinkamo Etapo kaina. </w:t>
      </w:r>
      <w:r w:rsidR="009A6F11" w:rsidRPr="00C21463">
        <w:rPr>
          <w:rFonts w:eastAsia="Times New Roman" w:cs="Times New Roman"/>
          <w:sz w:val="24"/>
          <w:szCs w:val="20"/>
          <w:lang w:eastAsia="lt-LT"/>
        </w:rPr>
        <w:t>Visos kitos S</w:t>
      </w:r>
      <w:r w:rsidR="00E9257C" w:rsidRPr="00C21463">
        <w:rPr>
          <w:rFonts w:eastAsia="Times New Roman" w:cs="Times New Roman"/>
          <w:sz w:val="24"/>
          <w:szCs w:val="20"/>
          <w:lang w:eastAsia="lt-LT"/>
        </w:rPr>
        <w:t>utarties sąlygos</w:t>
      </w:r>
      <w:r w:rsidRPr="00C21463">
        <w:rPr>
          <w:rFonts w:eastAsia="Times New Roman" w:cs="Times New Roman"/>
          <w:sz w:val="24"/>
          <w:szCs w:val="20"/>
          <w:lang w:eastAsia="lt-LT"/>
        </w:rPr>
        <w:t xml:space="preserve"> nekeičiamos ir</w:t>
      </w:r>
      <w:r w:rsidR="00E9257C" w:rsidRPr="00C21463">
        <w:rPr>
          <w:rFonts w:eastAsia="Times New Roman" w:cs="Times New Roman"/>
          <w:sz w:val="24"/>
          <w:szCs w:val="20"/>
          <w:lang w:eastAsia="lt-LT"/>
        </w:rPr>
        <w:t xml:space="preserve"> lieka galioti toliau.</w:t>
      </w:r>
    </w:p>
    <w:p w14:paraId="654A350B" w14:textId="77777777" w:rsidR="00E9257C" w:rsidRPr="00C21463" w:rsidRDefault="00E9257C"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sidRPr="00C21463">
        <w:rPr>
          <w:rFonts w:eastAsia="Times New Roman" w:cs="Times New Roman"/>
          <w:sz w:val="24"/>
          <w:szCs w:val="20"/>
          <w:lang w:eastAsia="lt-LT"/>
        </w:rPr>
        <w:t>Susitarimas įsigalioja nuo abiejų Šalių pasirašymo</w:t>
      </w:r>
      <w:r w:rsidR="009A6F11" w:rsidRPr="00C21463">
        <w:rPr>
          <w:rFonts w:eastAsia="Times New Roman" w:cs="Times New Roman"/>
          <w:sz w:val="24"/>
          <w:szCs w:val="20"/>
          <w:lang w:eastAsia="lt-LT"/>
        </w:rPr>
        <w:t xml:space="preserve"> momento ir galioja iki S</w:t>
      </w:r>
      <w:r w:rsidRPr="00C21463">
        <w:rPr>
          <w:rFonts w:eastAsia="Times New Roman" w:cs="Times New Roman"/>
          <w:sz w:val="24"/>
          <w:szCs w:val="20"/>
          <w:lang w:eastAsia="lt-LT"/>
        </w:rPr>
        <w:t>utarties galiojimo pabaigos ir yra neatsiejama jos dalis.</w:t>
      </w:r>
    </w:p>
    <w:p w14:paraId="6AE1D67D" w14:textId="77777777" w:rsidR="00E9257C" w:rsidRPr="00C21463" w:rsidRDefault="00E9257C" w:rsidP="009A6F11">
      <w:pPr>
        <w:pStyle w:val="ListParagraph"/>
        <w:numPr>
          <w:ilvl w:val="0"/>
          <w:numId w:val="4"/>
        </w:numPr>
        <w:spacing w:before="120" w:after="0" w:line="240" w:lineRule="auto"/>
        <w:contextualSpacing w:val="0"/>
        <w:jc w:val="both"/>
        <w:rPr>
          <w:rFonts w:eastAsia="Times New Roman" w:cs="Times New Roman"/>
          <w:sz w:val="24"/>
          <w:szCs w:val="20"/>
          <w:lang w:eastAsia="lt-LT"/>
        </w:rPr>
      </w:pPr>
      <w:r w:rsidRPr="00C21463">
        <w:rPr>
          <w:rFonts w:eastAsia="Times New Roman" w:cs="Times New Roman"/>
          <w:sz w:val="24"/>
          <w:szCs w:val="20"/>
          <w:lang w:eastAsia="lt-LT"/>
        </w:rPr>
        <w:t>Susitarimas pasirašytas dviem egzemplioriais, kurie turi vienodą juridinę galią, vienas Užsakovui, kitas Rangovui.</w:t>
      </w:r>
    </w:p>
    <w:p w14:paraId="74EE5E09" w14:textId="77777777" w:rsidR="00E9257C" w:rsidRPr="009A6F11" w:rsidRDefault="00E9257C" w:rsidP="009A6F11">
      <w:pPr>
        <w:tabs>
          <w:tab w:val="left" w:pos="284"/>
        </w:tabs>
        <w:spacing w:before="120" w:after="0" w:line="240" w:lineRule="auto"/>
        <w:ind w:right="283"/>
        <w:jc w:val="both"/>
        <w:rPr>
          <w:rFonts w:eastAsia="Times New Roman" w:cs="Times New Roman"/>
          <w:bCs/>
          <w:iCs/>
          <w:sz w:val="24"/>
          <w:szCs w:val="24"/>
          <w:lang w:eastAsia="lt-LT"/>
        </w:rPr>
      </w:pPr>
    </w:p>
    <w:tbl>
      <w:tblPr>
        <w:tblW w:w="0" w:type="auto"/>
        <w:tblInd w:w="250" w:type="dxa"/>
        <w:tblLook w:val="04A0" w:firstRow="1" w:lastRow="0" w:firstColumn="1" w:lastColumn="0" w:noHBand="0" w:noVBand="1"/>
      </w:tblPr>
      <w:tblGrid>
        <w:gridCol w:w="4431"/>
        <w:gridCol w:w="4432"/>
      </w:tblGrid>
      <w:tr w:rsidR="00E9257C" w:rsidRPr="009A6F11" w14:paraId="36D542E3" w14:textId="77777777" w:rsidTr="00683201">
        <w:tc>
          <w:tcPr>
            <w:tcW w:w="4431" w:type="dxa"/>
            <w:shd w:val="clear" w:color="auto" w:fill="auto"/>
          </w:tcPr>
          <w:p w14:paraId="779A7D5F" w14:textId="50BEE47E" w:rsidR="00E9257C" w:rsidRPr="009A6F11" w:rsidRDefault="00E9257C" w:rsidP="009A6F11">
            <w:pPr>
              <w:spacing w:after="0" w:line="240" w:lineRule="auto"/>
              <w:rPr>
                <w:rFonts w:eastAsia="Calibri" w:cs="Times New Roman"/>
                <w:b/>
                <w:sz w:val="24"/>
                <w:szCs w:val="24"/>
                <w:lang w:eastAsia="lt-LT"/>
              </w:rPr>
            </w:pPr>
            <w:r w:rsidRPr="009A6F11">
              <w:rPr>
                <w:rFonts w:eastAsia="Calibri" w:cs="Times New Roman"/>
                <w:b/>
                <w:sz w:val="24"/>
                <w:szCs w:val="24"/>
                <w:lang w:eastAsia="lt-LT"/>
              </w:rPr>
              <w:t>Užsakov</w:t>
            </w:r>
            <w:r w:rsidR="00B947B4">
              <w:rPr>
                <w:rFonts w:eastAsia="Calibri" w:cs="Times New Roman"/>
                <w:b/>
                <w:sz w:val="24"/>
                <w:szCs w:val="24"/>
                <w:lang w:eastAsia="lt-LT"/>
              </w:rPr>
              <w:t>o vardu</w:t>
            </w:r>
            <w:r w:rsidRPr="009A6F11">
              <w:rPr>
                <w:rFonts w:eastAsia="Calibri" w:cs="Times New Roman"/>
                <w:b/>
                <w:sz w:val="24"/>
                <w:szCs w:val="24"/>
                <w:lang w:eastAsia="lt-LT"/>
              </w:rPr>
              <w:t>:</w:t>
            </w:r>
          </w:p>
        </w:tc>
        <w:tc>
          <w:tcPr>
            <w:tcW w:w="4432" w:type="dxa"/>
            <w:shd w:val="clear" w:color="auto" w:fill="auto"/>
          </w:tcPr>
          <w:p w14:paraId="7CC89A52" w14:textId="46508BDE" w:rsidR="00E9257C" w:rsidRPr="009A6F11" w:rsidRDefault="00E9257C" w:rsidP="009A6F11">
            <w:pPr>
              <w:spacing w:after="0" w:line="240" w:lineRule="auto"/>
              <w:rPr>
                <w:rFonts w:eastAsia="Calibri" w:cs="Times New Roman"/>
                <w:b/>
                <w:sz w:val="24"/>
                <w:szCs w:val="24"/>
                <w:lang w:eastAsia="lt-LT"/>
              </w:rPr>
            </w:pPr>
            <w:r w:rsidRPr="009A6F11">
              <w:rPr>
                <w:rFonts w:eastAsia="Calibri" w:cs="Times New Roman"/>
                <w:b/>
                <w:sz w:val="24"/>
                <w:szCs w:val="24"/>
                <w:lang w:eastAsia="lt-LT"/>
              </w:rPr>
              <w:t>Rangov</w:t>
            </w:r>
            <w:r w:rsidR="00B947B4">
              <w:rPr>
                <w:rFonts w:eastAsia="Calibri" w:cs="Times New Roman"/>
                <w:b/>
                <w:sz w:val="24"/>
                <w:szCs w:val="24"/>
                <w:lang w:eastAsia="lt-LT"/>
              </w:rPr>
              <w:t>o vardu</w:t>
            </w:r>
            <w:r w:rsidRPr="009A6F11">
              <w:rPr>
                <w:rFonts w:eastAsia="Calibri" w:cs="Times New Roman"/>
                <w:b/>
                <w:sz w:val="24"/>
                <w:szCs w:val="24"/>
                <w:lang w:eastAsia="lt-LT"/>
              </w:rPr>
              <w:t>:</w:t>
            </w:r>
          </w:p>
        </w:tc>
      </w:tr>
      <w:tr w:rsidR="00E9257C" w:rsidRPr="009A6F11" w14:paraId="08D7E9EB" w14:textId="77777777" w:rsidTr="00683201">
        <w:tc>
          <w:tcPr>
            <w:tcW w:w="4431" w:type="dxa"/>
            <w:shd w:val="clear" w:color="auto" w:fill="auto"/>
          </w:tcPr>
          <w:p w14:paraId="2E73C520"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AB „Amber Grid“</w:t>
            </w:r>
          </w:p>
          <w:p w14:paraId="2A5E1B1E" w14:textId="77777777" w:rsidR="00E9257C" w:rsidRPr="009A6F11" w:rsidRDefault="000669A7"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Generalinis </w:t>
            </w:r>
            <w:r w:rsidR="00E9257C" w:rsidRPr="009A6F11">
              <w:rPr>
                <w:rFonts w:eastAsia="Calibri" w:cs="Times New Roman"/>
                <w:sz w:val="24"/>
                <w:szCs w:val="24"/>
                <w:lang w:eastAsia="lt-LT"/>
              </w:rPr>
              <w:t>direktorius</w:t>
            </w:r>
          </w:p>
        </w:tc>
        <w:tc>
          <w:tcPr>
            <w:tcW w:w="4432" w:type="dxa"/>
            <w:shd w:val="clear" w:color="auto" w:fill="auto"/>
          </w:tcPr>
          <w:p w14:paraId="7743141A"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UAB „Alvora“ </w:t>
            </w:r>
          </w:p>
          <w:p w14:paraId="63673137"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r>
      <w:tr w:rsidR="00E9257C" w:rsidRPr="009A6F11" w14:paraId="2B9FD13D" w14:textId="77777777" w:rsidTr="00683201">
        <w:tc>
          <w:tcPr>
            <w:tcW w:w="4431" w:type="dxa"/>
            <w:shd w:val="clear" w:color="auto" w:fill="auto"/>
          </w:tcPr>
          <w:p w14:paraId="5E35952A" w14:textId="77777777" w:rsidR="00E9257C" w:rsidRPr="009A6F11" w:rsidRDefault="001358E4"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Nemunas Biknius</w:t>
            </w:r>
          </w:p>
          <w:p w14:paraId="48A86052" w14:textId="77777777" w:rsidR="00E9257C" w:rsidRPr="009A6F11" w:rsidRDefault="00E9257C" w:rsidP="009A6F11">
            <w:pPr>
              <w:spacing w:after="0" w:line="240" w:lineRule="auto"/>
              <w:rPr>
                <w:rFonts w:eastAsia="Calibri" w:cs="Times New Roman"/>
                <w:sz w:val="24"/>
                <w:szCs w:val="24"/>
                <w:lang w:eastAsia="lt-LT"/>
              </w:rPr>
            </w:pPr>
          </w:p>
        </w:tc>
        <w:tc>
          <w:tcPr>
            <w:tcW w:w="4432" w:type="dxa"/>
            <w:shd w:val="clear" w:color="auto" w:fill="auto"/>
          </w:tcPr>
          <w:p w14:paraId="7E84117C" w14:textId="77777777" w:rsidR="00E9257C" w:rsidRPr="009A6F11" w:rsidRDefault="000669A7" w:rsidP="009A6F11">
            <w:pPr>
              <w:spacing w:after="0" w:line="240" w:lineRule="auto"/>
              <w:rPr>
                <w:rFonts w:eastAsia="Calibri" w:cs="Times New Roman"/>
                <w:sz w:val="24"/>
                <w:szCs w:val="24"/>
                <w:highlight w:val="yellow"/>
                <w:lang w:eastAsia="lt-LT"/>
              </w:rPr>
            </w:pPr>
            <w:r w:rsidRPr="009A6F11">
              <w:rPr>
                <w:rFonts w:cs="Calibri"/>
                <w:sz w:val="24"/>
                <w:szCs w:val="24"/>
              </w:rPr>
              <w:t>Tomas Šidlauskas</w:t>
            </w:r>
          </w:p>
        </w:tc>
      </w:tr>
      <w:tr w:rsidR="00E9257C" w:rsidRPr="009A6F11" w14:paraId="1CB3194C" w14:textId="77777777" w:rsidTr="00683201">
        <w:trPr>
          <w:trHeight w:val="68"/>
        </w:trPr>
        <w:tc>
          <w:tcPr>
            <w:tcW w:w="4431" w:type="dxa"/>
            <w:shd w:val="clear" w:color="auto" w:fill="auto"/>
          </w:tcPr>
          <w:p w14:paraId="2D2AC922"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c>
          <w:tcPr>
            <w:tcW w:w="4432" w:type="dxa"/>
            <w:shd w:val="clear" w:color="auto" w:fill="auto"/>
          </w:tcPr>
          <w:p w14:paraId="5D72EB20"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r>
    </w:tbl>
    <w:p w14:paraId="1DDE36F4" w14:textId="77777777" w:rsidR="00E9257C" w:rsidRPr="009A6F11" w:rsidRDefault="00E9257C" w:rsidP="009A6F11">
      <w:pPr>
        <w:spacing w:before="120" w:after="0" w:line="240" w:lineRule="auto"/>
        <w:rPr>
          <w:rFonts w:eastAsia="Times New Roman" w:cs="Times New Roman"/>
          <w:sz w:val="24"/>
          <w:szCs w:val="24"/>
          <w:lang w:eastAsia="lt-LT"/>
        </w:rPr>
      </w:pPr>
    </w:p>
    <w:p w14:paraId="70EEE6E9" w14:textId="77777777" w:rsidR="00E9257C" w:rsidRPr="009A6F11" w:rsidRDefault="00E9257C" w:rsidP="009A6F11">
      <w:pPr>
        <w:spacing w:before="120" w:after="0" w:line="240" w:lineRule="auto"/>
        <w:jc w:val="both"/>
        <w:rPr>
          <w:sz w:val="24"/>
          <w:szCs w:val="24"/>
        </w:rPr>
      </w:pPr>
    </w:p>
    <w:p w14:paraId="181D624C" w14:textId="77777777" w:rsidR="00E9257C" w:rsidRPr="009A6F11" w:rsidRDefault="00E9257C" w:rsidP="009A6F11">
      <w:pPr>
        <w:spacing w:before="120" w:after="0" w:line="240" w:lineRule="auto"/>
        <w:jc w:val="both"/>
        <w:rPr>
          <w:sz w:val="24"/>
          <w:szCs w:val="24"/>
        </w:rPr>
      </w:pPr>
    </w:p>
    <w:p w14:paraId="3A50B595" w14:textId="77777777" w:rsidR="00B96E84" w:rsidRPr="009A6F11" w:rsidRDefault="00B96E84" w:rsidP="009A6F11">
      <w:pPr>
        <w:spacing w:before="120"/>
      </w:pPr>
    </w:p>
    <w:sectPr w:rsidR="00B96E84" w:rsidRPr="009A6F11" w:rsidSect="00F12BB1">
      <w:headerReference w:type="even" r:id="rId8"/>
      <w:footerReference w:type="default" r:id="rId9"/>
      <w:footerReference w:type="first" r:id="rId10"/>
      <w:pgSz w:w="11907" w:h="16840" w:code="9"/>
      <w:pgMar w:top="992" w:right="567" w:bottom="992" w:left="1276" w:header="720" w:footer="8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C53DF" w14:textId="77777777" w:rsidR="006E4E42" w:rsidRDefault="006E4E42">
      <w:pPr>
        <w:spacing w:after="0" w:line="240" w:lineRule="auto"/>
      </w:pPr>
      <w:r>
        <w:separator/>
      </w:r>
    </w:p>
  </w:endnote>
  <w:endnote w:type="continuationSeparator" w:id="0">
    <w:p w14:paraId="67DCF93D" w14:textId="77777777" w:rsidR="006E4E42" w:rsidRDefault="006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59997"/>
      <w:docPartObj>
        <w:docPartGallery w:val="Page Numbers (Bottom of Page)"/>
        <w:docPartUnique/>
      </w:docPartObj>
    </w:sdtPr>
    <w:sdtEndPr>
      <w:rPr>
        <w:noProof/>
      </w:rPr>
    </w:sdtEndPr>
    <w:sdtContent>
      <w:p w14:paraId="04856194" w14:textId="77777777" w:rsidR="00445EE7" w:rsidRPr="00376FD5" w:rsidRDefault="00BC7CD8" w:rsidP="00656355">
        <w:pPr>
          <w:pStyle w:val="Footer"/>
          <w:ind w:right="283"/>
          <w:jc w:val="right"/>
        </w:pPr>
        <w:r w:rsidRPr="00376FD5">
          <w:fldChar w:fldCharType="begin"/>
        </w:r>
        <w:r w:rsidRPr="00376FD5">
          <w:instrText xml:space="preserve"> PAGE   \* MERGEFORMAT </w:instrText>
        </w:r>
        <w:r w:rsidRPr="00376FD5">
          <w:fldChar w:fldCharType="separate"/>
        </w:r>
        <w:r w:rsidR="00FD6D8A">
          <w:rPr>
            <w:noProof/>
          </w:rPr>
          <w:t>4</w:t>
        </w:r>
        <w:r w:rsidRPr="00376FD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3705" w14:textId="77777777" w:rsidR="00445EE7" w:rsidRPr="00376FD5" w:rsidRDefault="00FE7663">
    <w:pPr>
      <w:pStyle w:val="Footer"/>
      <w:jc w:val="center"/>
    </w:pPr>
  </w:p>
  <w:p w14:paraId="0ADE7929" w14:textId="77777777" w:rsidR="00445EE7" w:rsidRPr="00376FD5" w:rsidRDefault="00FE7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FEEC5" w14:textId="77777777" w:rsidR="006E4E42" w:rsidRDefault="006E4E42">
      <w:pPr>
        <w:spacing w:after="0" w:line="240" w:lineRule="auto"/>
      </w:pPr>
      <w:r>
        <w:separator/>
      </w:r>
    </w:p>
  </w:footnote>
  <w:footnote w:type="continuationSeparator" w:id="0">
    <w:p w14:paraId="0E27D1A8" w14:textId="77777777" w:rsidR="006E4E42" w:rsidRDefault="006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6959" w14:textId="77777777" w:rsidR="00445EE7" w:rsidRDefault="00BC7C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C2E59F7" w14:textId="77777777" w:rsidR="00445EE7" w:rsidRDefault="00FE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002"/>
    <w:multiLevelType w:val="multilevel"/>
    <w:tmpl w:val="DF32015C"/>
    <w:lvl w:ilvl="0">
      <w:start w:val="2"/>
      <w:numFmt w:val="decimal"/>
      <w:lvlText w:val="%1."/>
      <w:lvlJc w:val="left"/>
      <w:pPr>
        <w:ind w:left="405" w:hanging="405"/>
      </w:pPr>
      <w:rPr>
        <w:rFonts w:hint="default"/>
        <w:color w:val="auto"/>
      </w:rPr>
    </w:lvl>
    <w:lvl w:ilvl="1">
      <w:start w:val="1"/>
      <w:numFmt w:val="decimal"/>
      <w:lvlText w:val="%1.%2."/>
      <w:lvlJc w:val="left"/>
      <w:pPr>
        <w:ind w:left="1408" w:hanging="405"/>
      </w:pPr>
      <w:rPr>
        <w:rFonts w:hint="default"/>
        <w:color w:val="auto"/>
      </w:rPr>
    </w:lvl>
    <w:lvl w:ilvl="2">
      <w:start w:val="1"/>
      <w:numFmt w:val="decimal"/>
      <w:lvlText w:val="%1.%2.%3."/>
      <w:lvlJc w:val="left"/>
      <w:pPr>
        <w:ind w:left="2726" w:hanging="720"/>
      </w:pPr>
      <w:rPr>
        <w:rFonts w:hint="default"/>
        <w:color w:val="auto"/>
      </w:rPr>
    </w:lvl>
    <w:lvl w:ilvl="3">
      <w:start w:val="1"/>
      <w:numFmt w:val="decimal"/>
      <w:lvlText w:val="%1.%2.%3.%4."/>
      <w:lvlJc w:val="left"/>
      <w:pPr>
        <w:ind w:left="3729" w:hanging="720"/>
      </w:pPr>
      <w:rPr>
        <w:rFonts w:hint="default"/>
        <w:color w:val="auto"/>
      </w:rPr>
    </w:lvl>
    <w:lvl w:ilvl="4">
      <w:start w:val="1"/>
      <w:numFmt w:val="decimal"/>
      <w:lvlText w:val="%1.%2.%3.%4.%5."/>
      <w:lvlJc w:val="left"/>
      <w:pPr>
        <w:ind w:left="5092" w:hanging="1080"/>
      </w:pPr>
      <w:rPr>
        <w:rFonts w:hint="default"/>
        <w:color w:val="auto"/>
      </w:rPr>
    </w:lvl>
    <w:lvl w:ilvl="5">
      <w:start w:val="1"/>
      <w:numFmt w:val="decimal"/>
      <w:lvlText w:val="%1.%2.%3.%4.%5.%6."/>
      <w:lvlJc w:val="left"/>
      <w:pPr>
        <w:ind w:left="6095" w:hanging="1080"/>
      </w:pPr>
      <w:rPr>
        <w:rFonts w:hint="default"/>
        <w:color w:val="auto"/>
      </w:rPr>
    </w:lvl>
    <w:lvl w:ilvl="6">
      <w:start w:val="1"/>
      <w:numFmt w:val="decimal"/>
      <w:lvlText w:val="%1.%2.%3.%4.%5.%6.%7."/>
      <w:lvlJc w:val="left"/>
      <w:pPr>
        <w:ind w:left="7458" w:hanging="1440"/>
      </w:pPr>
      <w:rPr>
        <w:rFonts w:hint="default"/>
        <w:color w:val="auto"/>
      </w:rPr>
    </w:lvl>
    <w:lvl w:ilvl="7">
      <w:start w:val="1"/>
      <w:numFmt w:val="decimal"/>
      <w:lvlText w:val="%1.%2.%3.%4.%5.%6.%7.%8."/>
      <w:lvlJc w:val="left"/>
      <w:pPr>
        <w:ind w:left="8461" w:hanging="1440"/>
      </w:pPr>
      <w:rPr>
        <w:rFonts w:hint="default"/>
        <w:color w:val="auto"/>
      </w:rPr>
    </w:lvl>
    <w:lvl w:ilvl="8">
      <w:start w:val="1"/>
      <w:numFmt w:val="decimal"/>
      <w:lvlText w:val="%1.%2.%3.%4.%5.%6.%7.%8.%9."/>
      <w:lvlJc w:val="left"/>
      <w:pPr>
        <w:ind w:left="9824" w:hanging="1800"/>
      </w:pPr>
      <w:rPr>
        <w:rFonts w:hint="default"/>
        <w:color w:val="auto"/>
      </w:rPr>
    </w:lvl>
  </w:abstractNum>
  <w:abstractNum w:abstractNumId="1" w15:restartNumberingAfterBreak="0">
    <w:nsid w:val="173B6B46"/>
    <w:multiLevelType w:val="hybridMultilevel"/>
    <w:tmpl w:val="6A28D7DE"/>
    <w:lvl w:ilvl="0" w:tplc="A148B7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F9471DC"/>
    <w:multiLevelType w:val="multilevel"/>
    <w:tmpl w:val="061A52F8"/>
    <w:lvl w:ilvl="0">
      <w:start w:val="1"/>
      <w:numFmt w:val="decimal"/>
      <w:lvlText w:val="%1."/>
      <w:lvlJc w:val="left"/>
      <w:pPr>
        <w:ind w:left="1723" w:hanging="360"/>
      </w:pPr>
    </w:lvl>
    <w:lvl w:ilvl="1">
      <w:start w:val="1"/>
      <w:numFmt w:val="decimal"/>
      <w:isLgl/>
      <w:lvlText w:val="%1.%2."/>
      <w:lvlJc w:val="left"/>
      <w:pPr>
        <w:ind w:left="2098" w:hanging="735"/>
      </w:pPr>
      <w:rPr>
        <w:rFonts w:eastAsia="Arial Unicode MS" w:hint="default"/>
      </w:rPr>
    </w:lvl>
    <w:lvl w:ilvl="2">
      <w:start w:val="14"/>
      <w:numFmt w:val="decimal"/>
      <w:isLgl/>
      <w:lvlText w:val="%1.%2.%3."/>
      <w:lvlJc w:val="left"/>
      <w:pPr>
        <w:ind w:left="2098" w:hanging="735"/>
      </w:pPr>
      <w:rPr>
        <w:rFonts w:eastAsia="Arial Unicode MS" w:hint="default"/>
      </w:rPr>
    </w:lvl>
    <w:lvl w:ilvl="3">
      <w:start w:val="1"/>
      <w:numFmt w:val="decimal"/>
      <w:isLgl/>
      <w:lvlText w:val="%1.%2.%3.%4."/>
      <w:lvlJc w:val="left"/>
      <w:pPr>
        <w:ind w:left="2098" w:hanging="735"/>
      </w:pPr>
      <w:rPr>
        <w:rFonts w:eastAsia="Arial Unicode MS" w:hint="default"/>
      </w:rPr>
    </w:lvl>
    <w:lvl w:ilvl="4">
      <w:start w:val="1"/>
      <w:numFmt w:val="decimal"/>
      <w:isLgl/>
      <w:lvlText w:val="%1.%2.%3.%4.%5."/>
      <w:lvlJc w:val="left"/>
      <w:pPr>
        <w:ind w:left="2443" w:hanging="1080"/>
      </w:pPr>
      <w:rPr>
        <w:rFonts w:eastAsia="Arial Unicode MS" w:hint="default"/>
      </w:rPr>
    </w:lvl>
    <w:lvl w:ilvl="5">
      <w:start w:val="1"/>
      <w:numFmt w:val="decimal"/>
      <w:isLgl/>
      <w:lvlText w:val="%1.%2.%3.%4.%5.%6."/>
      <w:lvlJc w:val="left"/>
      <w:pPr>
        <w:ind w:left="2443" w:hanging="1080"/>
      </w:pPr>
      <w:rPr>
        <w:rFonts w:eastAsia="Arial Unicode MS" w:hint="default"/>
      </w:rPr>
    </w:lvl>
    <w:lvl w:ilvl="6">
      <w:start w:val="1"/>
      <w:numFmt w:val="decimal"/>
      <w:isLgl/>
      <w:lvlText w:val="%1.%2.%3.%4.%5.%6.%7."/>
      <w:lvlJc w:val="left"/>
      <w:pPr>
        <w:ind w:left="2803" w:hanging="1440"/>
      </w:pPr>
      <w:rPr>
        <w:rFonts w:eastAsia="Arial Unicode MS" w:hint="default"/>
      </w:rPr>
    </w:lvl>
    <w:lvl w:ilvl="7">
      <w:start w:val="1"/>
      <w:numFmt w:val="decimal"/>
      <w:isLgl/>
      <w:lvlText w:val="%1.%2.%3.%4.%5.%6.%7.%8."/>
      <w:lvlJc w:val="left"/>
      <w:pPr>
        <w:ind w:left="2803" w:hanging="1440"/>
      </w:pPr>
      <w:rPr>
        <w:rFonts w:eastAsia="Arial Unicode MS" w:hint="default"/>
      </w:rPr>
    </w:lvl>
    <w:lvl w:ilvl="8">
      <w:start w:val="1"/>
      <w:numFmt w:val="decimal"/>
      <w:isLgl/>
      <w:lvlText w:val="%1.%2.%3.%4.%5.%6.%7.%8.%9."/>
      <w:lvlJc w:val="left"/>
      <w:pPr>
        <w:ind w:left="3163" w:hanging="1800"/>
      </w:pPr>
      <w:rPr>
        <w:rFonts w:eastAsia="Arial Unicode MS" w:hint="default"/>
      </w:rPr>
    </w:lvl>
  </w:abstractNum>
  <w:abstractNum w:abstractNumId="3" w15:restartNumberingAfterBreak="0">
    <w:nsid w:val="41DA1BAE"/>
    <w:multiLevelType w:val="multilevel"/>
    <w:tmpl w:val="4BCA0216"/>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8329D6"/>
    <w:multiLevelType w:val="multilevel"/>
    <w:tmpl w:val="061A52F8"/>
    <w:lvl w:ilvl="0">
      <w:start w:val="1"/>
      <w:numFmt w:val="decimal"/>
      <w:lvlText w:val="%1."/>
      <w:lvlJc w:val="left"/>
      <w:pPr>
        <w:ind w:left="1723" w:hanging="360"/>
      </w:pPr>
    </w:lvl>
    <w:lvl w:ilvl="1">
      <w:start w:val="1"/>
      <w:numFmt w:val="decimal"/>
      <w:isLgl/>
      <w:lvlText w:val="%1.%2."/>
      <w:lvlJc w:val="left"/>
      <w:pPr>
        <w:ind w:left="2098" w:hanging="735"/>
      </w:pPr>
      <w:rPr>
        <w:rFonts w:eastAsia="Arial Unicode MS" w:hint="default"/>
      </w:rPr>
    </w:lvl>
    <w:lvl w:ilvl="2">
      <w:start w:val="14"/>
      <w:numFmt w:val="decimal"/>
      <w:isLgl/>
      <w:lvlText w:val="%1.%2.%3."/>
      <w:lvlJc w:val="left"/>
      <w:pPr>
        <w:ind w:left="2098" w:hanging="735"/>
      </w:pPr>
      <w:rPr>
        <w:rFonts w:eastAsia="Arial Unicode MS" w:hint="default"/>
      </w:rPr>
    </w:lvl>
    <w:lvl w:ilvl="3">
      <w:start w:val="1"/>
      <w:numFmt w:val="decimal"/>
      <w:isLgl/>
      <w:lvlText w:val="%1.%2.%3.%4."/>
      <w:lvlJc w:val="left"/>
      <w:pPr>
        <w:ind w:left="2098" w:hanging="735"/>
      </w:pPr>
      <w:rPr>
        <w:rFonts w:eastAsia="Arial Unicode MS" w:hint="default"/>
      </w:rPr>
    </w:lvl>
    <w:lvl w:ilvl="4">
      <w:start w:val="1"/>
      <w:numFmt w:val="decimal"/>
      <w:isLgl/>
      <w:lvlText w:val="%1.%2.%3.%4.%5."/>
      <w:lvlJc w:val="left"/>
      <w:pPr>
        <w:ind w:left="2443" w:hanging="1080"/>
      </w:pPr>
      <w:rPr>
        <w:rFonts w:eastAsia="Arial Unicode MS" w:hint="default"/>
      </w:rPr>
    </w:lvl>
    <w:lvl w:ilvl="5">
      <w:start w:val="1"/>
      <w:numFmt w:val="decimal"/>
      <w:isLgl/>
      <w:lvlText w:val="%1.%2.%3.%4.%5.%6."/>
      <w:lvlJc w:val="left"/>
      <w:pPr>
        <w:ind w:left="2443" w:hanging="1080"/>
      </w:pPr>
      <w:rPr>
        <w:rFonts w:eastAsia="Arial Unicode MS" w:hint="default"/>
      </w:rPr>
    </w:lvl>
    <w:lvl w:ilvl="6">
      <w:start w:val="1"/>
      <w:numFmt w:val="decimal"/>
      <w:isLgl/>
      <w:lvlText w:val="%1.%2.%3.%4.%5.%6.%7."/>
      <w:lvlJc w:val="left"/>
      <w:pPr>
        <w:ind w:left="2803" w:hanging="1440"/>
      </w:pPr>
      <w:rPr>
        <w:rFonts w:eastAsia="Arial Unicode MS" w:hint="default"/>
      </w:rPr>
    </w:lvl>
    <w:lvl w:ilvl="7">
      <w:start w:val="1"/>
      <w:numFmt w:val="decimal"/>
      <w:isLgl/>
      <w:lvlText w:val="%1.%2.%3.%4.%5.%6.%7.%8."/>
      <w:lvlJc w:val="left"/>
      <w:pPr>
        <w:ind w:left="2803" w:hanging="1440"/>
      </w:pPr>
      <w:rPr>
        <w:rFonts w:eastAsia="Arial Unicode MS" w:hint="default"/>
      </w:rPr>
    </w:lvl>
    <w:lvl w:ilvl="8">
      <w:start w:val="1"/>
      <w:numFmt w:val="decimal"/>
      <w:isLgl/>
      <w:lvlText w:val="%1.%2.%3.%4.%5.%6.%7.%8.%9."/>
      <w:lvlJc w:val="left"/>
      <w:pPr>
        <w:ind w:left="3163" w:hanging="1800"/>
      </w:pPr>
      <w:rPr>
        <w:rFonts w:eastAsia="Arial Unicode MS" w:hint="default"/>
      </w:rPr>
    </w:lvl>
  </w:abstractNum>
  <w:num w:numId="1">
    <w:abstractNumId w:val="3"/>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hint="default"/>
        </w:rPr>
      </w:lvl>
    </w:lvlOverride>
    <w:lvlOverride w:ilvl="2">
      <w:lvl w:ilvl="2">
        <w:start w:val="1"/>
        <w:numFmt w:val="decimal"/>
        <w:lvlText w:val="%1.%2.%3."/>
        <w:lvlJc w:val="left"/>
        <w:pPr>
          <w:tabs>
            <w:tab w:val="num" w:pos="964"/>
          </w:tabs>
          <w:ind w:left="964" w:hanging="680"/>
        </w:pPr>
        <w:rPr>
          <w:rFonts w:hint="default"/>
        </w:rPr>
      </w:lvl>
    </w:lvlOverride>
    <w:lvlOverride w:ilvl="3">
      <w:lvl w:ilvl="3">
        <w:start w:val="1"/>
        <w:numFmt w:val="decimal"/>
        <w:lvlText w:val="%1.%2.%3.%4."/>
        <w:lvlJc w:val="left"/>
        <w:pPr>
          <w:tabs>
            <w:tab w:val="num" w:pos="1928"/>
          </w:tabs>
          <w:ind w:left="1928" w:hanging="851"/>
        </w:pPr>
        <w:rPr>
          <w:rFonts w:hint="default"/>
          <w:sz w:val="24"/>
          <w:szCs w:val="24"/>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7C"/>
    <w:rsid w:val="000669A7"/>
    <w:rsid w:val="000A0D97"/>
    <w:rsid w:val="000F35B3"/>
    <w:rsid w:val="000F38A2"/>
    <w:rsid w:val="001053EA"/>
    <w:rsid w:val="00105DCE"/>
    <w:rsid w:val="00110F8A"/>
    <w:rsid w:val="001358E4"/>
    <w:rsid w:val="001664E8"/>
    <w:rsid w:val="00167D61"/>
    <w:rsid w:val="001B63A1"/>
    <w:rsid w:val="00203451"/>
    <w:rsid w:val="0020517D"/>
    <w:rsid w:val="00237DD6"/>
    <w:rsid w:val="00297B4E"/>
    <w:rsid w:val="00361008"/>
    <w:rsid w:val="003A679F"/>
    <w:rsid w:val="00413CBF"/>
    <w:rsid w:val="00413FDD"/>
    <w:rsid w:val="004153BD"/>
    <w:rsid w:val="004557F6"/>
    <w:rsid w:val="0049454D"/>
    <w:rsid w:val="004A7340"/>
    <w:rsid w:val="004D3DE0"/>
    <w:rsid w:val="00556033"/>
    <w:rsid w:val="0056740C"/>
    <w:rsid w:val="005B1CB0"/>
    <w:rsid w:val="005F1314"/>
    <w:rsid w:val="006004B9"/>
    <w:rsid w:val="00602A5D"/>
    <w:rsid w:val="006160DB"/>
    <w:rsid w:val="00616A05"/>
    <w:rsid w:val="00616C13"/>
    <w:rsid w:val="00623F94"/>
    <w:rsid w:val="00664761"/>
    <w:rsid w:val="0066560C"/>
    <w:rsid w:val="00683631"/>
    <w:rsid w:val="00692609"/>
    <w:rsid w:val="006A3173"/>
    <w:rsid w:val="006E4E42"/>
    <w:rsid w:val="006E6D39"/>
    <w:rsid w:val="006F6E41"/>
    <w:rsid w:val="00733CC0"/>
    <w:rsid w:val="00736483"/>
    <w:rsid w:val="007C3322"/>
    <w:rsid w:val="007E7F51"/>
    <w:rsid w:val="00807552"/>
    <w:rsid w:val="00850588"/>
    <w:rsid w:val="008A3EC3"/>
    <w:rsid w:val="00900A03"/>
    <w:rsid w:val="00925D32"/>
    <w:rsid w:val="009317CF"/>
    <w:rsid w:val="00937439"/>
    <w:rsid w:val="009430BF"/>
    <w:rsid w:val="00976D09"/>
    <w:rsid w:val="00983487"/>
    <w:rsid w:val="009A6F11"/>
    <w:rsid w:val="00AF3551"/>
    <w:rsid w:val="00B7385B"/>
    <w:rsid w:val="00B74426"/>
    <w:rsid w:val="00B947B4"/>
    <w:rsid w:val="00B96E84"/>
    <w:rsid w:val="00BA054E"/>
    <w:rsid w:val="00BB767D"/>
    <w:rsid w:val="00BC41B9"/>
    <w:rsid w:val="00BC7CD8"/>
    <w:rsid w:val="00C15E8B"/>
    <w:rsid w:val="00C21463"/>
    <w:rsid w:val="00CC132A"/>
    <w:rsid w:val="00CC6EA1"/>
    <w:rsid w:val="00D13636"/>
    <w:rsid w:val="00D91CAF"/>
    <w:rsid w:val="00E03BB4"/>
    <w:rsid w:val="00E30D26"/>
    <w:rsid w:val="00E616DA"/>
    <w:rsid w:val="00E72E85"/>
    <w:rsid w:val="00E9257C"/>
    <w:rsid w:val="00EF308F"/>
    <w:rsid w:val="00EF73B3"/>
    <w:rsid w:val="00F13EBE"/>
    <w:rsid w:val="00F144C4"/>
    <w:rsid w:val="00F43474"/>
    <w:rsid w:val="00FB06DD"/>
    <w:rsid w:val="00FB15B6"/>
    <w:rsid w:val="00FD6D8A"/>
    <w:rsid w:val="00FE7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6836F"/>
  <w15:chartTrackingRefBased/>
  <w15:docId w15:val="{3BB1BC26-F399-476C-92D5-1A07ADB4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25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257C"/>
  </w:style>
  <w:style w:type="paragraph" w:styleId="Footer">
    <w:name w:val="footer"/>
    <w:basedOn w:val="Normal"/>
    <w:link w:val="FooterChar"/>
    <w:uiPriority w:val="99"/>
    <w:semiHidden/>
    <w:unhideWhenUsed/>
    <w:rsid w:val="00E925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257C"/>
  </w:style>
  <w:style w:type="character" w:styleId="PageNumber">
    <w:name w:val="page number"/>
    <w:basedOn w:val="DefaultParagraphFont"/>
    <w:rsid w:val="00E9257C"/>
  </w:style>
  <w:style w:type="paragraph" w:styleId="ListParagraph">
    <w:name w:val="List Paragraph"/>
    <w:basedOn w:val="Normal"/>
    <w:uiPriority w:val="34"/>
    <w:qFormat/>
    <w:rsid w:val="00F144C4"/>
    <w:pPr>
      <w:ind w:left="720"/>
      <w:contextualSpacing/>
    </w:pPr>
  </w:style>
  <w:style w:type="character" w:styleId="CommentReference">
    <w:name w:val="annotation reference"/>
    <w:basedOn w:val="DefaultParagraphFont"/>
    <w:uiPriority w:val="99"/>
    <w:semiHidden/>
    <w:unhideWhenUsed/>
    <w:rsid w:val="00683631"/>
    <w:rPr>
      <w:sz w:val="16"/>
      <w:szCs w:val="16"/>
    </w:rPr>
  </w:style>
  <w:style w:type="paragraph" w:styleId="CommentText">
    <w:name w:val="annotation text"/>
    <w:basedOn w:val="Normal"/>
    <w:link w:val="CommentTextChar"/>
    <w:uiPriority w:val="99"/>
    <w:semiHidden/>
    <w:unhideWhenUsed/>
    <w:rsid w:val="00683631"/>
    <w:pPr>
      <w:spacing w:line="240" w:lineRule="auto"/>
    </w:pPr>
    <w:rPr>
      <w:sz w:val="20"/>
      <w:szCs w:val="20"/>
    </w:rPr>
  </w:style>
  <w:style w:type="character" w:customStyle="1" w:styleId="CommentTextChar">
    <w:name w:val="Comment Text Char"/>
    <w:basedOn w:val="DefaultParagraphFont"/>
    <w:link w:val="CommentText"/>
    <w:uiPriority w:val="99"/>
    <w:semiHidden/>
    <w:rsid w:val="00683631"/>
    <w:rPr>
      <w:sz w:val="20"/>
      <w:szCs w:val="20"/>
    </w:rPr>
  </w:style>
  <w:style w:type="paragraph" w:styleId="CommentSubject">
    <w:name w:val="annotation subject"/>
    <w:basedOn w:val="CommentText"/>
    <w:next w:val="CommentText"/>
    <w:link w:val="CommentSubjectChar"/>
    <w:uiPriority w:val="99"/>
    <w:semiHidden/>
    <w:unhideWhenUsed/>
    <w:rsid w:val="00683631"/>
    <w:rPr>
      <w:b/>
      <w:bCs/>
    </w:rPr>
  </w:style>
  <w:style w:type="character" w:customStyle="1" w:styleId="CommentSubjectChar">
    <w:name w:val="Comment Subject Char"/>
    <w:basedOn w:val="CommentTextChar"/>
    <w:link w:val="CommentSubject"/>
    <w:uiPriority w:val="99"/>
    <w:semiHidden/>
    <w:rsid w:val="00683631"/>
    <w:rPr>
      <w:b/>
      <w:bCs/>
      <w:sz w:val="20"/>
      <w:szCs w:val="20"/>
    </w:rPr>
  </w:style>
  <w:style w:type="paragraph" w:styleId="BalloonText">
    <w:name w:val="Balloon Text"/>
    <w:basedOn w:val="Normal"/>
    <w:link w:val="BalloonTextChar"/>
    <w:uiPriority w:val="99"/>
    <w:semiHidden/>
    <w:unhideWhenUsed/>
    <w:rsid w:val="00683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6383">
      <w:bodyDiv w:val="1"/>
      <w:marLeft w:val="0"/>
      <w:marRight w:val="0"/>
      <w:marTop w:val="0"/>
      <w:marBottom w:val="0"/>
      <w:divBdr>
        <w:top w:val="none" w:sz="0" w:space="0" w:color="auto"/>
        <w:left w:val="none" w:sz="0" w:space="0" w:color="auto"/>
        <w:bottom w:val="none" w:sz="0" w:space="0" w:color="auto"/>
        <w:right w:val="none" w:sz="0" w:space="0" w:color="auto"/>
      </w:divBdr>
    </w:div>
    <w:div w:id="188495178">
      <w:bodyDiv w:val="1"/>
      <w:marLeft w:val="0"/>
      <w:marRight w:val="0"/>
      <w:marTop w:val="0"/>
      <w:marBottom w:val="0"/>
      <w:divBdr>
        <w:top w:val="none" w:sz="0" w:space="0" w:color="auto"/>
        <w:left w:val="none" w:sz="0" w:space="0" w:color="auto"/>
        <w:bottom w:val="none" w:sz="0" w:space="0" w:color="auto"/>
        <w:right w:val="none" w:sz="0" w:space="0" w:color="auto"/>
      </w:divBdr>
    </w:div>
    <w:div w:id="325668240">
      <w:bodyDiv w:val="1"/>
      <w:marLeft w:val="0"/>
      <w:marRight w:val="0"/>
      <w:marTop w:val="0"/>
      <w:marBottom w:val="0"/>
      <w:divBdr>
        <w:top w:val="none" w:sz="0" w:space="0" w:color="auto"/>
        <w:left w:val="none" w:sz="0" w:space="0" w:color="auto"/>
        <w:bottom w:val="none" w:sz="0" w:space="0" w:color="auto"/>
        <w:right w:val="none" w:sz="0" w:space="0" w:color="auto"/>
      </w:divBdr>
    </w:div>
    <w:div w:id="488324165">
      <w:bodyDiv w:val="1"/>
      <w:marLeft w:val="0"/>
      <w:marRight w:val="0"/>
      <w:marTop w:val="0"/>
      <w:marBottom w:val="0"/>
      <w:divBdr>
        <w:top w:val="none" w:sz="0" w:space="0" w:color="auto"/>
        <w:left w:val="none" w:sz="0" w:space="0" w:color="auto"/>
        <w:bottom w:val="none" w:sz="0" w:space="0" w:color="auto"/>
        <w:right w:val="none" w:sz="0" w:space="0" w:color="auto"/>
      </w:divBdr>
    </w:div>
    <w:div w:id="679967320">
      <w:bodyDiv w:val="1"/>
      <w:marLeft w:val="0"/>
      <w:marRight w:val="0"/>
      <w:marTop w:val="0"/>
      <w:marBottom w:val="0"/>
      <w:divBdr>
        <w:top w:val="none" w:sz="0" w:space="0" w:color="auto"/>
        <w:left w:val="none" w:sz="0" w:space="0" w:color="auto"/>
        <w:bottom w:val="none" w:sz="0" w:space="0" w:color="auto"/>
        <w:right w:val="none" w:sz="0" w:space="0" w:color="auto"/>
      </w:divBdr>
    </w:div>
    <w:div w:id="865631207">
      <w:bodyDiv w:val="1"/>
      <w:marLeft w:val="0"/>
      <w:marRight w:val="0"/>
      <w:marTop w:val="0"/>
      <w:marBottom w:val="0"/>
      <w:divBdr>
        <w:top w:val="none" w:sz="0" w:space="0" w:color="auto"/>
        <w:left w:val="none" w:sz="0" w:space="0" w:color="auto"/>
        <w:bottom w:val="none" w:sz="0" w:space="0" w:color="auto"/>
        <w:right w:val="none" w:sz="0" w:space="0" w:color="auto"/>
      </w:divBdr>
    </w:div>
    <w:div w:id="875391646">
      <w:bodyDiv w:val="1"/>
      <w:marLeft w:val="0"/>
      <w:marRight w:val="0"/>
      <w:marTop w:val="0"/>
      <w:marBottom w:val="0"/>
      <w:divBdr>
        <w:top w:val="none" w:sz="0" w:space="0" w:color="auto"/>
        <w:left w:val="none" w:sz="0" w:space="0" w:color="auto"/>
        <w:bottom w:val="none" w:sz="0" w:space="0" w:color="auto"/>
        <w:right w:val="none" w:sz="0" w:space="0" w:color="auto"/>
      </w:divBdr>
    </w:div>
    <w:div w:id="927538015">
      <w:bodyDiv w:val="1"/>
      <w:marLeft w:val="0"/>
      <w:marRight w:val="0"/>
      <w:marTop w:val="0"/>
      <w:marBottom w:val="0"/>
      <w:divBdr>
        <w:top w:val="none" w:sz="0" w:space="0" w:color="auto"/>
        <w:left w:val="none" w:sz="0" w:space="0" w:color="auto"/>
        <w:bottom w:val="none" w:sz="0" w:space="0" w:color="auto"/>
        <w:right w:val="none" w:sz="0" w:space="0" w:color="auto"/>
      </w:divBdr>
    </w:div>
    <w:div w:id="1305160559">
      <w:bodyDiv w:val="1"/>
      <w:marLeft w:val="0"/>
      <w:marRight w:val="0"/>
      <w:marTop w:val="0"/>
      <w:marBottom w:val="0"/>
      <w:divBdr>
        <w:top w:val="none" w:sz="0" w:space="0" w:color="auto"/>
        <w:left w:val="none" w:sz="0" w:space="0" w:color="auto"/>
        <w:bottom w:val="none" w:sz="0" w:space="0" w:color="auto"/>
        <w:right w:val="none" w:sz="0" w:space="0" w:color="auto"/>
      </w:divBdr>
    </w:div>
    <w:div w:id="1630281866">
      <w:bodyDiv w:val="1"/>
      <w:marLeft w:val="0"/>
      <w:marRight w:val="0"/>
      <w:marTop w:val="0"/>
      <w:marBottom w:val="0"/>
      <w:divBdr>
        <w:top w:val="none" w:sz="0" w:space="0" w:color="auto"/>
        <w:left w:val="none" w:sz="0" w:space="0" w:color="auto"/>
        <w:bottom w:val="none" w:sz="0" w:space="0" w:color="auto"/>
        <w:right w:val="none" w:sz="0" w:space="0" w:color="auto"/>
      </w:divBdr>
    </w:div>
    <w:div w:id="17803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0131-28EE-4B8F-B3A4-87476345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5822</Words>
  <Characters>3319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Sukauskiene</dc:creator>
  <cp:keywords/>
  <dc:description/>
  <cp:lastModifiedBy>Audrius Radionovas</cp:lastModifiedBy>
  <cp:revision>6</cp:revision>
  <dcterms:created xsi:type="dcterms:W3CDTF">2021-05-26T10:47:00Z</dcterms:created>
  <dcterms:modified xsi:type="dcterms:W3CDTF">2021-06-25T10:59:00Z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2609af-ce61-418c-b719-7f493153fd2e_Enabled">
    <vt:lpwstr>true</vt:lpwstr>
  </property>
  <property fmtid="{D5CDD505-2E9C-101B-9397-08002B2CF9AE}" pid="3" name="MSIP_Label_472609af-ce61-418c-b719-7f493153fd2e_SetDate">
    <vt:lpwstr>2021-05-24T07:16:10Z</vt:lpwstr>
  </property>
  <property fmtid="{D5CDD505-2E9C-101B-9397-08002B2CF9AE}" pid="4" name="MSIP_Label_472609af-ce61-418c-b719-7f493153fd2e_Method">
    <vt:lpwstr>Privileged</vt:lpwstr>
  </property>
  <property fmtid="{D5CDD505-2E9C-101B-9397-08002B2CF9AE}" pid="5" name="MSIP_Label_472609af-ce61-418c-b719-7f493153fd2e_Name">
    <vt:lpwstr>External</vt:lpwstr>
  </property>
  <property fmtid="{D5CDD505-2E9C-101B-9397-08002B2CF9AE}" pid="6" name="MSIP_Label_472609af-ce61-418c-b719-7f493153fd2e_SiteId">
    <vt:lpwstr>e54289c6-b630-4215-acc5-57eec01212d6</vt:lpwstr>
  </property>
  <property fmtid="{D5CDD505-2E9C-101B-9397-08002B2CF9AE}" pid="7" name="MSIP_Label_472609af-ce61-418c-b719-7f493153fd2e_ActionId">
    <vt:lpwstr>66b68a04-74a3-45f6-970f-ff9ddba3f8e4</vt:lpwstr>
  </property>
  <property fmtid="{D5CDD505-2E9C-101B-9397-08002B2CF9AE}" pid="8" name="MSIP_Label_472609af-ce61-418c-b719-7f493153fd2e_ContentBits">
    <vt:lpwstr>0</vt:lpwstr>
  </property>
</Properties>
</file>