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347D5C19"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5C76A25C" w:rsidR="005D103B" w:rsidRPr="00190BE5" w:rsidRDefault="007B644B" w:rsidP="00591547">
            <w:pPr>
              <w:jc w:val="both"/>
              <w:rPr>
                <w:color w:val="000000"/>
                <w:sz w:val="22"/>
                <w:szCs w:val="22"/>
              </w:rPr>
            </w:pPr>
            <w:r>
              <w:t>Lietuvos sveikatos mokslų universiteto gimnazija</w:t>
            </w:r>
            <w:r w:rsidR="3610CACD" w:rsidRPr="3610CACD">
              <w:rPr>
                <w:b/>
                <w:bCs/>
                <w:color w:val="000000" w:themeColor="text1"/>
                <w:sz w:val="22"/>
                <w:szCs w:val="22"/>
              </w:rPr>
              <w:t>,</w:t>
            </w:r>
            <w:r w:rsidR="3610CACD" w:rsidRPr="3610CACD">
              <w:rPr>
                <w:color w:val="000000" w:themeColor="text1"/>
                <w:sz w:val="22"/>
                <w:szCs w:val="22"/>
              </w:rPr>
              <w:t xml:space="preserve"> juridinio asmens kodas </w:t>
            </w:r>
            <w:r>
              <w:t>3</w:t>
            </w:r>
            <w:r w:rsidRPr="00173F23">
              <w:t>03013949</w:t>
            </w:r>
            <w:r w:rsidR="3610CACD" w:rsidRPr="3610CACD">
              <w:rPr>
                <w:color w:val="000000" w:themeColor="text1"/>
                <w:sz w:val="22"/>
                <w:szCs w:val="22"/>
              </w:rPr>
              <w:t xml:space="preserve">, kurios buveinė yra A. Mickevičiaus g. 9, 44307 Kaunas, duomenys apie įstaigą kaupiami ir saugomi Lietuvos Respublikos juridinių asmenų registre (toliau - </w:t>
            </w:r>
            <w:r w:rsidR="3610CACD" w:rsidRPr="005D2043">
              <w:rPr>
                <w:b/>
                <w:bCs/>
                <w:color w:val="000000" w:themeColor="text1"/>
                <w:sz w:val="22"/>
                <w:szCs w:val="22"/>
              </w:rPr>
              <w:t>Užsakovas</w:t>
            </w:r>
            <w:r w:rsidR="3610CACD"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68F7B091" w:rsidR="005D103B" w:rsidRPr="00527E2E" w:rsidRDefault="005D103B" w:rsidP="00661ADB">
            <w:pPr>
              <w:spacing w:after="120" w:line="276" w:lineRule="auto"/>
              <w:jc w:val="both"/>
              <w:rPr>
                <w:color w:val="000000"/>
                <w:sz w:val="22"/>
                <w:szCs w:val="22"/>
              </w:rPr>
            </w:pPr>
            <w:r w:rsidRPr="00527E2E">
              <w:rPr>
                <w:color w:val="000000"/>
                <w:sz w:val="22"/>
                <w:szCs w:val="22"/>
              </w:rPr>
              <w:t>Sutarties dalykas yra</w:t>
            </w:r>
            <w:r w:rsidR="00C77EDF" w:rsidRPr="00527E2E">
              <w:rPr>
                <w:color w:val="000000"/>
                <w:sz w:val="22"/>
                <w:szCs w:val="22"/>
              </w:rPr>
              <w:t xml:space="preserve"> </w:t>
            </w:r>
            <w:r w:rsidR="00F62D92">
              <w:rPr>
                <w:sz w:val="22"/>
                <w:szCs w:val="22"/>
              </w:rPr>
              <w:t xml:space="preserve">.................................................................................... </w:t>
            </w:r>
            <w:r w:rsidR="00EC148C">
              <w:rPr>
                <w:i/>
                <w:iCs/>
                <w:sz w:val="22"/>
                <w:szCs w:val="22"/>
              </w:rPr>
              <w:t xml:space="preserve">(įrašyti pirkimo objekto pavadinimą) </w:t>
            </w:r>
            <w:r w:rsidRPr="00527E2E">
              <w:rPr>
                <w:color w:val="000000"/>
                <w:sz w:val="22"/>
                <w:szCs w:val="22"/>
              </w:rPr>
              <w:t>(</w:t>
            </w:r>
            <w:r w:rsidRPr="004F0512">
              <w:rPr>
                <w:color w:val="000000" w:themeColor="text1"/>
                <w:sz w:val="22"/>
                <w:szCs w:val="22"/>
              </w:rPr>
              <w:t>toliau – Darbai). Darbų apimtys ir reikalavimai Darbams nurodyti techninėje užduotyje (</w:t>
            </w:r>
            <w:r w:rsidR="004F0512" w:rsidRPr="004F0512">
              <w:rPr>
                <w:color w:val="000000" w:themeColor="text1"/>
                <w:sz w:val="22"/>
                <w:szCs w:val="22"/>
              </w:rPr>
              <w:t>3</w:t>
            </w:r>
            <w:r w:rsidRPr="004F0512">
              <w:rPr>
                <w:color w:val="000000" w:themeColor="text1"/>
                <w:sz w:val="22"/>
                <w:szCs w:val="22"/>
              </w:rPr>
              <w:t xml:space="preserve">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4F89C567"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E66F22">
              <w:rPr>
                <w:color w:val="000000"/>
                <w:sz w:val="22"/>
                <w:szCs w:val="22"/>
              </w:rPr>
              <w:t xml:space="preserve"> </w:t>
            </w:r>
            <w:r w:rsidR="00EC148C">
              <w:rPr>
                <w:color w:val="000000"/>
                <w:sz w:val="22"/>
                <w:szCs w:val="22"/>
              </w:rPr>
              <w:t xml:space="preserve">........................................... . </w:t>
            </w:r>
            <w:r w:rsidR="00EC148C">
              <w:rPr>
                <w:i/>
                <w:iCs/>
                <w:color w:val="000000"/>
                <w:sz w:val="22"/>
                <w:szCs w:val="22"/>
              </w:rPr>
              <w:t>(įrašyti darbų atlikimo vieta).</w:t>
            </w:r>
            <w:r w:rsidR="00431F10">
              <w:rPr>
                <w:color w:val="000000"/>
                <w:sz w:val="22"/>
                <w:szCs w:val="22"/>
              </w:rPr>
              <w:t xml:space="preserve"> </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09D64F32" w:rsidR="00C97AF9" w:rsidRPr="00190BE5" w:rsidRDefault="00C97AF9" w:rsidP="00591547">
                  <w:pPr>
                    <w:spacing w:line="276" w:lineRule="auto"/>
                    <w:jc w:val="both"/>
                    <w:rPr>
                      <w:color w:val="000000"/>
                      <w:sz w:val="22"/>
                      <w:szCs w:val="22"/>
                    </w:rPr>
                  </w:pP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r w:rsidRPr="00190BE5">
                    <w:rPr>
                      <w:color w:val="000000"/>
                      <w:sz w:val="22"/>
                      <w:szCs w:val="22"/>
                    </w:rPr>
                    <w:t>Kompl.</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5A1A63C5"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950401">
              <w:rPr>
                <w:rStyle w:val="normaltextrun"/>
                <w:color w:val="000000"/>
                <w:sz w:val="22"/>
                <w:szCs w:val="22"/>
                <w:shd w:val="clear" w:color="auto" w:fill="FFFFFF"/>
              </w:rPr>
              <w:t>SABIS</w:t>
            </w:r>
            <w:r w:rsidRPr="00190BE5">
              <w:rPr>
                <w:rStyle w:val="normaltextrun"/>
                <w:color w:val="000000"/>
                <w:sz w:val="22"/>
                <w:szCs w:val="22"/>
                <w:shd w:val="clear" w:color="auto" w:fill="FFFFFF"/>
              </w:rPr>
              <w:t xml:space="preserve">“ priemonėmis. Užsakovas elektronines sąskaitas faktūras priima ir apdoroja naudodamasi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priemonėmis, išskyrus mobilizacijos, karo ar nepaprastosios padėties atveju yra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33762A18"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2864D6">
              <w:rPr>
                <w:color w:val="000000"/>
                <w:sz w:val="22"/>
                <w:szCs w:val="22"/>
              </w:rPr>
              <w:t>;</w:t>
            </w:r>
            <w:r w:rsidR="00B25BFC" w:rsidRPr="00190BE5">
              <w:rPr>
                <w:rFonts w:eastAsia="Calibri"/>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15DEB21D"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663BD804"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19086CF9"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2864D6">
              <w:rPr>
                <w:color w:val="000000"/>
                <w:sz w:val="22"/>
                <w:szCs w:val="22"/>
              </w:rPr>
              <w:t>;</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155A9CB8"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F46903">
              <w:rPr>
                <w:sz w:val="22"/>
                <w:szCs w:val="22"/>
                <w:lang w:eastAsia="lt-LT"/>
              </w:rPr>
              <w:t xml:space="preserve">30 (trisdešimt)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04EFAEC7"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 xml:space="preserve">arbų baigimo laikas </w:t>
            </w:r>
            <w:r w:rsidR="00AD48EF" w:rsidRPr="00DE70FF">
              <w:rPr>
                <w:color w:val="000000" w:themeColor="text1"/>
                <w:sz w:val="22"/>
                <w:szCs w:val="22"/>
              </w:rPr>
              <w:t>–</w:t>
            </w:r>
            <w:r w:rsidR="00976143" w:rsidRPr="00DE70FF">
              <w:rPr>
                <w:color w:val="000000" w:themeColor="text1"/>
                <w:sz w:val="22"/>
                <w:szCs w:val="22"/>
              </w:rPr>
              <w:t xml:space="preserve"> </w:t>
            </w:r>
            <w:r w:rsidR="00DE70FF" w:rsidRPr="002D1AF9">
              <w:rPr>
                <w:b/>
                <w:bCs/>
                <w:color w:val="000000" w:themeColor="text1"/>
                <w:sz w:val="22"/>
                <w:szCs w:val="22"/>
                <w:u w:val="single"/>
              </w:rPr>
              <w:t xml:space="preserve">ne vėliau kaip per </w:t>
            </w:r>
            <w:r w:rsidR="00556DF7">
              <w:rPr>
                <w:b/>
                <w:bCs/>
                <w:color w:val="000000" w:themeColor="text1"/>
                <w:sz w:val="22"/>
                <w:szCs w:val="22"/>
                <w:u w:val="single"/>
              </w:rPr>
              <w:t>2 mėnesius</w:t>
            </w:r>
            <w:r w:rsidR="005448E6" w:rsidRPr="002D1AF9">
              <w:rPr>
                <w:b/>
                <w:bCs/>
                <w:color w:val="000000" w:themeColor="text1"/>
                <w:sz w:val="22"/>
                <w:szCs w:val="22"/>
                <w:u w:val="single"/>
              </w:rPr>
              <w:t xml:space="preserve"> </w:t>
            </w:r>
            <w:r w:rsidR="002F0442" w:rsidRPr="002D1AF9">
              <w:rPr>
                <w:b/>
                <w:bCs/>
                <w:color w:val="000000" w:themeColor="text1"/>
                <w:sz w:val="22"/>
                <w:szCs w:val="22"/>
                <w:u w:val="single"/>
              </w:rPr>
              <w:t>nuo Darbų pradžios</w:t>
            </w:r>
            <w:r w:rsidR="00EF3231">
              <w:rPr>
                <w:color w:val="000000" w:themeColor="text1"/>
                <w:sz w:val="22"/>
                <w:szCs w:val="22"/>
              </w:rPr>
              <w:t>.</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10E41A97"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F94DEC" w:rsidRPr="00F94DE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21A39E1D"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(-us), ūkio subjektą (-us), specialistą (-us), trečiąjį (-iuosius) asmenį (-ius)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784FE3FC" w:rsidR="00FC0C9E" w:rsidRPr="007B644B" w:rsidRDefault="00FC0C9E" w:rsidP="0063684C">
            <w:pPr>
              <w:spacing w:after="120" w:line="276" w:lineRule="auto"/>
              <w:jc w:val="both"/>
              <w:rPr>
                <w:bCs/>
                <w:i/>
                <w:iCs/>
                <w:color w:val="FF0000"/>
                <w:sz w:val="22"/>
                <w:szCs w:val="22"/>
              </w:rPr>
            </w:pPr>
            <w:r w:rsidRPr="00DE70FF">
              <w:rPr>
                <w:bCs/>
                <w:color w:val="000000" w:themeColor="text1"/>
                <w:sz w:val="22"/>
                <w:szCs w:val="22"/>
              </w:rPr>
              <w:t xml:space="preserve">Sutarties galiojimo </w:t>
            </w:r>
            <w:r w:rsidRPr="00DE70FF">
              <w:rPr>
                <w:bCs/>
                <w:color w:val="000000" w:themeColor="text1"/>
                <w:sz w:val="22"/>
                <w:szCs w:val="22"/>
                <w:lang w:eastAsia="lt-LT"/>
              </w:rPr>
              <w:t>trukmė</w:t>
            </w:r>
            <w:r w:rsidRPr="00DE70FF">
              <w:rPr>
                <w:b/>
                <w:color w:val="000000" w:themeColor="text1"/>
                <w:sz w:val="22"/>
                <w:szCs w:val="22"/>
              </w:rPr>
              <w:t xml:space="preserve"> </w:t>
            </w:r>
            <w:r w:rsidRPr="002D1AF9">
              <w:rPr>
                <w:b/>
                <w:color w:val="000000" w:themeColor="text1"/>
                <w:sz w:val="22"/>
                <w:szCs w:val="22"/>
                <w:u w:val="single"/>
              </w:rPr>
              <w:t>–</w:t>
            </w:r>
            <w:r w:rsidR="004F67AA" w:rsidRPr="002D1AF9">
              <w:rPr>
                <w:b/>
                <w:color w:val="000000" w:themeColor="text1"/>
                <w:sz w:val="22"/>
                <w:szCs w:val="22"/>
                <w:u w:val="single"/>
              </w:rPr>
              <w:t xml:space="preserve"> 6 (šeši) </w:t>
            </w:r>
            <w:r w:rsidR="0081280B" w:rsidRPr="002D1AF9">
              <w:rPr>
                <w:b/>
                <w:bCs/>
                <w:color w:val="000000" w:themeColor="text1"/>
                <w:sz w:val="22"/>
                <w:szCs w:val="22"/>
                <w:u w:val="single"/>
              </w:rPr>
              <w:t>mėnes</w:t>
            </w:r>
            <w:r w:rsidR="00A27930" w:rsidRPr="002D1AF9">
              <w:rPr>
                <w:b/>
                <w:bCs/>
                <w:color w:val="000000" w:themeColor="text1"/>
                <w:sz w:val="22"/>
                <w:szCs w:val="22"/>
                <w:u w:val="single"/>
              </w:rPr>
              <w:t>i</w:t>
            </w:r>
            <w:r w:rsidR="004F67AA" w:rsidRPr="002D1AF9">
              <w:rPr>
                <w:b/>
                <w:bCs/>
                <w:color w:val="000000" w:themeColor="text1"/>
                <w:sz w:val="22"/>
                <w:szCs w:val="22"/>
                <w:u w:val="single"/>
              </w:rPr>
              <w:t>ai</w:t>
            </w:r>
            <w:r w:rsidR="0081280B" w:rsidRPr="002D1AF9">
              <w:rPr>
                <w:b/>
                <w:bCs/>
                <w:color w:val="000000" w:themeColor="text1"/>
                <w:sz w:val="22"/>
                <w:szCs w:val="22"/>
                <w:u w:val="single"/>
              </w:rPr>
              <w:t xml:space="preserve"> </w:t>
            </w:r>
            <w:r w:rsidRPr="002D1AF9">
              <w:rPr>
                <w:b/>
                <w:bCs/>
                <w:color w:val="000000" w:themeColor="text1"/>
                <w:sz w:val="22"/>
                <w:szCs w:val="22"/>
                <w:u w:val="single"/>
              </w:rPr>
              <w:t>nuo sutarties įsigaliojimo dienos</w:t>
            </w:r>
            <w:r w:rsidRPr="00DE70FF">
              <w:rPr>
                <w:b/>
                <w:bCs/>
                <w:color w:val="000000" w:themeColor="text1"/>
                <w:sz w:val="22"/>
                <w:szCs w:val="22"/>
              </w:rPr>
              <w:t>.</w:t>
            </w:r>
            <w:r w:rsidRPr="00DE70FF">
              <w:rPr>
                <w:color w:val="000000" w:themeColor="text1"/>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70F75C63" w:rsidR="00C10FE5" w:rsidRPr="00190BE5" w:rsidRDefault="009665B2" w:rsidP="0063684C">
            <w:pPr>
              <w:spacing w:after="120"/>
              <w:jc w:val="both"/>
              <w:rPr>
                <w:b/>
                <w:bCs/>
                <w:color w:val="000000"/>
                <w:sz w:val="22"/>
                <w:szCs w:val="22"/>
              </w:rPr>
            </w:pPr>
            <w:r w:rsidRPr="00190BE5">
              <w:rPr>
                <w:color w:val="000000"/>
                <w:sz w:val="22"/>
                <w:szCs w:val="22"/>
              </w:rPr>
              <w:t>Rangovo pasiūlymas, pateiktas CVP IS (atskirai nepridedamas);</w:t>
            </w:r>
          </w:p>
        </w:tc>
      </w:tr>
      <w:tr w:rsidR="009665B2" w:rsidRPr="00190BE5" w14:paraId="739FD36A" w14:textId="77777777" w:rsidTr="0031504B">
        <w:tc>
          <w:tcPr>
            <w:tcW w:w="1129" w:type="dxa"/>
          </w:tcPr>
          <w:p w14:paraId="3C81EF96" w14:textId="77777777" w:rsidR="009665B2" w:rsidRPr="00190BE5" w:rsidRDefault="009665B2" w:rsidP="009665B2">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6AA717F4" w:rsidR="009665B2" w:rsidRPr="00190BE5" w:rsidRDefault="009665B2" w:rsidP="009665B2">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9665B2" w:rsidRPr="00190BE5" w14:paraId="7D7420DB" w14:textId="77777777" w:rsidTr="0031504B">
        <w:tc>
          <w:tcPr>
            <w:tcW w:w="1129" w:type="dxa"/>
          </w:tcPr>
          <w:p w14:paraId="60633C2A" w14:textId="77777777" w:rsidR="009665B2" w:rsidRPr="00190BE5" w:rsidRDefault="009665B2" w:rsidP="009665B2">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205F4145" w:rsidR="009665B2" w:rsidRPr="00190BE5" w:rsidRDefault="009665B2" w:rsidP="009665B2">
            <w:pPr>
              <w:spacing w:after="120"/>
              <w:jc w:val="both"/>
              <w:rPr>
                <w:b/>
                <w:bCs/>
                <w:color w:val="000000"/>
                <w:sz w:val="22"/>
                <w:szCs w:val="22"/>
              </w:rPr>
            </w:pPr>
            <w:r w:rsidRPr="00190BE5">
              <w:rPr>
                <w:color w:val="000000"/>
                <w:sz w:val="22"/>
                <w:szCs w:val="22"/>
              </w:rPr>
              <w:t>Techninė užduotis;</w:t>
            </w:r>
          </w:p>
        </w:tc>
      </w:tr>
      <w:tr w:rsidR="009665B2" w:rsidRPr="00190BE5" w14:paraId="001B9A14" w14:textId="77777777" w:rsidTr="0031504B">
        <w:tc>
          <w:tcPr>
            <w:tcW w:w="1129" w:type="dxa"/>
          </w:tcPr>
          <w:p w14:paraId="3B5FE233" w14:textId="77777777" w:rsidR="009665B2" w:rsidRPr="00190BE5" w:rsidRDefault="009665B2" w:rsidP="009665B2">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224FB631" w:rsidR="009665B2" w:rsidRPr="00190BE5" w:rsidRDefault="009665B2" w:rsidP="009665B2">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9665B2" w:rsidRPr="00190BE5" w14:paraId="174C5515" w14:textId="77777777" w:rsidTr="0031504B">
        <w:tc>
          <w:tcPr>
            <w:tcW w:w="1129" w:type="dxa"/>
          </w:tcPr>
          <w:p w14:paraId="01D8CBED" w14:textId="77777777" w:rsidR="009665B2" w:rsidRPr="00190BE5" w:rsidRDefault="009665B2" w:rsidP="009665B2">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1B3C4B70" w:rsidR="009665B2" w:rsidRPr="00190BE5" w:rsidRDefault="009665B2" w:rsidP="009665B2">
            <w:pPr>
              <w:spacing w:after="120"/>
              <w:jc w:val="both"/>
              <w:rPr>
                <w:b/>
                <w:bCs/>
                <w:color w:val="000000"/>
                <w:sz w:val="22"/>
                <w:szCs w:val="22"/>
              </w:rPr>
            </w:pPr>
            <w:r w:rsidRPr="00190BE5">
              <w:rPr>
                <w:color w:val="000000"/>
                <w:sz w:val="22"/>
                <w:szCs w:val="22"/>
              </w:rPr>
              <w:t>Atliktų darbų aktas;</w:t>
            </w:r>
          </w:p>
        </w:tc>
      </w:tr>
      <w:tr w:rsidR="009665B2" w:rsidRPr="00190BE5" w14:paraId="0031866C" w14:textId="77777777" w:rsidTr="0031504B">
        <w:tc>
          <w:tcPr>
            <w:tcW w:w="1129" w:type="dxa"/>
          </w:tcPr>
          <w:p w14:paraId="4CA9FA6D" w14:textId="77777777" w:rsidR="009665B2" w:rsidRPr="00190BE5" w:rsidRDefault="009665B2" w:rsidP="009665B2">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1E5303FB" w:rsidR="009665B2" w:rsidRPr="00190BE5" w:rsidRDefault="009665B2" w:rsidP="009665B2">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9665B2" w:rsidRPr="00190BE5" w14:paraId="09874BFB" w14:textId="77777777" w:rsidTr="0031504B">
        <w:tc>
          <w:tcPr>
            <w:tcW w:w="1129" w:type="dxa"/>
          </w:tcPr>
          <w:p w14:paraId="58A0C113" w14:textId="77777777" w:rsidR="009665B2" w:rsidRPr="00190BE5" w:rsidRDefault="009665B2" w:rsidP="009665B2">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9665B2" w:rsidRPr="00190BE5" w:rsidRDefault="009665B2" w:rsidP="009665B2">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9665B2" w:rsidRPr="00190BE5" w14:paraId="3FFD3BEB" w14:textId="77777777" w:rsidTr="0031504B">
        <w:tc>
          <w:tcPr>
            <w:tcW w:w="1129" w:type="dxa"/>
          </w:tcPr>
          <w:p w14:paraId="52C4CAC5" w14:textId="2499A78A" w:rsidR="009665B2" w:rsidRPr="00190BE5" w:rsidRDefault="009665B2" w:rsidP="009665B2">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9665B2" w:rsidRPr="00190BE5" w:rsidRDefault="009665B2" w:rsidP="009665B2">
            <w:pPr>
              <w:spacing w:after="120"/>
              <w:jc w:val="both"/>
              <w:rPr>
                <w:color w:val="000000"/>
                <w:sz w:val="22"/>
                <w:szCs w:val="22"/>
              </w:rPr>
            </w:pPr>
            <w:r w:rsidRPr="00190BE5">
              <w:rPr>
                <w:b/>
                <w:color w:val="000000"/>
                <w:sz w:val="22"/>
                <w:szCs w:val="22"/>
              </w:rPr>
              <w:t>Šalių rekvizitai ir parašai:</w:t>
            </w:r>
          </w:p>
        </w:tc>
      </w:tr>
      <w:tr w:rsidR="009665B2" w14:paraId="7EFBD1BD" w14:textId="77777777" w:rsidTr="0031504B">
        <w:trPr>
          <w:gridAfter w:val="1"/>
          <w:wAfter w:w="62" w:type="dxa"/>
        </w:trPr>
        <w:tc>
          <w:tcPr>
            <w:tcW w:w="5387" w:type="dxa"/>
            <w:gridSpan w:val="2"/>
          </w:tcPr>
          <w:p w14:paraId="2B333018" w14:textId="77777777" w:rsidR="009665B2" w:rsidRPr="00190BE5" w:rsidRDefault="009665B2" w:rsidP="009665B2">
            <w:pPr>
              <w:jc w:val="both"/>
              <w:rPr>
                <w:b/>
                <w:color w:val="000000"/>
                <w:sz w:val="22"/>
                <w:szCs w:val="22"/>
              </w:rPr>
            </w:pPr>
            <w:r w:rsidRPr="00190BE5">
              <w:rPr>
                <w:b/>
                <w:color w:val="000000"/>
                <w:sz w:val="22"/>
                <w:szCs w:val="22"/>
              </w:rPr>
              <w:t>Užsakovas</w:t>
            </w:r>
          </w:p>
          <w:p w14:paraId="7AB9C288" w14:textId="5DF51BDE" w:rsidR="009665B2" w:rsidRPr="00190BE5" w:rsidRDefault="009665B2" w:rsidP="009665B2">
            <w:pPr>
              <w:rPr>
                <w:rFonts w:eastAsia="Calibri"/>
                <w:b/>
                <w:bCs/>
                <w:sz w:val="22"/>
                <w:szCs w:val="22"/>
              </w:rPr>
            </w:pPr>
            <w:r w:rsidRPr="00190BE5">
              <w:rPr>
                <w:rFonts w:eastAsia="Calibri"/>
                <w:b/>
                <w:bCs/>
                <w:sz w:val="22"/>
                <w:szCs w:val="22"/>
              </w:rPr>
              <w:t>Lietuvos sveikatos mokslų universitet</w:t>
            </w:r>
            <w:r>
              <w:rPr>
                <w:rFonts w:eastAsia="Calibri"/>
                <w:b/>
                <w:bCs/>
                <w:sz w:val="22"/>
                <w:szCs w:val="22"/>
              </w:rPr>
              <w:t>o gimnazija</w:t>
            </w:r>
          </w:p>
          <w:p w14:paraId="4368C7FA" w14:textId="50867299" w:rsidR="009665B2" w:rsidRPr="00190BE5" w:rsidRDefault="009665B2" w:rsidP="009665B2">
            <w:pPr>
              <w:rPr>
                <w:rFonts w:eastAsia="Calibri"/>
                <w:bCs/>
                <w:sz w:val="22"/>
                <w:szCs w:val="22"/>
              </w:rPr>
            </w:pPr>
            <w:r w:rsidRPr="00190BE5">
              <w:rPr>
                <w:rFonts w:eastAsia="Calibri"/>
                <w:bCs/>
                <w:sz w:val="22"/>
                <w:szCs w:val="22"/>
              </w:rPr>
              <w:t xml:space="preserve">Juridinio asmens kodas </w:t>
            </w:r>
            <w:r>
              <w:t>3</w:t>
            </w:r>
            <w:r w:rsidRPr="00173F23">
              <w:t>03013949</w:t>
            </w:r>
          </w:p>
          <w:p w14:paraId="1E44F9B4" w14:textId="541B86D8" w:rsidR="009665B2" w:rsidRPr="00190BE5" w:rsidRDefault="009665B2" w:rsidP="009665B2">
            <w:pPr>
              <w:jc w:val="both"/>
              <w:rPr>
                <w:rFonts w:eastAsia="Calibri"/>
                <w:bCs/>
                <w:sz w:val="22"/>
                <w:szCs w:val="22"/>
              </w:rPr>
            </w:pPr>
            <w:r w:rsidRPr="00190BE5">
              <w:rPr>
                <w:rFonts w:eastAsia="Calibri"/>
                <w:bCs/>
                <w:sz w:val="22"/>
                <w:szCs w:val="22"/>
              </w:rPr>
              <w:t>A.Mickevičiaus g. 9, LT-44307 Kaunas</w:t>
            </w:r>
          </w:p>
          <w:p w14:paraId="6DAC2B80" w14:textId="77777777" w:rsidR="009665B2" w:rsidRPr="00190BE5" w:rsidRDefault="009665B2" w:rsidP="009665B2">
            <w:pPr>
              <w:jc w:val="both"/>
              <w:rPr>
                <w:b/>
                <w:color w:val="000000"/>
                <w:sz w:val="22"/>
                <w:szCs w:val="22"/>
              </w:rPr>
            </w:pPr>
          </w:p>
          <w:p w14:paraId="073AAC8C" w14:textId="77777777" w:rsidR="009665B2" w:rsidRPr="00190BE5" w:rsidRDefault="009665B2" w:rsidP="009665B2">
            <w:pPr>
              <w:jc w:val="both"/>
              <w:rPr>
                <w:b/>
                <w:color w:val="000000"/>
                <w:sz w:val="22"/>
                <w:szCs w:val="22"/>
              </w:rPr>
            </w:pPr>
          </w:p>
          <w:p w14:paraId="4734428E" w14:textId="77777777" w:rsidR="009665B2" w:rsidRPr="00190BE5" w:rsidRDefault="009665B2" w:rsidP="009665B2">
            <w:pPr>
              <w:jc w:val="both"/>
              <w:rPr>
                <w:b/>
                <w:color w:val="000000"/>
                <w:sz w:val="22"/>
                <w:szCs w:val="22"/>
              </w:rPr>
            </w:pPr>
          </w:p>
          <w:p w14:paraId="40310D08" w14:textId="77777777" w:rsidR="009665B2" w:rsidRPr="00190BE5" w:rsidRDefault="009665B2" w:rsidP="009665B2">
            <w:pPr>
              <w:jc w:val="both"/>
              <w:rPr>
                <w:b/>
                <w:color w:val="000000"/>
                <w:sz w:val="22"/>
                <w:szCs w:val="22"/>
              </w:rPr>
            </w:pPr>
          </w:p>
          <w:p w14:paraId="2C3AC2BF" w14:textId="77777777" w:rsidR="009665B2" w:rsidRPr="00190BE5" w:rsidRDefault="009665B2" w:rsidP="009665B2">
            <w:pPr>
              <w:jc w:val="both"/>
              <w:rPr>
                <w:bCs/>
                <w:color w:val="000000"/>
                <w:sz w:val="22"/>
                <w:szCs w:val="22"/>
              </w:rPr>
            </w:pPr>
            <w:r w:rsidRPr="00190BE5">
              <w:rPr>
                <w:bCs/>
                <w:color w:val="000000"/>
                <w:sz w:val="22"/>
                <w:szCs w:val="22"/>
              </w:rPr>
              <w:t>Pasirašančiojo vardas, pavardė:</w:t>
            </w:r>
          </w:p>
          <w:p w14:paraId="654DF1A6" w14:textId="77777777" w:rsidR="009665B2" w:rsidRPr="00190BE5" w:rsidRDefault="009665B2" w:rsidP="009665B2">
            <w:pPr>
              <w:jc w:val="both"/>
              <w:rPr>
                <w:bCs/>
                <w:color w:val="000000"/>
                <w:sz w:val="22"/>
                <w:szCs w:val="22"/>
              </w:rPr>
            </w:pPr>
            <w:r w:rsidRPr="00190BE5">
              <w:rPr>
                <w:bCs/>
                <w:color w:val="000000"/>
                <w:sz w:val="22"/>
                <w:szCs w:val="22"/>
              </w:rPr>
              <w:t>...................................................</w:t>
            </w:r>
          </w:p>
          <w:p w14:paraId="7A3C6C74" w14:textId="5886A75E" w:rsidR="009665B2" w:rsidRPr="00190BE5" w:rsidRDefault="009665B2" w:rsidP="009665B2">
            <w:pPr>
              <w:jc w:val="both"/>
              <w:rPr>
                <w:bCs/>
                <w:color w:val="000000"/>
                <w:sz w:val="22"/>
                <w:szCs w:val="22"/>
              </w:rPr>
            </w:pPr>
            <w:r w:rsidRPr="00190BE5">
              <w:rPr>
                <w:bCs/>
                <w:color w:val="000000"/>
                <w:sz w:val="22"/>
                <w:szCs w:val="22"/>
              </w:rPr>
              <w:t>Pareigos: ...................................</w:t>
            </w:r>
          </w:p>
          <w:p w14:paraId="7B19A7B5" w14:textId="77777777" w:rsidR="009665B2" w:rsidRPr="00190BE5" w:rsidRDefault="009665B2" w:rsidP="009665B2">
            <w:pPr>
              <w:jc w:val="both"/>
              <w:rPr>
                <w:bCs/>
                <w:color w:val="000000"/>
                <w:sz w:val="22"/>
                <w:szCs w:val="22"/>
              </w:rPr>
            </w:pPr>
            <w:r w:rsidRPr="00190BE5">
              <w:rPr>
                <w:bCs/>
                <w:color w:val="000000"/>
                <w:sz w:val="22"/>
                <w:szCs w:val="22"/>
              </w:rPr>
              <w:t>Parašas  ..........................................</w:t>
            </w:r>
          </w:p>
          <w:p w14:paraId="2243B77A" w14:textId="77777777" w:rsidR="009665B2" w:rsidRPr="00190BE5" w:rsidRDefault="009665B2" w:rsidP="009665B2">
            <w:pPr>
              <w:jc w:val="both"/>
              <w:rPr>
                <w:bCs/>
                <w:color w:val="000000"/>
                <w:sz w:val="22"/>
                <w:szCs w:val="22"/>
              </w:rPr>
            </w:pPr>
            <w:r w:rsidRPr="00190BE5">
              <w:rPr>
                <w:bCs/>
                <w:color w:val="000000"/>
                <w:sz w:val="22"/>
                <w:szCs w:val="22"/>
              </w:rPr>
              <w:t>Data: ..............................................</w:t>
            </w:r>
          </w:p>
          <w:p w14:paraId="6E621BC9" w14:textId="1AE28C61" w:rsidR="009665B2" w:rsidRPr="00190BE5" w:rsidRDefault="009665B2" w:rsidP="009665B2">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9665B2" w:rsidRPr="00190BE5" w:rsidRDefault="009665B2" w:rsidP="009665B2">
            <w:pPr>
              <w:jc w:val="both"/>
              <w:rPr>
                <w:b/>
                <w:color w:val="000000"/>
                <w:sz w:val="22"/>
                <w:szCs w:val="22"/>
              </w:rPr>
            </w:pPr>
            <w:r w:rsidRPr="00190BE5">
              <w:rPr>
                <w:b/>
                <w:color w:val="000000"/>
                <w:sz w:val="22"/>
                <w:szCs w:val="22"/>
              </w:rPr>
              <w:t>Rangovas</w:t>
            </w:r>
          </w:p>
          <w:p w14:paraId="1F17CA83" w14:textId="77777777" w:rsidR="009665B2" w:rsidRPr="00190BE5" w:rsidRDefault="009665B2" w:rsidP="009665B2">
            <w:pPr>
              <w:jc w:val="both"/>
              <w:rPr>
                <w:b/>
                <w:color w:val="000000"/>
                <w:sz w:val="22"/>
                <w:szCs w:val="22"/>
              </w:rPr>
            </w:pPr>
            <w:r w:rsidRPr="00190BE5">
              <w:rPr>
                <w:b/>
                <w:color w:val="000000"/>
                <w:sz w:val="22"/>
                <w:szCs w:val="22"/>
              </w:rPr>
              <w:t>[...................................................]</w:t>
            </w:r>
          </w:p>
          <w:p w14:paraId="6EC0C3A7" w14:textId="77777777" w:rsidR="009665B2" w:rsidRPr="00190BE5" w:rsidRDefault="009665B2" w:rsidP="009665B2">
            <w:pPr>
              <w:jc w:val="both"/>
              <w:rPr>
                <w:bCs/>
                <w:color w:val="000000"/>
                <w:sz w:val="22"/>
                <w:szCs w:val="22"/>
              </w:rPr>
            </w:pPr>
            <w:r w:rsidRPr="00190BE5">
              <w:rPr>
                <w:bCs/>
                <w:color w:val="000000"/>
                <w:sz w:val="22"/>
                <w:szCs w:val="22"/>
              </w:rPr>
              <w:t>Juridinio asmens kodas [nurodyti]</w:t>
            </w:r>
          </w:p>
          <w:p w14:paraId="741EC31E" w14:textId="77777777" w:rsidR="009665B2" w:rsidRPr="00190BE5" w:rsidRDefault="009665B2" w:rsidP="009665B2">
            <w:pPr>
              <w:jc w:val="both"/>
              <w:rPr>
                <w:bCs/>
                <w:color w:val="000000"/>
                <w:sz w:val="22"/>
                <w:szCs w:val="22"/>
              </w:rPr>
            </w:pPr>
            <w:r w:rsidRPr="00190BE5">
              <w:rPr>
                <w:bCs/>
                <w:color w:val="000000"/>
                <w:sz w:val="22"/>
                <w:szCs w:val="22"/>
              </w:rPr>
              <w:t>PVM mokėtojo kodas [nurodyti]</w:t>
            </w:r>
          </w:p>
          <w:p w14:paraId="5B305400" w14:textId="77777777" w:rsidR="009665B2" w:rsidRPr="00190BE5" w:rsidRDefault="009665B2" w:rsidP="009665B2">
            <w:pPr>
              <w:jc w:val="both"/>
              <w:rPr>
                <w:bCs/>
                <w:color w:val="000000"/>
                <w:sz w:val="22"/>
                <w:szCs w:val="22"/>
              </w:rPr>
            </w:pPr>
            <w:r w:rsidRPr="00190BE5">
              <w:rPr>
                <w:bCs/>
                <w:color w:val="000000"/>
                <w:sz w:val="22"/>
                <w:szCs w:val="22"/>
              </w:rPr>
              <w:t>[nurodyti adresą]</w:t>
            </w:r>
          </w:p>
          <w:p w14:paraId="681378D0" w14:textId="77777777" w:rsidR="009665B2" w:rsidRPr="00190BE5" w:rsidRDefault="009665B2" w:rsidP="009665B2">
            <w:pPr>
              <w:jc w:val="both"/>
              <w:rPr>
                <w:bCs/>
                <w:color w:val="000000"/>
                <w:sz w:val="22"/>
                <w:szCs w:val="22"/>
              </w:rPr>
            </w:pPr>
            <w:r w:rsidRPr="00190BE5">
              <w:rPr>
                <w:bCs/>
                <w:color w:val="000000"/>
                <w:sz w:val="22"/>
                <w:szCs w:val="22"/>
              </w:rPr>
              <w:t>A. s. Nr. [nurodyti]</w:t>
            </w:r>
          </w:p>
          <w:p w14:paraId="4E0EA438" w14:textId="77777777" w:rsidR="009665B2" w:rsidRPr="00190BE5" w:rsidRDefault="009665B2" w:rsidP="009665B2">
            <w:pPr>
              <w:jc w:val="both"/>
              <w:rPr>
                <w:bCs/>
                <w:color w:val="000000"/>
                <w:sz w:val="22"/>
                <w:szCs w:val="22"/>
              </w:rPr>
            </w:pPr>
            <w:r w:rsidRPr="00190BE5">
              <w:rPr>
                <w:bCs/>
                <w:color w:val="000000"/>
                <w:sz w:val="22"/>
                <w:szCs w:val="22"/>
              </w:rPr>
              <w:t>[nurodyti banką]</w:t>
            </w:r>
          </w:p>
          <w:p w14:paraId="7709A9A0" w14:textId="77777777" w:rsidR="009665B2" w:rsidRPr="00190BE5" w:rsidRDefault="009665B2" w:rsidP="009665B2">
            <w:pPr>
              <w:jc w:val="both"/>
              <w:rPr>
                <w:bCs/>
                <w:color w:val="000000"/>
                <w:sz w:val="22"/>
                <w:szCs w:val="22"/>
              </w:rPr>
            </w:pPr>
            <w:r w:rsidRPr="00190BE5">
              <w:rPr>
                <w:bCs/>
                <w:color w:val="000000"/>
                <w:sz w:val="22"/>
                <w:szCs w:val="22"/>
              </w:rPr>
              <w:t>Tel. [nurodyti]</w:t>
            </w:r>
          </w:p>
          <w:p w14:paraId="23A8AF25" w14:textId="77777777" w:rsidR="009665B2" w:rsidRPr="00190BE5" w:rsidRDefault="009665B2" w:rsidP="009665B2">
            <w:pPr>
              <w:jc w:val="both"/>
              <w:rPr>
                <w:bCs/>
                <w:color w:val="000000"/>
                <w:sz w:val="22"/>
                <w:szCs w:val="22"/>
              </w:rPr>
            </w:pPr>
          </w:p>
          <w:p w14:paraId="1412D6CD" w14:textId="77777777" w:rsidR="009665B2" w:rsidRPr="00190BE5" w:rsidRDefault="009665B2" w:rsidP="009665B2">
            <w:pPr>
              <w:jc w:val="both"/>
              <w:rPr>
                <w:bCs/>
                <w:color w:val="000000"/>
                <w:sz w:val="22"/>
                <w:szCs w:val="22"/>
              </w:rPr>
            </w:pPr>
            <w:r w:rsidRPr="00190BE5">
              <w:rPr>
                <w:bCs/>
                <w:color w:val="000000"/>
                <w:sz w:val="22"/>
                <w:szCs w:val="22"/>
              </w:rPr>
              <w:t>Pasirašančiojo vardas, pavardė:</w:t>
            </w:r>
          </w:p>
          <w:p w14:paraId="31C73437" w14:textId="77777777" w:rsidR="009665B2" w:rsidRPr="00190BE5" w:rsidRDefault="009665B2" w:rsidP="009665B2">
            <w:pPr>
              <w:jc w:val="both"/>
              <w:rPr>
                <w:bCs/>
                <w:color w:val="000000"/>
                <w:sz w:val="22"/>
                <w:szCs w:val="22"/>
              </w:rPr>
            </w:pPr>
            <w:r w:rsidRPr="00190BE5">
              <w:rPr>
                <w:bCs/>
                <w:color w:val="000000"/>
                <w:sz w:val="22"/>
                <w:szCs w:val="22"/>
              </w:rPr>
              <w:t>...................................................</w:t>
            </w:r>
          </w:p>
          <w:p w14:paraId="422AEF3B" w14:textId="77777777" w:rsidR="009665B2" w:rsidRPr="00190BE5" w:rsidRDefault="009665B2" w:rsidP="009665B2">
            <w:pPr>
              <w:jc w:val="both"/>
              <w:rPr>
                <w:bCs/>
                <w:color w:val="000000"/>
                <w:sz w:val="22"/>
                <w:szCs w:val="22"/>
              </w:rPr>
            </w:pPr>
            <w:r w:rsidRPr="00190BE5">
              <w:rPr>
                <w:bCs/>
                <w:color w:val="000000"/>
                <w:sz w:val="22"/>
                <w:szCs w:val="22"/>
              </w:rPr>
              <w:t>Pareigos: ...........................</w:t>
            </w:r>
          </w:p>
          <w:p w14:paraId="04288EB1" w14:textId="77777777" w:rsidR="009665B2" w:rsidRPr="00190BE5" w:rsidRDefault="009665B2" w:rsidP="009665B2">
            <w:pPr>
              <w:jc w:val="both"/>
              <w:rPr>
                <w:bCs/>
                <w:color w:val="000000"/>
                <w:sz w:val="22"/>
                <w:szCs w:val="22"/>
              </w:rPr>
            </w:pPr>
            <w:r w:rsidRPr="00190BE5">
              <w:rPr>
                <w:bCs/>
                <w:color w:val="000000"/>
                <w:sz w:val="22"/>
                <w:szCs w:val="22"/>
              </w:rPr>
              <w:t>Parašas  ..........................................</w:t>
            </w:r>
          </w:p>
          <w:p w14:paraId="22F6D121" w14:textId="77777777" w:rsidR="009665B2" w:rsidRPr="00190BE5" w:rsidRDefault="009665B2" w:rsidP="009665B2">
            <w:pPr>
              <w:jc w:val="both"/>
              <w:rPr>
                <w:bCs/>
                <w:color w:val="000000"/>
                <w:sz w:val="22"/>
                <w:szCs w:val="22"/>
              </w:rPr>
            </w:pPr>
            <w:r w:rsidRPr="00190BE5">
              <w:rPr>
                <w:bCs/>
                <w:color w:val="000000"/>
                <w:sz w:val="22"/>
                <w:szCs w:val="22"/>
              </w:rPr>
              <w:t>Data: ..............................................</w:t>
            </w:r>
          </w:p>
          <w:p w14:paraId="32945133" w14:textId="71C194A2" w:rsidR="009665B2" w:rsidRPr="00190BE5" w:rsidRDefault="009665B2" w:rsidP="009665B2">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4816FC" w:rsidR="007B644B" w:rsidRDefault="007B644B">
      <w:pPr>
        <w:rPr>
          <w:b/>
          <w:color w:val="000000"/>
          <w:sz w:val="22"/>
          <w:szCs w:val="22"/>
        </w:rPr>
      </w:pPr>
      <w:r>
        <w:rPr>
          <w:b/>
          <w:color w:val="000000"/>
          <w:sz w:val="22"/>
          <w:szCs w:val="22"/>
        </w:rPr>
        <w:br w:type="page"/>
      </w:r>
    </w:p>
    <w:p w14:paraId="23A6C8A5" w14:textId="77777777" w:rsidR="00F26758" w:rsidRDefault="00F26758"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t>BENDROSIOS SĄLYGOS</w:t>
            </w:r>
          </w:p>
        </w:tc>
      </w:tr>
      <w:tr w:rsidR="00F26758" w:rsidRPr="00BD048D" w14:paraId="0151ACE8" w14:textId="77777777" w:rsidTr="005D3507">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47"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5D3507">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47"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5D3507">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5D3507">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5D3507">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Darbų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5D3507">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5D3507">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5D3507">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5D3507">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5D3507">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5D3507">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5D3507">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5D3507">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xml:space="preserve">– </w:t>
            </w:r>
            <w:proofErr w:type="spellStart"/>
            <w:r w:rsidRPr="00BD048D">
              <w:rPr>
                <w:color w:val="000000"/>
                <w:sz w:val="22"/>
                <w:szCs w:val="22"/>
              </w:rPr>
              <w:t>Eurai</w:t>
            </w:r>
            <w:proofErr w:type="spellEnd"/>
            <w:r w:rsidRPr="00BD048D">
              <w:rPr>
                <w:color w:val="000000"/>
                <w:sz w:val="22"/>
                <w:szCs w:val="22"/>
              </w:rPr>
              <w:t>.</w:t>
            </w:r>
          </w:p>
        </w:tc>
      </w:tr>
      <w:tr w:rsidR="00952CC2" w:rsidRPr="00BD7A09" w14:paraId="0EAE5C7A" w14:textId="77777777" w:rsidTr="005D3507">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47"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5D3507">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5D3507">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w:t>
            </w:r>
            <w:r w:rsidRPr="00BD048D">
              <w:rPr>
                <w:color w:val="000000"/>
                <w:sz w:val="22"/>
                <w:szCs w:val="22"/>
                <w:lang w:val="lt-LT"/>
              </w:rPr>
              <w:lastRenderedPageBreak/>
              <w:t xml:space="preserve">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5D3507">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5D3507">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5D3507">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5D3507">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5D3507">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5D3507">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5D3507">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5D3507">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5D3507">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5D3507">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5D3507">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5D3507">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w:t>
            </w:r>
            <w:r w:rsidRPr="00BD048D">
              <w:rPr>
                <w:sz w:val="22"/>
                <w:szCs w:val="22"/>
                <w:lang w:val="lt-LT"/>
              </w:rPr>
              <w:lastRenderedPageBreak/>
              <w:t>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952CC2" w:rsidRPr="00BD048D" w14:paraId="6AF82535" w14:textId="77777777" w:rsidTr="005D3507">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5D3507">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5D3507">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5D3507">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5D3507">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5D3507">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5D3507">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5D3507">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5D3507">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5D3507">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5D3507">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5D3507">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5D3507">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5D3507">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5D3507">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5D3507">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5D3507">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5D3507">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5D3507">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5D3507">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5D3507">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5D3507">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ir</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pateikimas</w:t>
            </w:r>
            <w:proofErr w:type="spellEnd"/>
          </w:p>
        </w:tc>
      </w:tr>
      <w:tr w:rsidR="00E423A0" w:rsidRPr="00BD048D" w14:paraId="313B032C" w14:textId="77777777" w:rsidTr="005D3507">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5D3507">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5D3507">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5D3507">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5D3507">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5D3507">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5D3507">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5D3507">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5D3507">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5D3507">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5D3507">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5D3507">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5D3507">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5D3507">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5D3507">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w:t>
            </w:r>
            <w:r w:rsidRPr="00BD048D">
              <w:rPr>
                <w:color w:val="000000"/>
                <w:sz w:val="22"/>
                <w:szCs w:val="22"/>
                <w:lang w:val="lt-LT"/>
              </w:rPr>
              <w:lastRenderedPageBreak/>
              <w:t>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5D3507">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5D3507">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5D3507">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5D3507">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47"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5D3507">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5D3507">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5D3507">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5D3507">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5D3507">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5D3507">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5D3507">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5D3507">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47"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5D3507">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Rangovo </w:t>
            </w:r>
            <w:proofErr w:type="spellStart"/>
            <w:r w:rsidRPr="00BD048D">
              <w:rPr>
                <w:rFonts w:eastAsia="MS Mincho"/>
                <w:b/>
                <w:color w:val="000000"/>
                <w:sz w:val="22"/>
                <w:szCs w:val="22"/>
              </w:rPr>
              <w:t>prievolės</w:t>
            </w:r>
            <w:proofErr w:type="spellEnd"/>
          </w:p>
        </w:tc>
      </w:tr>
      <w:tr w:rsidR="007B3520" w:rsidRPr="00BD048D" w14:paraId="1665D983" w14:textId="77777777" w:rsidTr="005D3507">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7B72F1" w:rsidRPr="00BD048D" w14:paraId="440438D5" w14:textId="77777777" w:rsidTr="005D3507">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5D3507">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5D3507">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5D3507">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5D3507">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5D3507">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5D3507">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5D3507">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5D3507">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5D3507">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5D3507">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5D3507">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A80825" w:rsidRPr="00BD048D" w14:paraId="3C6A62E2" w14:textId="77777777" w:rsidTr="005D3507">
        <w:tc>
          <w:tcPr>
            <w:tcW w:w="1555" w:type="dxa"/>
          </w:tcPr>
          <w:p w14:paraId="3788E406" w14:textId="77777777" w:rsidR="00A80825" w:rsidRPr="00A13C6D" w:rsidRDefault="00A8082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9A079B9" w14:textId="11290427" w:rsidR="00A80825" w:rsidRPr="00A13C6D" w:rsidRDefault="00A80825" w:rsidP="00A80825">
            <w:pPr>
              <w:pStyle w:val="BankNormal"/>
              <w:suppressAutoHyphens/>
              <w:spacing w:before="120" w:after="120"/>
              <w:jc w:val="both"/>
              <w:rPr>
                <w:color w:val="000000"/>
                <w:sz w:val="22"/>
                <w:szCs w:val="22"/>
                <w:lang w:val="lt-LT"/>
              </w:rPr>
            </w:pPr>
            <w:r w:rsidRPr="00A13C6D">
              <w:rPr>
                <w:color w:val="000000"/>
                <w:sz w:val="22"/>
                <w:szCs w:val="22"/>
                <w:lang w:val="lt-LT"/>
              </w:rPr>
              <w:t>Rangovas privalo užtikrinti, kad visą Sutarties vykdymo laikotarpį bus laikomasi aplinkos apsaugos vadybos sistemos standartų reikalavimų, t. y., kad aplinkos apsaugos vadybos sistema, kur</w:t>
            </w:r>
            <w:r w:rsidR="00685363" w:rsidRPr="00A13C6D">
              <w:rPr>
                <w:color w:val="000000"/>
                <w:sz w:val="22"/>
                <w:szCs w:val="22"/>
                <w:lang w:val="lt-LT"/>
              </w:rPr>
              <w:t>ią</w:t>
            </w:r>
            <w:r w:rsidRPr="00A13C6D">
              <w:rPr>
                <w:color w:val="000000"/>
                <w:sz w:val="22"/>
                <w:szCs w:val="22"/>
                <w:lang w:val="lt-LT"/>
              </w:rPr>
              <w:t xml:space="preserve"> pateikta Rangovo kartu su pasiūlymu, pas Rangovą bus įdiegta visą Sutarties vykdymo laikotarpį. </w:t>
            </w:r>
          </w:p>
        </w:tc>
      </w:tr>
      <w:tr w:rsidR="00067BF7" w:rsidRPr="00BD048D" w14:paraId="38C8F3F0" w14:textId="77777777" w:rsidTr="005D3507">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5D3507">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5D3507">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5D3507">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w:t>
            </w:r>
            <w:r w:rsidRPr="00BD048D">
              <w:rPr>
                <w:color w:val="000000"/>
                <w:spacing w:val="-2"/>
                <w:sz w:val="22"/>
                <w:szCs w:val="22"/>
                <w:lang w:val="lt-LT"/>
              </w:rPr>
              <w:lastRenderedPageBreak/>
              <w:t>asmenį. Užsakovas, gavęs tokį raštą, ne vėliau kaip per 20 (dvidešimt) kalendorinių dienų privalo išnagrinėti raštą bei priimti motyvuotą sprendimą, kurį raštu pateikia Rangovui. Šalims nesutarus 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5D3507">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5D3507">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5D3507">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5D3507">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5D3507">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5D3507">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5D3507">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w:t>
            </w:r>
            <w:proofErr w:type="spellStart"/>
            <w:r w:rsidRPr="00BD048D">
              <w:rPr>
                <w:b/>
                <w:color w:val="000000"/>
                <w:spacing w:val="-2"/>
                <w:sz w:val="22"/>
                <w:szCs w:val="22"/>
              </w:rPr>
              <w:t>ir</w:t>
            </w:r>
            <w:proofErr w:type="spellEnd"/>
            <w:r w:rsidRPr="00BD048D">
              <w:rPr>
                <w:b/>
                <w:color w:val="000000"/>
                <w:spacing w:val="-2"/>
                <w:sz w:val="22"/>
                <w:szCs w:val="22"/>
              </w:rPr>
              <w:t xml:space="preserve"> </w:t>
            </w:r>
            <w:proofErr w:type="spellStart"/>
            <w:r w:rsidRPr="00BD048D">
              <w:rPr>
                <w:b/>
                <w:color w:val="000000"/>
                <w:spacing w:val="-2"/>
                <w:sz w:val="22"/>
                <w:szCs w:val="22"/>
              </w:rPr>
              <w:t>sauga</w:t>
            </w:r>
            <w:proofErr w:type="spellEnd"/>
            <w:r w:rsidRPr="00BD048D">
              <w:rPr>
                <w:b/>
                <w:color w:val="000000"/>
                <w:spacing w:val="-2"/>
                <w:sz w:val="22"/>
                <w:szCs w:val="22"/>
              </w:rPr>
              <w:t xml:space="preserve"> </w:t>
            </w:r>
            <w:proofErr w:type="spellStart"/>
            <w:r w:rsidRPr="00BD048D">
              <w:rPr>
                <w:b/>
                <w:color w:val="000000"/>
                <w:spacing w:val="-2"/>
                <w:sz w:val="22"/>
                <w:szCs w:val="22"/>
              </w:rPr>
              <w:t>darbe</w:t>
            </w:r>
            <w:proofErr w:type="spellEnd"/>
          </w:p>
        </w:tc>
      </w:tr>
      <w:tr w:rsidR="00C37F80" w:rsidRPr="00BD048D" w14:paraId="7715355F" w14:textId="77777777" w:rsidTr="005D3507">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5D3507">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5D3507">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5D3507">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5D3507">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5D3507">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5D3507">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w:t>
            </w:r>
            <w:r w:rsidRPr="00BD048D">
              <w:rPr>
                <w:color w:val="000000"/>
                <w:spacing w:val="-2"/>
                <w:sz w:val="22"/>
                <w:szCs w:val="22"/>
                <w:lang w:val="lt-LT"/>
              </w:rPr>
              <w:lastRenderedPageBreak/>
              <w:t>informaciją ir prieš pateikiant Pasiūlymą, kiek tai susiję su atitinkamais dalykais, būti ištyrus, įskaitant (tačiau neapsiribojant):</w:t>
            </w:r>
          </w:p>
        </w:tc>
      </w:tr>
      <w:tr w:rsidR="00552C2F" w:rsidRPr="00BD048D" w14:paraId="3BF69E75" w14:textId="77777777" w:rsidTr="005D3507">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5D3507">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5D3507">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5D3507">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5D3507">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5D3507">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5D3507">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5D3507">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5D3507">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5D3507">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5D3507">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5D3507">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5D3507">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5D3507">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5D3507">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5D3507">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5D3507">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5D3507">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5D3507">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5D3507">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5D3507">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5D3507">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5D3507">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5D3507">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5D3507">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5D3507">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Aplinkos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5A097C" w:rsidRPr="00BD048D" w14:paraId="42026760" w14:textId="77777777" w:rsidTr="005D3507">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5D3507">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5D3507">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5D3507">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5D3507">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5D3507">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5D3507">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5D3507">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Darbų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5D3507">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A82436" w:rsidRPr="00BD048D" w14:paraId="7486F250" w14:textId="77777777" w:rsidTr="005D3507">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(-ais).</w:t>
            </w:r>
          </w:p>
        </w:tc>
      </w:tr>
      <w:tr w:rsidR="00273468" w:rsidRPr="00BD048D" w14:paraId="75ACDF3D" w14:textId="77777777" w:rsidTr="005D3507">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5D3507">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 xml:space="preserve">Kiekvienoje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5D3507">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5D3507">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proofErr w:type="spellStart"/>
            <w:r w:rsidRPr="00BD048D">
              <w:rPr>
                <w:color w:val="000000"/>
                <w:sz w:val="22"/>
                <w:szCs w:val="22"/>
              </w:rPr>
              <w:t>Nuotraukoje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w:t>
            </w:r>
            <w:proofErr w:type="spellStart"/>
            <w:r w:rsidRPr="00BD048D">
              <w:rPr>
                <w:color w:val="000000"/>
                <w:sz w:val="22"/>
                <w:szCs w:val="22"/>
              </w:rPr>
              <w:t>ir</w:t>
            </w:r>
            <w:proofErr w:type="spellEnd"/>
            <w:r w:rsidRPr="00BD048D">
              <w:rPr>
                <w:color w:val="000000"/>
                <w:sz w:val="22"/>
                <w:szCs w:val="22"/>
              </w:rPr>
              <w:t xml:space="preserve">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5D3507">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5D3507">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5D3507">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5D3507">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bandymų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 xml:space="preserve">, </w:t>
            </w:r>
            <w:proofErr w:type="spellStart"/>
            <w:r w:rsidRPr="00BD048D">
              <w:rPr>
                <w:color w:val="000000"/>
                <w:sz w:val="22"/>
                <w:szCs w:val="22"/>
              </w:rPr>
              <w:t>ir</w:t>
            </w:r>
            <w:proofErr w:type="spellEnd"/>
          </w:p>
        </w:tc>
      </w:tr>
      <w:tr w:rsidR="00273468" w:rsidRPr="00BD048D" w14:paraId="6E2474C7" w14:textId="77777777" w:rsidTr="005D3507">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5D3507">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5D3507">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5D3507">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5D3507">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5D3507">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5D3507">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5D3507">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5D3507">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5D3507">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5D3507">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5D3507">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5D3507">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5D3507">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5D3507">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5D3507">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5D3507">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5D3507">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5D3507">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5D3507">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5D3507">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5D3507">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5D3507">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5D3507">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5D3507">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5D3507">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5D3507">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5D3507">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r w:rsidRPr="00BD048D">
              <w:rPr>
                <w:color w:val="000000"/>
                <w:sz w:val="22"/>
                <w:szCs w:val="22"/>
              </w:rPr>
              <w:t xml:space="preserve">Kiekviena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5D3507">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5D3507">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5D3507">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5D3507">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5D3507">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5D3507">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Subrangovai</w:t>
            </w:r>
            <w:proofErr w:type="spellEnd"/>
            <w:r w:rsidRPr="00BD048D">
              <w:rPr>
                <w:b/>
                <w:color w:val="000000"/>
                <w:sz w:val="22"/>
                <w:szCs w:val="22"/>
              </w:rPr>
              <w:t xml:space="preserve">, </w:t>
            </w:r>
            <w:proofErr w:type="spellStart"/>
            <w:r w:rsidRPr="00BD048D">
              <w:rPr>
                <w:b/>
                <w:color w:val="000000"/>
                <w:sz w:val="22"/>
                <w:szCs w:val="22"/>
              </w:rPr>
              <w:t>ūkio</w:t>
            </w:r>
            <w:proofErr w:type="spellEnd"/>
            <w:r w:rsidRPr="00BD048D">
              <w:rPr>
                <w:b/>
                <w:color w:val="000000"/>
                <w:sz w:val="22"/>
                <w:szCs w:val="22"/>
              </w:rPr>
              <w:t xml:space="preserve"> </w:t>
            </w:r>
            <w:proofErr w:type="spellStart"/>
            <w:r w:rsidRPr="00BD048D">
              <w:rPr>
                <w:b/>
                <w:color w:val="000000"/>
                <w:sz w:val="22"/>
                <w:szCs w:val="22"/>
              </w:rPr>
              <w:t>subjektai</w:t>
            </w:r>
            <w:proofErr w:type="spellEnd"/>
            <w:r w:rsidRPr="00BD048D">
              <w:rPr>
                <w:b/>
                <w:color w:val="000000"/>
                <w:sz w:val="22"/>
                <w:szCs w:val="22"/>
              </w:rPr>
              <w:t xml:space="preserve">, </w:t>
            </w:r>
            <w:proofErr w:type="spellStart"/>
            <w:r w:rsidRPr="00BD048D">
              <w:rPr>
                <w:b/>
                <w:color w:val="000000"/>
                <w:sz w:val="22"/>
                <w:szCs w:val="22"/>
              </w:rPr>
              <w:t>specialistai</w:t>
            </w:r>
            <w:proofErr w:type="spellEnd"/>
            <w:r w:rsidRPr="00BD048D">
              <w:rPr>
                <w:b/>
                <w:color w:val="000000"/>
                <w:sz w:val="22"/>
                <w:szCs w:val="22"/>
              </w:rPr>
              <w:t xml:space="preserve">, </w:t>
            </w:r>
            <w:proofErr w:type="spellStart"/>
            <w:r w:rsidRPr="00BD048D">
              <w:rPr>
                <w:b/>
                <w:color w:val="000000"/>
                <w:sz w:val="22"/>
                <w:szCs w:val="22"/>
              </w:rPr>
              <w:t>tretieji</w:t>
            </w:r>
            <w:proofErr w:type="spellEnd"/>
            <w:r w:rsidRPr="00BD048D">
              <w:rPr>
                <w:b/>
                <w:color w:val="000000"/>
                <w:sz w:val="22"/>
                <w:szCs w:val="22"/>
              </w:rPr>
              <w:t xml:space="preserve"> </w:t>
            </w:r>
            <w:proofErr w:type="spellStart"/>
            <w:r w:rsidRPr="00BD048D">
              <w:rPr>
                <w:b/>
                <w:color w:val="000000"/>
                <w:sz w:val="22"/>
                <w:szCs w:val="22"/>
              </w:rPr>
              <w:t>asmenys</w:t>
            </w:r>
            <w:proofErr w:type="spellEnd"/>
          </w:p>
        </w:tc>
      </w:tr>
      <w:tr w:rsidR="00484F7F" w:rsidRPr="00BD048D" w14:paraId="605059DA" w14:textId="77777777" w:rsidTr="005D3507">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5D3507">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w:t>
            </w:r>
            <w:r w:rsidRPr="00BD048D">
              <w:rPr>
                <w:color w:val="000000"/>
                <w:sz w:val="22"/>
                <w:szCs w:val="22"/>
                <w:lang w:val="lt-LT"/>
              </w:rPr>
              <w:lastRenderedPageBreak/>
              <w:t>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5D3507">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5D3507">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5D3507">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5D3507">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5D3507">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5D3507">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5D3507">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5D3507">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5D3507">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5D3507">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5D3507">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5D3507">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5D3507">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5D3507">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5D3507">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47"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5D3507">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5D3507">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5D3507">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5D3507">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5D3507">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5D3507">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5D3507">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5D3507">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5D3507">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5D3507">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5D3507">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47"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5D3507">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5D3507">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47"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5D3507">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5D3507">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5D3507">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5D3507">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5D3507">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5D3507">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5D3507">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5D3507">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5D3507">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5D3507">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5D3507">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5D3507">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5D3507">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5D3507">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5D3507">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5D3507">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5D3507">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5D3507">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5D3507">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baigimo</w:t>
            </w:r>
            <w:proofErr w:type="spellEnd"/>
            <w:r w:rsidRPr="00BD048D">
              <w:rPr>
                <w:b/>
                <w:color w:val="000000"/>
                <w:sz w:val="22"/>
                <w:szCs w:val="22"/>
              </w:rPr>
              <w:t xml:space="preserve"> </w:t>
            </w:r>
            <w:proofErr w:type="spellStart"/>
            <w:r w:rsidRPr="00BD048D">
              <w:rPr>
                <w:b/>
                <w:color w:val="000000"/>
                <w:sz w:val="22"/>
                <w:szCs w:val="22"/>
              </w:rPr>
              <w:t>laiko</w:t>
            </w:r>
            <w:proofErr w:type="spellEnd"/>
            <w:r w:rsidRPr="00BD048D">
              <w:rPr>
                <w:b/>
                <w:color w:val="000000"/>
                <w:sz w:val="22"/>
                <w:szCs w:val="22"/>
              </w:rPr>
              <w:t xml:space="preserve"> </w:t>
            </w:r>
            <w:proofErr w:type="spellStart"/>
            <w:r w:rsidRPr="00BD048D">
              <w:rPr>
                <w:b/>
                <w:color w:val="000000"/>
                <w:sz w:val="22"/>
                <w:szCs w:val="22"/>
              </w:rPr>
              <w:t>pratęsimas</w:t>
            </w:r>
            <w:proofErr w:type="spellEnd"/>
            <w:r w:rsidR="00160C0B">
              <w:rPr>
                <w:b/>
                <w:color w:val="000000"/>
                <w:sz w:val="22"/>
                <w:szCs w:val="22"/>
              </w:rPr>
              <w:t xml:space="preserve">: </w:t>
            </w:r>
            <w:proofErr w:type="spellStart"/>
            <w:r w:rsidR="00160C0B">
              <w:rPr>
                <w:b/>
                <w:color w:val="000000"/>
                <w:sz w:val="22"/>
                <w:szCs w:val="22"/>
              </w:rPr>
              <w:t>netaikomas</w:t>
            </w:r>
            <w:proofErr w:type="spellEnd"/>
            <w:r w:rsidR="00160C0B">
              <w:rPr>
                <w:b/>
                <w:color w:val="000000"/>
                <w:sz w:val="22"/>
                <w:szCs w:val="22"/>
              </w:rPr>
              <w:t xml:space="preserve">. </w:t>
            </w:r>
          </w:p>
        </w:tc>
      </w:tr>
      <w:tr w:rsidR="000907B3" w:rsidRPr="00BD048D" w14:paraId="74D71C61" w14:textId="77777777" w:rsidTr="005D3507">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0907B3" w:rsidRPr="00BD048D" w14:paraId="09DCA42E" w14:textId="77777777" w:rsidTr="005D3507">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5D3507">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5D3507">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5D3507">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5D3507">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5D3507">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5D3507">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5D3507">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5D3507">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5D3507">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5D3507">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5D3507">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5D3507">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5D3507">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5D3507">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5D3507">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47"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5D3507">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5D3507">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5D3507">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47"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5D3507">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minusavus tą terminą, kiek laiko buvo išnaudota iki Darbų sustabdymo.  </w:t>
            </w:r>
          </w:p>
        </w:tc>
      </w:tr>
      <w:tr w:rsidR="000907B3" w:rsidRPr="00BD048D" w14:paraId="38EBDED1" w14:textId="77777777" w:rsidTr="005D3507">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5D3507">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47"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5D3507">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5D3507">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5D3507">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5D3507">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5D3507">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62ECC2CA" w14:textId="77777777" w:rsidTr="005D3507">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5D3507">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5D3507">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5D3507">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5D3507">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5D3507">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5D3507">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5D3507">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5D3507">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5D3507">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5D3507">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5D3507">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5D3507">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5D3507">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47"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w:t>
            </w:r>
            <w:r w:rsidRPr="007635AB">
              <w:rPr>
                <w:color w:val="000000"/>
                <w:sz w:val="22"/>
                <w:szCs w:val="22"/>
                <w:lang w:val="lt-LT"/>
              </w:rPr>
              <w:lastRenderedPageBreak/>
              <w:t xml:space="preserve">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5D3507">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vykdomi per tą terminą, kiek liko, tai yra iš bendro Darbų vykdymui skirto termino minusavus tą terminą, kiek laiko buvo išnaudota Sutarties galiojimo sustabdymo.  </w:t>
            </w:r>
          </w:p>
        </w:tc>
      </w:tr>
      <w:tr w:rsidR="00E86358" w:rsidRPr="00BD048D" w14:paraId="15A91C57" w14:textId="77777777" w:rsidTr="005D3507">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5D3507">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47"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5D3507">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5D3507">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5D3507">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5D3507">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5D3507">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5D3507">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5D3507">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5D3507">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5D3507">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5D3507">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5D3507">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5D3507">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5D3507">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galiojimo</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sustabdymas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pagal</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bendrųjų</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sąlygų</w:t>
            </w:r>
            <w:proofErr w:type="spellEnd"/>
            <w:r w:rsidRPr="00BD048D">
              <w:rPr>
                <w:rFonts w:eastAsia="Calibri"/>
                <w:iCs/>
                <w:color w:val="000000"/>
                <w:sz w:val="22"/>
                <w:szCs w:val="22"/>
              </w:rPr>
              <w:t xml:space="preserve"> 9 </w:t>
            </w:r>
            <w:proofErr w:type="spellStart"/>
            <w:r w:rsidRPr="00BD048D">
              <w:rPr>
                <w:rFonts w:eastAsia="Calibri"/>
                <w:iCs/>
                <w:color w:val="000000"/>
                <w:sz w:val="22"/>
                <w:szCs w:val="22"/>
              </w:rPr>
              <w:t>punktą</w:t>
            </w:r>
            <w:proofErr w:type="spellEnd"/>
            <w:r w:rsidRPr="00BD048D">
              <w:rPr>
                <w:rFonts w:eastAsia="Calibri"/>
                <w:iCs/>
                <w:color w:val="000000"/>
                <w:sz w:val="22"/>
                <w:szCs w:val="22"/>
              </w:rPr>
              <w:t>.</w:t>
            </w:r>
          </w:p>
        </w:tc>
      </w:tr>
      <w:tr w:rsidR="009F4D5B" w:rsidRPr="00BD048D" w14:paraId="0B891D84" w14:textId="77777777" w:rsidTr="005D3507">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5D3507">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5D3507">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5D3507">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5D3507">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47"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keitimas</w:t>
            </w:r>
            <w:proofErr w:type="spellEnd"/>
            <w:r w:rsidRPr="00BD048D">
              <w:rPr>
                <w:b/>
                <w:color w:val="000000"/>
                <w:sz w:val="22"/>
                <w:szCs w:val="22"/>
              </w:rPr>
              <w:t xml:space="preserve"> </w:t>
            </w:r>
            <w:proofErr w:type="spellStart"/>
            <w:r w:rsidRPr="00BD048D">
              <w:rPr>
                <w:b/>
                <w:color w:val="000000"/>
                <w:sz w:val="22"/>
                <w:szCs w:val="22"/>
              </w:rPr>
              <w:t>jos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laikotarpiu</w:t>
            </w:r>
            <w:proofErr w:type="spellEnd"/>
          </w:p>
        </w:tc>
      </w:tr>
      <w:tr w:rsidR="00505596" w:rsidRPr="00BD048D" w14:paraId="69EA0D8F" w14:textId="77777777" w:rsidTr="005D3507">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5D3507">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47"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75pt;height:35.25pt;mso-width-percent:0;mso-height-percent:0;mso-width-percent:0;mso-height-percent:0" o:ole="">
                  <v:imagedata r:id="rId8" o:title=""/>
                </v:shape>
                <o:OLEObject Type="Embed" ProgID="Equation.3" ShapeID="_x0000_i1025" DrawAspect="Content" ObjectID="_1809718501" r:id="rId9"/>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8.75pt;height:18.75pt;mso-width-percent:0;mso-height-percent:0;mso-width-percent:0;mso-height-percent:0" o:ole="">
                  <v:imagedata r:id="rId10" o:title=""/>
                </v:shape>
                <o:OLEObject Type="Embed" ProgID="Equation.3" ShapeID="_x0000_i1026" DrawAspect="Content" ObjectID="_1809718502" r:id="rId11"/>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pt;height:18.75pt;mso-width-percent:0;mso-height-percent:0;mso-width-percent:0;mso-height-percent:0" o:ole="">
                  <v:imagedata r:id="rId12" o:title=""/>
                </v:shape>
                <o:OLEObject Type="Embed" ProgID="Equation.3" ShapeID="_x0000_i1027" DrawAspect="Content" ObjectID="_1809718503" r:id="rId13"/>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25pt;height:18.75pt;mso-width-percent:0;mso-height-percent:0;mso-width-percent:0;mso-height-percent:0" o:ole="">
                  <v:imagedata r:id="rId14" o:title=""/>
                </v:shape>
                <o:OLEObject Type="Embed" ProgID="Equation.3" ShapeID="_x0000_i1028" DrawAspect="Content" ObjectID="_1809718504" r:id="rId15"/>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5D3507">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5D3507">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5D3507">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5D3507">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5D3507">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5D3507">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proofErr w:type="spellStart"/>
            <w:r w:rsidRPr="00BD048D">
              <w:rPr>
                <w:color w:val="000000"/>
                <w:sz w:val="22"/>
                <w:szCs w:val="22"/>
                <w:u w:val="single"/>
              </w:rPr>
              <w:t>Jeigu</w:t>
            </w:r>
            <w:proofErr w:type="spellEnd"/>
            <w:r w:rsidRPr="00BD048D">
              <w:rPr>
                <w:color w:val="000000"/>
                <w:sz w:val="22"/>
                <w:szCs w:val="22"/>
                <w:u w:val="single"/>
              </w:rPr>
              <w:t xml:space="preserve"> </w:t>
            </w:r>
            <w:proofErr w:type="spellStart"/>
            <w:r w:rsidRPr="00BD048D">
              <w:rPr>
                <w:color w:val="000000"/>
                <w:sz w:val="22"/>
                <w:szCs w:val="22"/>
                <w:u w:val="single"/>
              </w:rPr>
              <w:t>Sutarties</w:t>
            </w:r>
            <w:proofErr w:type="spellEnd"/>
            <w:r w:rsidRPr="00BD048D">
              <w:rPr>
                <w:color w:val="000000"/>
                <w:sz w:val="22"/>
                <w:szCs w:val="22"/>
                <w:u w:val="single"/>
              </w:rPr>
              <w:t xml:space="preserve"> </w:t>
            </w:r>
            <w:proofErr w:type="spellStart"/>
            <w:r w:rsidRPr="00BD048D">
              <w:rPr>
                <w:color w:val="000000"/>
                <w:sz w:val="22"/>
                <w:szCs w:val="22"/>
                <w:u w:val="single"/>
              </w:rPr>
              <w:t>specialiosiose</w:t>
            </w:r>
            <w:proofErr w:type="spellEnd"/>
            <w:r w:rsidRPr="00BD048D">
              <w:rPr>
                <w:color w:val="000000"/>
                <w:sz w:val="22"/>
                <w:szCs w:val="22"/>
                <w:u w:val="single"/>
              </w:rPr>
              <w:t xml:space="preserve"> </w:t>
            </w:r>
            <w:proofErr w:type="spellStart"/>
            <w:r w:rsidRPr="00BD048D">
              <w:rPr>
                <w:color w:val="000000"/>
                <w:sz w:val="22"/>
                <w:szCs w:val="22"/>
                <w:u w:val="single"/>
              </w:rPr>
              <w:t>sąlygose</w:t>
            </w:r>
            <w:proofErr w:type="spellEnd"/>
            <w:r w:rsidRPr="00BD048D">
              <w:rPr>
                <w:b/>
                <w:color w:val="000000"/>
                <w:sz w:val="22"/>
                <w:szCs w:val="22"/>
                <w:u w:val="single"/>
              </w:rPr>
              <w:t xml:space="preserve"> </w:t>
            </w:r>
            <w:proofErr w:type="spellStart"/>
            <w:r w:rsidRPr="00BD048D">
              <w:rPr>
                <w:color w:val="000000"/>
                <w:sz w:val="22"/>
                <w:szCs w:val="22"/>
                <w:u w:val="single"/>
              </w:rPr>
              <w:t>nenumatyta</w:t>
            </w:r>
            <w:proofErr w:type="spellEnd"/>
            <w:r w:rsidRPr="00BD048D">
              <w:rPr>
                <w:color w:val="000000"/>
                <w:sz w:val="22"/>
                <w:szCs w:val="22"/>
                <w:u w:val="single"/>
              </w:rPr>
              <w:t xml:space="preserve"> </w:t>
            </w:r>
            <w:proofErr w:type="spellStart"/>
            <w:r w:rsidRPr="00BD048D">
              <w:rPr>
                <w:color w:val="000000"/>
                <w:sz w:val="22"/>
                <w:szCs w:val="22"/>
                <w:u w:val="single"/>
              </w:rPr>
              <w:t>kitaip</w:t>
            </w:r>
            <w:proofErr w:type="spellEnd"/>
            <w:r w:rsidRPr="00BD048D">
              <w:rPr>
                <w:color w:val="000000"/>
                <w:sz w:val="22"/>
                <w:szCs w:val="22"/>
                <w:u w:val="single"/>
              </w:rPr>
              <w:t>, tai:</w:t>
            </w:r>
          </w:p>
        </w:tc>
      </w:tr>
      <w:tr w:rsidR="00F4362A" w:rsidRPr="00BD048D" w14:paraId="4F901584" w14:textId="77777777" w:rsidTr="005D3507">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5D3507">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5D3507">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5D3507">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5D3507">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proofErr w:type="spellStart"/>
            <w:r>
              <w:rPr>
                <w:sz w:val="22"/>
                <w:szCs w:val="22"/>
              </w:rPr>
              <w:t>Darbų</w:t>
            </w:r>
            <w:proofErr w:type="spellEnd"/>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5D3507">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5D3507">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nusprendžia</w:t>
            </w:r>
            <w:r w:rsidRPr="00BD048D">
              <w:rPr>
                <w:color w:val="000000"/>
                <w:sz w:val="22"/>
                <w:szCs w:val="22"/>
                <w:lang w:val="lt-LT"/>
              </w:rPr>
              <w:t>tur</w:t>
            </w:r>
            <w:r w:rsidR="00BA151D" w:rsidRPr="00BD048D">
              <w:rPr>
                <w:color w:val="000000"/>
                <w:sz w:val="22"/>
                <w:szCs w:val="22"/>
                <w:lang w:val="lt-LT"/>
              </w:rPr>
              <w:t>inti</w:t>
            </w:r>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5D3507">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47"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5D3507">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5D3507">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5D3507">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5D3507">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5D3507">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5D3507">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47"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5D3507">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47"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Darbai</w:t>
            </w:r>
          </w:p>
        </w:tc>
      </w:tr>
      <w:tr w:rsidR="00A96A6B" w:rsidRPr="00BD048D" w14:paraId="6B8F9BD0" w14:textId="77777777" w:rsidTr="005D3507">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5D3507">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5D3507">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5D3507">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5D3507">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5D3507">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5D3507">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47"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5D3507">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47"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5D3507">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Tarpinio</w:t>
            </w:r>
            <w:proofErr w:type="spellEnd"/>
            <w:r w:rsidRPr="00BD048D">
              <w:rPr>
                <w:b/>
                <w:color w:val="000000"/>
                <w:sz w:val="22"/>
                <w:szCs w:val="22"/>
              </w:rPr>
              <w:t xml:space="preserve">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5D3507">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punktą nustatytų darbų eigos ataskaitų (jeigu taikoma) kiekvienam finansavimo šaltiniui (jeigu taikoma) atskirai, jeigu taip pateikti pareikalauja Užsakovas.</w:t>
            </w:r>
          </w:p>
        </w:tc>
      </w:tr>
      <w:tr w:rsidR="00114535" w:rsidRPr="00BD048D" w14:paraId="10DBF34A" w14:textId="77777777" w:rsidTr="005D3507">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5D3507">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5D3507">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5D3507">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5D3507">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5D3507">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EEDE137" w14:textId="0546D80E" w:rsidR="0063629E" w:rsidRPr="00BD048D" w:rsidRDefault="0063629E" w:rsidP="005B69B2">
            <w:pPr>
              <w:pStyle w:val="Pagrindinistekstas1"/>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Galutinio</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D607CD" w:rsidRPr="00BD048D" w14:paraId="092BC62B" w14:textId="77777777" w:rsidTr="005D3507">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5D3507">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5D3507">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5D3507">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5D3507">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5D3507">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5D3507">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5D3507">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5D3507">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5D3507">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5D3507">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5D3507">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5D3507">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5D3507">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5D3507">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5D3507">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5D3507">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5D3507">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proofErr w:type="spellStart"/>
            <w:r w:rsidRPr="00BD048D">
              <w:rPr>
                <w:rFonts w:eastAsia="Calibri"/>
                <w:color w:val="000000"/>
                <w:sz w:val="22"/>
                <w:szCs w:val="22"/>
              </w:rPr>
              <w:t>Rangovas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Užsakovui</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nurodžius</w:t>
            </w:r>
            <w:proofErr w:type="spellEnd"/>
            <w:r w:rsidRPr="00BD048D">
              <w:rPr>
                <w:rFonts w:eastAsia="Calibri"/>
                <w:color w:val="000000"/>
                <w:sz w:val="22"/>
                <w:szCs w:val="22"/>
              </w:rPr>
              <w:t xml:space="preserve">, per 5 </w:t>
            </w:r>
            <w:proofErr w:type="spellStart"/>
            <w:r w:rsidRPr="00BD048D">
              <w:rPr>
                <w:rFonts w:eastAsia="Calibri"/>
                <w:color w:val="000000"/>
                <w:sz w:val="22"/>
                <w:szCs w:val="22"/>
              </w:rPr>
              <w:t>darbo</w:t>
            </w:r>
            <w:proofErr w:type="spellEnd"/>
            <w:r w:rsidRPr="00BD048D">
              <w:rPr>
                <w:rFonts w:eastAsia="Calibri"/>
                <w:color w:val="000000"/>
                <w:sz w:val="22"/>
                <w:szCs w:val="22"/>
              </w:rPr>
              <w:t xml:space="preserve"> </w:t>
            </w:r>
            <w:proofErr w:type="spellStart"/>
            <w:r w:rsidRPr="00BD048D">
              <w:rPr>
                <w:rFonts w:eastAsia="Calibri"/>
                <w:color w:val="000000"/>
                <w:sz w:val="22"/>
                <w:szCs w:val="22"/>
              </w:rPr>
              <w:t>dienas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privalo</w:t>
            </w:r>
            <w:proofErr w:type="spellEnd"/>
            <w:r w:rsidRPr="00BD048D">
              <w:rPr>
                <w:rFonts w:eastAsia="Calibri"/>
                <w:color w:val="000000"/>
                <w:sz w:val="22"/>
                <w:szCs w:val="22"/>
              </w:rPr>
              <w:t xml:space="preserve"> </w:t>
            </w:r>
            <w:proofErr w:type="spellStart"/>
            <w:r w:rsidRPr="00BD048D">
              <w:rPr>
                <w:rFonts w:eastAsia="Calibri"/>
                <w:color w:val="000000"/>
                <w:sz w:val="22"/>
                <w:szCs w:val="22"/>
              </w:rPr>
              <w:t>pateikti</w:t>
            </w:r>
            <w:proofErr w:type="spellEnd"/>
            <w:r w:rsidRPr="00BD048D">
              <w:rPr>
                <w:rFonts w:eastAsia="Calibri"/>
                <w:color w:val="000000"/>
                <w:sz w:val="22"/>
                <w:szCs w:val="22"/>
              </w:rPr>
              <w:t>:</w:t>
            </w:r>
          </w:p>
        </w:tc>
      </w:tr>
      <w:tr w:rsidR="008C6A3C" w:rsidRPr="00BD048D" w14:paraId="4EC1F706" w14:textId="77777777" w:rsidTr="005D3507">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5D3507">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5D3507">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w:t>
            </w:r>
            <w:r w:rsidRPr="00BD048D">
              <w:rPr>
                <w:rFonts w:eastAsia="Calibri"/>
                <w:color w:val="000000"/>
                <w:sz w:val="22"/>
                <w:szCs w:val="22"/>
                <w:lang w:val="lt-LT"/>
              </w:rPr>
              <w:lastRenderedPageBreak/>
              <w:t>draudimo sutartys yra sudarytos ir sumokėtos draudimo įmokos, Rangovas apie tai taip pat privalo pranešti Užsakovui.</w:t>
            </w:r>
          </w:p>
        </w:tc>
      </w:tr>
      <w:tr w:rsidR="008C6A3C" w:rsidRPr="00BD048D" w14:paraId="2D21E319" w14:textId="77777777" w:rsidTr="005D3507">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5D3507">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5D3507">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5D3507">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5D3507">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5D3507">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5D3507">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5D3507">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proofErr w:type="spellStart"/>
            <w:r w:rsidRPr="000E6DB0">
              <w:rPr>
                <w:rFonts w:eastAsia="Calibri"/>
                <w:b/>
                <w:color w:val="000000"/>
                <w:sz w:val="22"/>
                <w:szCs w:val="22"/>
              </w:rPr>
              <w:t>S</w:t>
            </w:r>
            <w:r w:rsidRPr="000E6DB0">
              <w:rPr>
                <w:b/>
                <w:bCs/>
                <w:color w:val="000000"/>
                <w:sz w:val="22"/>
                <w:szCs w:val="22"/>
              </w:rPr>
              <w:t>tatinio</w:t>
            </w:r>
            <w:proofErr w:type="spellEnd"/>
            <w:r w:rsidRPr="000E6DB0">
              <w:rPr>
                <w:b/>
                <w:bCs/>
                <w:color w:val="000000"/>
                <w:sz w:val="22"/>
                <w:szCs w:val="22"/>
              </w:rPr>
              <w:t xml:space="preserve"> </w:t>
            </w:r>
            <w:proofErr w:type="spellStart"/>
            <w:r w:rsidRPr="000E6DB0">
              <w:rPr>
                <w:b/>
                <w:bCs/>
                <w:color w:val="000000"/>
                <w:sz w:val="22"/>
                <w:szCs w:val="22"/>
              </w:rPr>
              <w:t>projektuotojo</w:t>
            </w:r>
            <w:proofErr w:type="spellEnd"/>
            <w:r w:rsidRPr="000E6DB0">
              <w:rPr>
                <w:b/>
                <w:bCs/>
                <w:color w:val="000000"/>
                <w:sz w:val="22"/>
                <w:szCs w:val="22"/>
              </w:rPr>
              <w:t xml:space="preserve"> </w:t>
            </w:r>
            <w:proofErr w:type="spellStart"/>
            <w:r w:rsidRPr="000E6DB0">
              <w:rPr>
                <w:b/>
                <w:bCs/>
                <w:color w:val="000000"/>
                <w:sz w:val="22"/>
                <w:szCs w:val="22"/>
              </w:rPr>
              <w:t>civilinės</w:t>
            </w:r>
            <w:proofErr w:type="spellEnd"/>
            <w:r w:rsidRPr="000E6DB0">
              <w:rPr>
                <w:b/>
                <w:bCs/>
                <w:color w:val="000000"/>
                <w:sz w:val="22"/>
                <w:szCs w:val="22"/>
              </w:rPr>
              <w:t xml:space="preserve"> </w:t>
            </w:r>
            <w:proofErr w:type="spellStart"/>
            <w:r w:rsidRPr="000E6DB0">
              <w:rPr>
                <w:b/>
                <w:bCs/>
                <w:color w:val="000000"/>
                <w:sz w:val="22"/>
                <w:szCs w:val="22"/>
              </w:rPr>
              <w:t>atsakomybės</w:t>
            </w:r>
            <w:proofErr w:type="spellEnd"/>
            <w:r w:rsidRPr="000E6DB0">
              <w:rPr>
                <w:b/>
                <w:bCs/>
                <w:color w:val="000000"/>
                <w:sz w:val="22"/>
                <w:szCs w:val="22"/>
              </w:rPr>
              <w:t xml:space="preserve"> </w:t>
            </w:r>
            <w:proofErr w:type="spellStart"/>
            <w:r w:rsidRPr="000E6DB0">
              <w:rPr>
                <w:b/>
                <w:bCs/>
                <w:color w:val="000000"/>
                <w:sz w:val="22"/>
                <w:szCs w:val="22"/>
              </w:rPr>
              <w:t>privalomasis</w:t>
            </w:r>
            <w:proofErr w:type="spellEnd"/>
            <w:r w:rsidRPr="000E6DB0">
              <w:rPr>
                <w:b/>
                <w:bCs/>
                <w:color w:val="000000"/>
                <w:sz w:val="22"/>
                <w:szCs w:val="22"/>
              </w:rPr>
              <w:t xml:space="preserve"> </w:t>
            </w:r>
            <w:proofErr w:type="spellStart"/>
            <w:r w:rsidRPr="000E6DB0">
              <w:rPr>
                <w:b/>
                <w:bCs/>
                <w:color w:val="000000"/>
                <w:sz w:val="22"/>
                <w:szCs w:val="22"/>
              </w:rPr>
              <w:t>draudimas</w:t>
            </w:r>
            <w:proofErr w:type="spellEnd"/>
            <w:r w:rsidR="000E6DB0" w:rsidRPr="000E6DB0">
              <w:rPr>
                <w:b/>
                <w:bCs/>
                <w:color w:val="000000"/>
                <w:sz w:val="22"/>
                <w:szCs w:val="22"/>
              </w:rPr>
              <w:t xml:space="preserve">: </w:t>
            </w:r>
            <w:proofErr w:type="spellStart"/>
            <w:r w:rsidR="000E6DB0" w:rsidRPr="000E6DB0">
              <w:rPr>
                <w:b/>
                <w:bCs/>
                <w:color w:val="000000"/>
                <w:sz w:val="22"/>
                <w:szCs w:val="22"/>
              </w:rPr>
              <w:t>netaikomas</w:t>
            </w:r>
            <w:proofErr w:type="spellEnd"/>
          </w:p>
        </w:tc>
      </w:tr>
      <w:tr w:rsidR="008C6A3C" w:rsidRPr="00BD048D" w14:paraId="3967C94E" w14:textId="77777777" w:rsidTr="005D3507">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5D3507">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5D3507">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5D3507">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5D3507">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5D3507">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5D3507">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5D3507">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w:t>
            </w:r>
            <w:proofErr w:type="spellStart"/>
            <w:r w:rsidRPr="00BD048D">
              <w:rPr>
                <w:sz w:val="22"/>
              </w:rPr>
              <w:t>darbų</w:t>
            </w:r>
            <w:proofErr w:type="spellEnd"/>
            <w:r w:rsidRPr="00BD048D">
              <w:rPr>
                <w:sz w:val="22"/>
              </w:rPr>
              <w:t xml:space="preserve"> </w:t>
            </w:r>
            <w:proofErr w:type="spellStart"/>
            <w:r w:rsidRPr="00BD048D">
              <w:rPr>
                <w:sz w:val="22"/>
              </w:rPr>
              <w:t>kainą</w:t>
            </w:r>
            <w:proofErr w:type="spellEnd"/>
            <w:r w:rsidRPr="00BD048D">
              <w:rPr>
                <w:sz w:val="22"/>
              </w:rPr>
              <w:t>.</w:t>
            </w:r>
          </w:p>
        </w:tc>
      </w:tr>
      <w:tr w:rsidR="008C6A3C" w:rsidRPr="00BD048D" w14:paraId="340BF7FD" w14:textId="77777777" w:rsidTr="005D3507">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5D3507">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5D3507">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5D3507">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5D3507">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5D3507">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5D3507">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5D3507">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5D3507">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5D3507">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5D3507">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47"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r w:rsidRPr="00BD048D">
              <w:rPr>
                <w:b/>
                <w:bCs/>
                <w:color w:val="000000"/>
                <w:sz w:val="22"/>
                <w:szCs w:val="22"/>
              </w:rPr>
              <w:t xml:space="preserve">Nenugalimos </w:t>
            </w:r>
            <w:proofErr w:type="spellStart"/>
            <w:r w:rsidRPr="00BD048D">
              <w:rPr>
                <w:b/>
                <w:bCs/>
                <w:color w:val="000000"/>
                <w:sz w:val="22"/>
                <w:szCs w:val="22"/>
              </w:rPr>
              <w:t>jėgos</w:t>
            </w:r>
            <w:proofErr w:type="spellEnd"/>
            <w:r w:rsidRPr="00BD048D">
              <w:rPr>
                <w:b/>
                <w:bCs/>
                <w:color w:val="000000"/>
                <w:sz w:val="22"/>
                <w:szCs w:val="22"/>
              </w:rPr>
              <w:t xml:space="preserve"> </w:t>
            </w:r>
            <w:proofErr w:type="spellStart"/>
            <w:r w:rsidRPr="00BD048D">
              <w:rPr>
                <w:b/>
                <w:bCs/>
                <w:color w:val="000000"/>
                <w:sz w:val="22"/>
                <w:szCs w:val="22"/>
              </w:rPr>
              <w:t>aplinkybės</w:t>
            </w:r>
            <w:proofErr w:type="spellEnd"/>
            <w:r w:rsidRPr="00BD048D">
              <w:rPr>
                <w:b/>
                <w:bCs/>
                <w:color w:val="000000"/>
                <w:sz w:val="22"/>
                <w:szCs w:val="22"/>
              </w:rPr>
              <w:t xml:space="preserve">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5D3507">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5D3507">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 xml:space="preserve">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w:t>
            </w:r>
            <w:r w:rsidRPr="00BD048D">
              <w:rPr>
                <w:color w:val="000000"/>
                <w:sz w:val="22"/>
                <w:szCs w:val="22"/>
                <w:lang w:val="lt-LT"/>
              </w:rPr>
              <w:lastRenderedPageBreak/>
              <w:t>pateiktas nedelsiant kai tik Šalis sužinojo (arba privalėjo sužinoti) apie atitinkamus Nenugalimą jėgą sudarančius įvykį arba aplinkybes.</w:t>
            </w:r>
          </w:p>
        </w:tc>
      </w:tr>
      <w:tr w:rsidR="00B325DE" w:rsidRPr="00BD048D" w14:paraId="7E84B948" w14:textId="77777777" w:rsidTr="005D3507">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5D3507">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5D3507">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47"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5D3507">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ECCA81B" w14:textId="517B355C"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p>
        </w:tc>
      </w:tr>
      <w:tr w:rsidR="00B325DE" w:rsidRPr="00BD048D" w14:paraId="7DCF155B" w14:textId="77777777" w:rsidTr="005D3507">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7635AB">
              <w:rPr>
                <w:rFonts w:ascii="Times New Roman" w:hAnsi="Times New Roman"/>
                <w:sz w:val="22"/>
                <w:szCs w:val="22"/>
                <w:lang w:val="lt-LT"/>
              </w:rPr>
              <w:t>prie</w:t>
            </w:r>
            <w:r w:rsidR="00D006D5" w:rsidRPr="007635AB">
              <w:rPr>
                <w:rFonts w:ascii="Times New Roman" w:hAnsi="Times New Roman"/>
                <w:strike/>
                <w:sz w:val="22"/>
                <w:szCs w:val="22"/>
                <w:lang w:val="lt-LT"/>
              </w:rPr>
              <w:t xml:space="preserve">š </w:t>
            </w:r>
            <w:r w:rsidR="005F5B83" w:rsidRPr="007635AB">
              <w:rPr>
                <w:rFonts w:ascii="Times New Roman" w:hAnsi="Times New Roman"/>
                <w:sz w:val="22"/>
                <w:szCs w:val="22"/>
                <w:lang w:val="lt-LT"/>
              </w:rPr>
              <w:t>20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5D3507">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5D3507">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5D3507">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5D3507">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5D3507">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5D3507">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5D3507">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5D3507">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5D3507">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5D3507">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5D3507">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5D3507">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5D3507">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5D3507">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5D3507">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5D3507">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5D3507">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5D3507">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5D3507">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5D3507">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5D3507">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5D3507">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5D3507">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5D3507">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5D3507">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proofErr w:type="spellStart"/>
            <w:r w:rsidRPr="00BD048D">
              <w:rPr>
                <w:rFonts w:ascii="Times New Roman" w:eastAsia="Calibri" w:hAnsi="Times New Roman"/>
                <w:sz w:val="22"/>
                <w:szCs w:val="22"/>
                <w:lang w:eastAsia="ar-SA"/>
              </w:rPr>
              <w:t>Rangovas</w:t>
            </w:r>
            <w:proofErr w:type="spellEnd"/>
            <w:r w:rsidRPr="00BD048D">
              <w:rPr>
                <w:rFonts w:ascii="Times New Roman" w:eastAsia="Calibri" w:hAnsi="Times New Roman"/>
                <w:sz w:val="22"/>
                <w:szCs w:val="22"/>
                <w:lang w:eastAsia="ar-SA"/>
              </w:rPr>
              <w:t xml:space="preserve"> per </w:t>
            </w:r>
            <w:proofErr w:type="spellStart"/>
            <w:r w:rsidRPr="00BD048D">
              <w:rPr>
                <w:rFonts w:ascii="Times New Roman" w:eastAsia="Calibri" w:hAnsi="Times New Roman"/>
                <w:sz w:val="22"/>
                <w:szCs w:val="22"/>
                <w:lang w:eastAsia="ar-SA"/>
              </w:rPr>
              <w:t>Užsakovo</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nurodytą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terminą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privalo</w:t>
            </w:r>
            <w:proofErr w:type="spellEnd"/>
            <w:r w:rsidRPr="00BD048D">
              <w:rPr>
                <w:rFonts w:ascii="Times New Roman" w:eastAsia="Calibri" w:hAnsi="Times New Roman"/>
                <w:sz w:val="22"/>
                <w:szCs w:val="22"/>
                <w:lang w:eastAsia="ar-SA"/>
              </w:rPr>
              <w:t>:</w:t>
            </w:r>
          </w:p>
        </w:tc>
      </w:tr>
      <w:tr w:rsidR="006B1F9A" w:rsidRPr="00BD048D" w14:paraId="3CD0585C" w14:textId="77777777" w:rsidTr="005D3507">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5D3507">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5D3507">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5D3507">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5D3507">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5D3507">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5D3507">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5D3507">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5D3507">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5D3507">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5D3507">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5D3507">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5D3507">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5D3507">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47"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5D3507">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5D3507">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5D3507">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5D3507">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0502F742"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4F0512">
        <w:rPr>
          <w:b/>
          <w:bCs/>
          <w:color w:val="000000"/>
          <w:lang w:eastAsia="lt-LT"/>
        </w:rPr>
        <w:t>5</w:t>
      </w:r>
      <w:r w:rsidR="006B2AB7">
        <w:rPr>
          <w:b/>
          <w:bCs/>
          <w:color w:val="000000"/>
          <w:lang w:eastAsia="lt-LT"/>
        </w:rPr>
        <w:t xml:space="preserve">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______m.__________mėn.</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7777777" w:rsidR="00394FD0" w:rsidRPr="002B4496" w:rsidRDefault="00394FD0" w:rsidP="00591547">
            <w:pPr>
              <w:rPr>
                <w:i/>
                <w:iCs/>
                <w:color w:val="000000"/>
                <w:sz w:val="22"/>
                <w:szCs w:val="22"/>
                <w:lang w:eastAsia="lt-LT"/>
              </w:rPr>
            </w:pPr>
            <w:r w:rsidRPr="002B4496">
              <w:rPr>
                <w:i/>
                <w:iCs/>
                <w:color w:val="000000"/>
                <w:sz w:val="22"/>
                <w:szCs w:val="22"/>
                <w:lang w:eastAsia="lt-LT"/>
              </w:rPr>
              <w:t>[Darbų grupės (etapo) pavadinimas pagal Žiniaraštį (Įkainotos veiklos sąrašas]</w:t>
            </w: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1C13" w14:textId="77777777" w:rsidR="005B0662" w:rsidRDefault="005B0662">
      <w:r>
        <w:separator/>
      </w:r>
    </w:p>
  </w:endnote>
  <w:endnote w:type="continuationSeparator" w:id="0">
    <w:p w14:paraId="00D57FB4" w14:textId="77777777" w:rsidR="005B0662" w:rsidRDefault="005B0662">
      <w:r>
        <w:continuationSeparator/>
      </w:r>
    </w:p>
  </w:endnote>
  <w:endnote w:type="continuationNotice" w:id="1">
    <w:p w14:paraId="605E6D88" w14:textId="77777777" w:rsidR="005B0662" w:rsidRDefault="005B0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Optima">
    <w:charset w:val="00"/>
    <w:family w:val="auto"/>
    <w:pitch w:val="variable"/>
    <w:sig w:usb0="80000067"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C6A3" w14:textId="77777777" w:rsidR="005B0662" w:rsidRDefault="005B0662">
      <w:r>
        <w:separator/>
      </w:r>
    </w:p>
  </w:footnote>
  <w:footnote w:type="continuationSeparator" w:id="0">
    <w:p w14:paraId="6378A1D0" w14:textId="77777777" w:rsidR="005B0662" w:rsidRDefault="005B0662">
      <w:r>
        <w:continuationSeparator/>
      </w:r>
    </w:p>
  </w:footnote>
  <w:footnote w:type="continuationNotice" w:id="1">
    <w:p w14:paraId="4F8A401E" w14:textId="77777777" w:rsidR="005B0662" w:rsidRDefault="005B0662"/>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E22"/>
    <w:rsid w:val="00022F3B"/>
    <w:rsid w:val="00023000"/>
    <w:rsid w:val="000232C4"/>
    <w:rsid w:val="000235BA"/>
    <w:rsid w:val="000241E1"/>
    <w:rsid w:val="00024917"/>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3AA"/>
    <w:rsid w:val="000E2E86"/>
    <w:rsid w:val="000E33C0"/>
    <w:rsid w:val="000E3877"/>
    <w:rsid w:val="000E4340"/>
    <w:rsid w:val="000E4587"/>
    <w:rsid w:val="000E56F6"/>
    <w:rsid w:val="000E5EED"/>
    <w:rsid w:val="000E5F0E"/>
    <w:rsid w:val="000E6489"/>
    <w:rsid w:val="000E6ADA"/>
    <w:rsid w:val="000E6DB0"/>
    <w:rsid w:val="000E727D"/>
    <w:rsid w:val="000E73C3"/>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01B"/>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354"/>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16A"/>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6DDC"/>
    <w:rsid w:val="00266EE6"/>
    <w:rsid w:val="00267782"/>
    <w:rsid w:val="002702EF"/>
    <w:rsid w:val="00270357"/>
    <w:rsid w:val="00270902"/>
    <w:rsid w:val="00270916"/>
    <w:rsid w:val="00270AA8"/>
    <w:rsid w:val="00270C2E"/>
    <w:rsid w:val="00271089"/>
    <w:rsid w:val="00273468"/>
    <w:rsid w:val="0027463E"/>
    <w:rsid w:val="00274A0E"/>
    <w:rsid w:val="00274F3B"/>
    <w:rsid w:val="0027505E"/>
    <w:rsid w:val="002753C7"/>
    <w:rsid w:val="0027567D"/>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4D6"/>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3C63"/>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AF9"/>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A55"/>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4FA"/>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42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512"/>
    <w:rsid w:val="004F08AA"/>
    <w:rsid w:val="004F099B"/>
    <w:rsid w:val="004F0A90"/>
    <w:rsid w:val="004F26FD"/>
    <w:rsid w:val="004F2A6E"/>
    <w:rsid w:val="004F3E22"/>
    <w:rsid w:val="004F3ED3"/>
    <w:rsid w:val="004F3FC5"/>
    <w:rsid w:val="004F4AC7"/>
    <w:rsid w:val="004F4CA5"/>
    <w:rsid w:val="004F60E0"/>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8E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6DF7"/>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662"/>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4796C"/>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363"/>
    <w:rsid w:val="00767D18"/>
    <w:rsid w:val="007702DF"/>
    <w:rsid w:val="00770427"/>
    <w:rsid w:val="007707C7"/>
    <w:rsid w:val="007712B7"/>
    <w:rsid w:val="007718BE"/>
    <w:rsid w:val="00772470"/>
    <w:rsid w:val="0077247D"/>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644B"/>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3B8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300"/>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3D4"/>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0401"/>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5B2"/>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7CB"/>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0E8C"/>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8BE"/>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4FD"/>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5B71"/>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45E"/>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007"/>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0D55"/>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098"/>
    <w:rsid w:val="00D252E2"/>
    <w:rsid w:val="00D2557B"/>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0FF"/>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B8F"/>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1B8"/>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6DE9"/>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23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2C89"/>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523"/>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DEC"/>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B695A"/>
  <w15:chartTrackingRefBased/>
  <w15:docId w15:val="{7D63026B-39FB-4A18-AA58-F21246AB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25E1-4B32-4B65-A972-8E00A99E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65106</Words>
  <Characters>37111</Characters>
  <Application>Microsoft Office Word</Application>
  <DocSecurity>0</DocSecurity>
  <Lines>309</Lines>
  <Paragraphs>204</Paragraphs>
  <ScaleCrop>false</ScaleCrop>
  <Company/>
  <LinksUpToDate>false</LinksUpToDate>
  <CharactersWithSpaces>102013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Aušra Pagodinienė</cp:lastModifiedBy>
  <cp:revision>3</cp:revision>
  <dcterms:created xsi:type="dcterms:W3CDTF">2025-05-25T19:48:00Z</dcterms:created>
  <dcterms:modified xsi:type="dcterms:W3CDTF">2025-05-25T19:48:00Z</dcterms:modified>
</cp:coreProperties>
</file>