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95" w:hanging="0"/>
        <w:jc w:val="center"/>
        <w:rPr/>
      </w:pPr>
      <w:r>
        <w:rPr>
          <w:b/>
        </w:rPr>
        <w:t>PREKIŲ PIRKIMO – PARDAVIMO SUTARTIS</w:t>
      </w:r>
    </w:p>
    <w:p>
      <w:pPr>
        <w:pStyle w:val="Normal"/>
        <w:ind w:right="-495" w:hanging="0"/>
        <w:jc w:val="center"/>
        <w:rPr>
          <w:b/>
          <w:b/>
        </w:rPr>
      </w:pPr>
      <w:r>
        <w:rPr>
          <w:b/>
        </w:rPr>
      </w:r>
    </w:p>
    <w:p>
      <w:pPr>
        <w:pStyle w:val="Normal"/>
        <w:widowControl w:val="false"/>
        <w:suppressAutoHyphens w:val="true"/>
        <w:jc w:val="center"/>
        <w:rPr/>
      </w:pPr>
      <w:r>
        <w:rPr>
          <w:rFonts w:eastAsia="SimSun;宋体"/>
          <w:kern w:val="2"/>
          <w:lang w:eastAsia="hi-IN" w:bidi="hi-IN"/>
        </w:rPr>
        <w:t>2023 m. gruodžio    d. Nr. VP2 –</w:t>
      </w:r>
    </w:p>
    <w:p>
      <w:pPr>
        <w:pStyle w:val="Normal"/>
        <w:widowControl w:val="false"/>
        <w:suppressAutoHyphens w:val="true"/>
        <w:jc w:val="center"/>
        <w:rPr>
          <w:rFonts w:eastAsia="SimSun;宋体"/>
          <w:kern w:val="2"/>
          <w:lang w:eastAsia="hi-IN" w:bidi="hi-IN"/>
        </w:rPr>
      </w:pPr>
      <w:r>
        <w:rPr>
          <w:rFonts w:eastAsia="SimSun;宋体"/>
          <w:kern w:val="2"/>
          <w:lang w:eastAsia="hi-IN" w:bidi="hi-IN"/>
        </w:rPr>
        <w:t>Jonava</w:t>
      </w:r>
    </w:p>
    <w:p>
      <w:pPr>
        <w:pStyle w:val="Normal"/>
        <w:widowControl w:val="false"/>
        <w:suppressAutoHyphens w:val="true"/>
        <w:jc w:val="both"/>
        <w:rPr>
          <w:rFonts w:eastAsia="SimSun;宋体"/>
          <w:kern w:val="2"/>
          <w:lang w:eastAsia="hi-IN" w:bidi="hi-IN"/>
        </w:rPr>
      </w:pPr>
      <w:r>
        <w:rPr>
          <w:rFonts w:eastAsia="SimSun;宋体"/>
          <w:kern w:val="2"/>
          <w:lang w:eastAsia="hi-IN" w:bidi="hi-IN"/>
        </w:rPr>
      </w:r>
    </w:p>
    <w:p>
      <w:pPr>
        <w:pStyle w:val="Normal"/>
        <w:widowControl w:val="false"/>
        <w:tabs>
          <w:tab w:val="left" w:pos="1247" w:leader="none"/>
        </w:tabs>
        <w:suppressAutoHyphens w:val="true"/>
        <w:jc w:val="both"/>
        <w:rPr/>
      </w:pPr>
      <w:r>
        <w:rPr>
          <w:rFonts w:eastAsia="SimSun;宋体"/>
          <w:kern w:val="2"/>
          <w:lang w:eastAsia="hi-IN" w:bidi="hi-IN"/>
        </w:rPr>
        <w:tab/>
        <w:t xml:space="preserve">Jonavos politechnikos mokykla, įmonės kodas 111964563, adresas – Kauno g. 75, LT-55179 Jonava, atstovaujama direktorės  Virginijos Milinavičienės, veikiančios pagal Mokyklos įstatus, toliau vadinama </w:t>
      </w:r>
      <w:r>
        <w:rPr>
          <w:rFonts w:eastAsia="SimSun;宋体"/>
          <w:b/>
          <w:bCs/>
          <w:i/>
          <w:iCs/>
          <w:kern w:val="2"/>
          <w:lang w:eastAsia="hi-IN" w:bidi="hi-IN"/>
        </w:rPr>
        <w:t>Pirkėju</w:t>
      </w:r>
      <w:r>
        <w:rPr>
          <w:rFonts w:eastAsia="SimSun;宋体"/>
          <w:kern w:val="2"/>
          <w:lang w:eastAsia="hi-IN" w:bidi="hi-IN"/>
        </w:rPr>
        <w:t xml:space="preserve">, ir UAB „Dinora“, atstovaujama direktoriaus Roberto Rutkausko, veikiančio pagal bendrovės įstatus, toliau vadinama </w:t>
      </w:r>
      <w:r>
        <w:rPr>
          <w:rFonts w:eastAsia="SimSun;宋体"/>
          <w:b/>
          <w:bCs/>
          <w:i/>
          <w:iCs/>
          <w:kern w:val="2"/>
          <w:lang w:eastAsia="hi-IN" w:bidi="hi-IN"/>
        </w:rPr>
        <w:t>Pardavėju</w:t>
      </w:r>
      <w:r>
        <w:rPr>
          <w:rFonts w:eastAsia="SimSun;宋体"/>
          <w:kern w:val="2"/>
          <w:lang w:eastAsia="hi-IN" w:bidi="hi-IN"/>
        </w:rPr>
        <w:t>, sudarė šią Sutartį:</w:t>
      </w:r>
    </w:p>
    <w:p>
      <w:pPr>
        <w:pStyle w:val="Normal"/>
        <w:tabs>
          <w:tab w:val="left" w:pos="1247" w:leader="none"/>
        </w:tabs>
        <w:suppressAutoHyphens w:val="true"/>
        <w:rPr/>
      </w:pPr>
      <w:r>
        <w:rPr>
          <w:rFonts w:eastAsia="SimSun;宋体"/>
          <w:kern w:val="2"/>
          <w:lang w:eastAsia="hi-IN" w:bidi="hi-IN"/>
        </w:rPr>
        <w:tab/>
        <w:tab/>
        <w:tab/>
        <w:tab/>
        <w:tab/>
        <w:tab/>
      </w:r>
    </w:p>
    <w:p>
      <w:pPr>
        <w:pStyle w:val="Normal"/>
        <w:tabs>
          <w:tab w:val="left" w:pos="1247" w:leader="none"/>
        </w:tabs>
        <w:suppressAutoHyphens w:val="true"/>
        <w:jc w:val="center"/>
        <w:rPr>
          <w:rFonts w:eastAsia="SimSun;宋体"/>
          <w:b/>
          <w:b/>
          <w:bCs/>
          <w:kern w:val="2"/>
          <w:lang w:eastAsia="hi-IN" w:bidi="hi-IN"/>
        </w:rPr>
      </w:pPr>
      <w:r>
        <w:rPr>
          <w:rFonts w:eastAsia="SimSun;宋体"/>
          <w:b/>
          <w:bCs/>
          <w:kern w:val="2"/>
          <w:lang w:eastAsia="hi-IN" w:bidi="hi-IN"/>
        </w:rPr>
        <w:t>1. SUTARTIES DALYKAS</w:t>
      </w:r>
    </w:p>
    <w:p>
      <w:pPr>
        <w:pStyle w:val="Normal"/>
        <w:numPr>
          <w:ilvl w:val="1"/>
          <w:numId w:val="2"/>
        </w:numPr>
        <w:tabs>
          <w:tab w:val="left" w:pos="1247" w:leader="none"/>
        </w:tabs>
        <w:suppressAutoHyphens w:val="true"/>
        <w:jc w:val="both"/>
        <w:rPr>
          <w:rFonts w:eastAsia="SimSun;宋体"/>
          <w:bCs/>
          <w:kern w:val="2"/>
          <w:lang w:eastAsia="hi-IN" w:bidi="hi-IN"/>
        </w:rPr>
      </w:pPr>
      <w:r>
        <w:rPr>
          <w:rFonts w:eastAsia="SimSun;宋体"/>
          <w:bCs/>
          <w:kern w:val="2"/>
          <w:lang w:eastAsia="hi-IN" w:bidi="hi-IN"/>
        </w:rPr>
        <w:t>Pardavėjas</w:t>
      </w:r>
      <w:r>
        <w:rPr>
          <w:rFonts w:eastAsia="SimSun;宋体"/>
          <w:b/>
          <w:bCs/>
          <w:kern w:val="2"/>
          <w:lang w:eastAsia="hi-IN" w:bidi="hi-IN"/>
        </w:rPr>
        <w:t xml:space="preserve"> </w:t>
      </w:r>
      <w:r>
        <w:rPr>
          <w:rFonts w:eastAsia="SimSun;宋体"/>
          <w:bCs/>
          <w:kern w:val="2"/>
          <w:lang w:eastAsia="hi-IN" w:bidi="hi-IN"/>
        </w:rPr>
        <w:t>įsipareigoja laiku pateikti kokybiškus metalinius baldus transporto priemonių remontininkų dirbtuvėms, tenkinančias aprašytus reikalavimus.</w:t>
      </w:r>
    </w:p>
    <w:p>
      <w:pPr>
        <w:pStyle w:val="Normal"/>
        <w:tabs>
          <w:tab w:val="left" w:pos="1247" w:leader="none"/>
        </w:tabs>
        <w:suppressAutoHyphens w:val="true"/>
        <w:jc w:val="both"/>
        <w:rPr>
          <w:rFonts w:eastAsia="SimSun;宋体"/>
          <w:bCs/>
          <w:kern w:val="2"/>
          <w:lang w:eastAsia="hi-IN" w:bidi="hi-IN"/>
        </w:rPr>
      </w:pPr>
      <w:r>
        <w:rPr>
          <w:rFonts w:eastAsia="SimSun;宋体"/>
          <w:bCs/>
          <w:kern w:val="2"/>
          <w:lang w:eastAsia="hi-IN" w:bidi="hi-IN"/>
        </w:rPr>
        <w:tab/>
        <w:t>1.2. Pirkėjas įsipareigoja sumokėti už prekes šioje Sutartyje  numatytais terminais ir tvarka.</w:t>
      </w:r>
    </w:p>
    <w:p>
      <w:pPr>
        <w:pStyle w:val="Normal"/>
        <w:jc w:val="both"/>
        <w:rPr>
          <w:rFonts w:eastAsia="SimSun;宋体"/>
          <w:bCs/>
          <w:kern w:val="2"/>
          <w:lang w:eastAsia="lt-LT" w:bidi="hi-IN"/>
        </w:rPr>
      </w:pPr>
      <w:r>
        <w:rPr>
          <w:rFonts w:eastAsia="SimSun;宋体"/>
          <w:bCs/>
          <w:kern w:val="2"/>
          <w:lang w:eastAsia="lt-LT" w:bidi="hi-IN"/>
        </w:rPr>
      </w:r>
    </w:p>
    <w:p>
      <w:pPr>
        <w:pStyle w:val="Normal"/>
        <w:suppressAutoHyphens w:val="true"/>
        <w:ind w:left="360" w:hanging="0"/>
        <w:jc w:val="center"/>
        <w:rPr>
          <w:rFonts w:eastAsia="SimSun;宋体"/>
          <w:b/>
          <w:b/>
          <w:bCs/>
          <w:kern w:val="2"/>
          <w:lang w:eastAsia="hi-IN" w:bidi="hi-IN"/>
        </w:rPr>
      </w:pPr>
      <w:r>
        <w:rPr>
          <w:rFonts w:eastAsia="SimSun;宋体"/>
          <w:b/>
          <w:bCs/>
          <w:kern w:val="2"/>
          <w:lang w:eastAsia="hi-IN" w:bidi="hi-IN"/>
        </w:rPr>
        <w:t xml:space="preserve">2. KAINA IR APMOKĖJIMO SĄLYGOS </w:t>
      </w:r>
    </w:p>
    <w:p>
      <w:pPr>
        <w:pStyle w:val="Normal"/>
        <w:widowControl w:val="false"/>
        <w:suppressAutoHyphens w:val="true"/>
        <w:ind w:firstLine="1247"/>
        <w:jc w:val="both"/>
        <w:rPr>
          <w:rFonts w:eastAsia="SimSun;宋体"/>
          <w:b/>
          <w:b/>
          <w:kern w:val="2"/>
          <w:lang w:eastAsia="hi-IN" w:bidi="hi-IN"/>
        </w:rPr>
      </w:pPr>
      <w:r>
        <w:rPr>
          <w:rFonts w:eastAsia="SimSun;宋体"/>
          <w:kern w:val="2"/>
          <w:lang w:eastAsia="hi-IN" w:bidi="hi-IN"/>
        </w:rPr>
        <w:t xml:space="preserve">2.1. Galutinė prekių, išvardintų sutarties priede, kaina su PVM ir visomis kitomis tiekėjo išlaidomis yra 17849,95 EUR (septyniolika tūkstančių aštuoni šimtai keturiasdešimt devyni eurai devyniasdešimt penki centai). Tame tarpe PVM sudaro 3097,92 EUR (trys tūkstančiai devyniasdešimt septyni eurai devyniasdešimt du centai). Už prekes Pardavėjui apmokama pasiūlyme pateiktomis kainomis </w:t>
      </w:r>
      <w:r>
        <w:rPr>
          <w:rFonts w:eastAsia="SimSun;宋体"/>
          <w:b/>
          <w:kern w:val="2"/>
          <w:lang w:eastAsia="hi-IN" w:bidi="hi-IN"/>
        </w:rPr>
        <w:t xml:space="preserve">pagal pateiktą PVM sąskaitą faktūrą. </w:t>
      </w:r>
    </w:p>
    <w:p>
      <w:pPr>
        <w:pStyle w:val="Normal"/>
        <w:widowControl w:val="false"/>
        <w:suppressAutoHyphens w:val="true"/>
        <w:ind w:firstLine="1247"/>
        <w:jc w:val="both"/>
        <w:rPr>
          <w:rFonts w:eastAsia="SimSun;宋体"/>
          <w:b/>
          <w:b/>
          <w:kern w:val="2"/>
          <w:lang w:eastAsia="hi-IN" w:bidi="hi-IN"/>
        </w:rPr>
      </w:pPr>
      <w:r>
        <w:rPr>
          <w:rFonts w:eastAsia="SimSun;宋体"/>
          <w:b/>
          <w:kern w:val="2"/>
          <w:lang w:eastAsia="hi-IN" w:bidi="hi-IN"/>
        </w:rPr>
      </w:r>
    </w:p>
    <w:p>
      <w:pPr>
        <w:pStyle w:val="Normal"/>
        <w:tabs>
          <w:tab w:val="left" w:pos="1247" w:leader="none"/>
        </w:tabs>
        <w:suppressAutoHyphens w:val="true"/>
        <w:jc w:val="center"/>
        <w:rPr>
          <w:rFonts w:eastAsia="SimSun;宋体"/>
          <w:b/>
          <w:b/>
          <w:bCs/>
          <w:kern w:val="2"/>
          <w:lang w:eastAsia="hi-IN" w:bidi="hi-IN"/>
        </w:rPr>
      </w:pPr>
      <w:r>
        <w:rPr>
          <w:rFonts w:eastAsia="SimSun;宋体"/>
          <w:b/>
          <w:bCs/>
          <w:kern w:val="2"/>
          <w:lang w:eastAsia="hi-IN" w:bidi="hi-IN"/>
        </w:rPr>
        <w:t>3. PREKIŲ PRISTATYMO  TERMINAI IR SĄLYGOS</w:t>
      </w:r>
    </w:p>
    <w:p>
      <w:pPr>
        <w:pStyle w:val="Normal"/>
        <w:ind w:firstLine="1247"/>
        <w:jc w:val="both"/>
        <w:rPr>
          <w:bCs/>
          <w:sz w:val="22"/>
          <w:szCs w:val="22"/>
        </w:rPr>
      </w:pPr>
      <w:r>
        <w:rPr>
          <w:sz w:val="22"/>
          <w:szCs w:val="22"/>
        </w:rPr>
        <w:t xml:space="preserve">3.1. </w:t>
      </w:r>
      <w:r>
        <w:rPr>
          <w:b/>
          <w:bCs/>
          <w:sz w:val="22"/>
          <w:szCs w:val="22"/>
        </w:rPr>
        <w:t>Pardavėjas prekes turi pristatyti adresu Kauno g. 75, LT-55179 Jonava ir sumontuoti iki 2023 m. gruodžio 15 d.</w:t>
      </w:r>
    </w:p>
    <w:p>
      <w:pPr>
        <w:pStyle w:val="Normal"/>
        <w:ind w:firstLine="709"/>
        <w:jc w:val="both"/>
        <w:rPr>
          <w:bCs/>
          <w:sz w:val="22"/>
          <w:szCs w:val="22"/>
        </w:rPr>
      </w:pPr>
      <w:r>
        <w:rPr>
          <w:bCs/>
          <w:sz w:val="22"/>
          <w:szCs w:val="22"/>
        </w:rPr>
        <w:tab/>
        <w:t>3.2. Prekes pardavėjas pristato savo transportu ir savo sąskaita. Į jų kainą turi būti įskaičiuotos visos išlaidos, visi mokesčiai, ir kiti mokėjimai, jeigu tokių būtų.  Prekės turi atitikti visus gamintojo numatytus kokybės bei aplinkosauginius reikalavimus ir būti tinkamos naudoti ugdymo įstaigose.</w:t>
      </w:r>
    </w:p>
    <w:p>
      <w:pPr>
        <w:pStyle w:val="Normal"/>
        <w:ind w:firstLine="708"/>
        <w:jc w:val="both"/>
        <w:rPr>
          <w:bCs/>
          <w:sz w:val="22"/>
          <w:szCs w:val="22"/>
        </w:rPr>
      </w:pPr>
      <w:r>
        <w:rPr>
          <w:bCs/>
          <w:sz w:val="22"/>
          <w:szCs w:val="22"/>
        </w:rPr>
        <w:tab/>
        <w:t>3.3. Už prekes atsiskaitoma pavedimu per 30 (trisdešimt) kalendorinių dienų nuo prekių gavimo, perdavimo – priėmimo akto pasirašymo ir PVM sąskaitos faktūros pateikimo dienos. PVM sąskaitoje faktūroje prekių kainos turi būti tiksliai tokios, kokias tiekėjas pateikė pasiūlyme. Pastebėjus kainų neatitikimų, sąskaita faktūra nepriimama ir siūloma ją pataisyti.. Jeigu PVM sąskaitą faktūra išrašoma anksčiau, negu buvo pristatytos prekės, apmokėjimo terminas skaičiuojamas nuo prekių perdavimo  - priėmimo akto pasirašymo.</w:t>
      </w:r>
    </w:p>
    <w:p>
      <w:pPr>
        <w:pStyle w:val="Normal"/>
        <w:ind w:firstLine="708"/>
        <w:jc w:val="both"/>
        <w:rPr/>
      </w:pPr>
      <w:r>
        <w:rPr>
          <w:bCs/>
          <w:sz w:val="22"/>
          <w:szCs w:val="22"/>
        </w:rPr>
        <w:tab/>
      </w:r>
      <w:r>
        <w:rPr>
          <w:b/>
          <w:bCs/>
          <w:sz w:val="22"/>
          <w:szCs w:val="22"/>
        </w:rPr>
        <w:t>3.4.  Pasikeitus PVM mokesčiui, prekių kainos perskaičiuojamos nuo mokesčių pasikeitimo dienos, atsižvelgiant į mokesčių pasikeitimą ir taikomos prekėms, įgytoms po mokesčių pasikeitimo. Dėl kitų priežasčių prekių kainos neperskaičiuojamos.</w:t>
      </w:r>
    </w:p>
    <w:p>
      <w:pPr>
        <w:pStyle w:val="Normal"/>
        <w:widowControl w:val="false"/>
        <w:suppressAutoHyphens w:val="true"/>
        <w:ind w:firstLine="1247"/>
        <w:jc w:val="both"/>
        <w:rPr/>
      </w:pPr>
      <w:r>
        <w:rPr>
          <w:bCs/>
          <w:sz w:val="22"/>
          <w:szCs w:val="22"/>
        </w:rPr>
        <w:t xml:space="preserve">3.5. </w:t>
      </w:r>
      <w:r>
        <w:rPr>
          <w:rFonts w:eastAsia="SimSun;宋体"/>
          <w:kern w:val="2"/>
          <w:sz w:val="22"/>
          <w:szCs w:val="22"/>
          <w:lang w:eastAsia="hi-IN" w:bidi="hi-IN"/>
        </w:rPr>
        <w:t>Pirkėjui, nesumokėjus už gautas prekes Sutartyje numatytu terminu, Tiekėjas gali skaičiuoti delspinigius po 0,02 % nuo nesumokėtos sumos už kiekvieną uždelstą kalendorinę dieną.</w:t>
      </w:r>
    </w:p>
    <w:p>
      <w:pPr>
        <w:pStyle w:val="Normal"/>
        <w:widowControl w:val="false"/>
        <w:suppressAutoHyphens w:val="true"/>
        <w:ind w:firstLine="1247"/>
        <w:jc w:val="both"/>
        <w:rPr/>
      </w:pPr>
      <w:r>
        <w:rPr>
          <w:rFonts w:eastAsia="SimSun;宋体"/>
          <w:kern w:val="2"/>
          <w:sz w:val="22"/>
          <w:szCs w:val="22"/>
          <w:lang w:eastAsia="hi-IN" w:bidi="hi-IN"/>
        </w:rPr>
        <w:t>3.6.  Pardavėjui, laiku nepristačius prekių, gali būti skaičiuojami delspinigiai po 0,02 % nuo nepristatytų prekių vertės už kiekvieną uždelstą kalendorinę dieną.</w:t>
      </w:r>
    </w:p>
    <w:p>
      <w:pPr>
        <w:pStyle w:val="Normal"/>
        <w:tabs>
          <w:tab w:val="left" w:pos="1247" w:leader="none"/>
        </w:tabs>
        <w:suppressAutoHyphens w:val="true"/>
        <w:rPr>
          <w:rFonts w:eastAsia="SimSun;宋体"/>
          <w:bCs/>
          <w:kern w:val="2"/>
          <w:lang w:eastAsia="hi-IN" w:bidi="hi-IN"/>
        </w:rPr>
      </w:pPr>
      <w:r>
        <w:rPr>
          <w:rFonts w:eastAsia="SimSun;宋体"/>
          <w:b/>
          <w:bCs/>
          <w:kern w:val="2"/>
          <w:lang w:eastAsia="hi-IN" w:bidi="hi-IN"/>
        </w:rPr>
        <w:tab/>
      </w:r>
    </w:p>
    <w:p>
      <w:pPr>
        <w:pStyle w:val="Normal"/>
        <w:tabs>
          <w:tab w:val="left" w:pos="1247" w:leader="none"/>
        </w:tabs>
        <w:suppressAutoHyphens w:val="true"/>
        <w:jc w:val="center"/>
        <w:rPr>
          <w:rFonts w:eastAsia="SimSun;宋体"/>
          <w:b/>
          <w:b/>
          <w:bCs/>
          <w:kern w:val="2"/>
          <w:lang w:eastAsia="hi-IN" w:bidi="hi-IN"/>
        </w:rPr>
      </w:pPr>
      <w:r>
        <w:rPr>
          <w:rFonts w:eastAsia="SimSun;宋体"/>
          <w:b/>
          <w:bCs/>
          <w:kern w:val="2"/>
          <w:lang w:eastAsia="hi-IN" w:bidi="hi-IN"/>
        </w:rPr>
      </w:r>
    </w:p>
    <w:p>
      <w:pPr>
        <w:pStyle w:val="Normal"/>
        <w:tabs>
          <w:tab w:val="left" w:pos="1247" w:leader="none"/>
        </w:tabs>
        <w:suppressAutoHyphens w:val="true"/>
        <w:jc w:val="center"/>
        <w:rPr>
          <w:rFonts w:eastAsia="SimSun;宋体"/>
          <w:b/>
          <w:b/>
          <w:bCs/>
          <w:kern w:val="2"/>
          <w:lang w:eastAsia="hi-IN" w:bidi="hi-IN"/>
        </w:rPr>
      </w:pPr>
      <w:r>
        <w:rPr>
          <w:rFonts w:eastAsia="SimSun;宋体"/>
          <w:b/>
          <w:bCs/>
          <w:kern w:val="2"/>
          <w:lang w:eastAsia="hi-IN" w:bidi="hi-IN"/>
        </w:rPr>
        <w:t>4. PREKIŲ KOKYBĖ</w:t>
      </w:r>
    </w:p>
    <w:p>
      <w:pPr>
        <w:pStyle w:val="Normal"/>
        <w:tabs>
          <w:tab w:val="left" w:pos="1247" w:leader="none"/>
        </w:tabs>
        <w:ind w:firstLine="709"/>
        <w:jc w:val="both"/>
        <w:rPr>
          <w:bCs/>
        </w:rPr>
      </w:pPr>
      <w:r>
        <w:rPr>
          <w:bCs/>
        </w:rPr>
        <w:tab/>
        <w:t>4.1. Prekės turi atitikti visus kokybės, aplinkosaugos ir kitus reikalavimus, keliamus bei pateiktus 1 priede</w:t>
      </w:r>
    </w:p>
    <w:p>
      <w:pPr>
        <w:pStyle w:val="Normal"/>
        <w:widowControl w:val="false"/>
        <w:tabs>
          <w:tab w:val="left" w:pos="1247" w:leader="none"/>
        </w:tabs>
        <w:suppressAutoHyphens w:val="true"/>
        <w:ind w:firstLine="1276"/>
        <w:jc w:val="both"/>
        <w:rPr>
          <w:rFonts w:eastAsia="SimSun;宋体"/>
          <w:kern w:val="2"/>
          <w:lang w:eastAsia="hi-IN" w:bidi="hi-IN"/>
        </w:rPr>
      </w:pPr>
      <w:r>
        <w:rPr>
          <w:rFonts w:eastAsia="SimSun;宋体"/>
          <w:kern w:val="2"/>
          <w:lang w:eastAsia="hi-IN" w:bidi="hi-IN"/>
        </w:rPr>
        <w:t>4.2. Nekokybiškus ar neatitinkančius reikalavimų prekes Pardavėjas pakeičia kokybiškomis savo sąskaita.</w:t>
      </w:r>
      <w:r>
        <w:rPr>
          <w:lang w:eastAsia="lt-LT"/>
        </w:rPr>
        <w:t xml:space="preserve"> </w:t>
      </w:r>
    </w:p>
    <w:p>
      <w:pPr>
        <w:pStyle w:val="Normal"/>
        <w:tabs>
          <w:tab w:val="left" w:pos="1247" w:leader="none"/>
        </w:tabs>
        <w:suppressAutoHyphens w:val="true"/>
        <w:ind w:firstLine="1276"/>
        <w:jc w:val="both"/>
        <w:rPr>
          <w:rFonts w:eastAsia="SimSun;宋体"/>
          <w:b/>
          <w:b/>
          <w:kern w:val="2"/>
          <w:lang w:eastAsia="hi-IN" w:bidi="hi-IN"/>
        </w:rPr>
      </w:pPr>
      <w:r>
        <w:rPr>
          <w:rFonts w:eastAsia="SimSun;宋体"/>
          <w:b/>
          <w:kern w:val="2"/>
          <w:lang w:eastAsia="hi-IN" w:bidi="hi-IN"/>
        </w:rPr>
      </w:r>
    </w:p>
    <w:p>
      <w:pPr>
        <w:pStyle w:val="Normal"/>
        <w:suppressAutoHyphens w:val="true"/>
        <w:ind w:firstLine="1276"/>
        <w:jc w:val="center"/>
        <w:rPr>
          <w:rFonts w:eastAsia="SimSun;宋体"/>
          <w:b/>
          <w:b/>
          <w:kern w:val="2"/>
          <w:lang w:eastAsia="hi-IN" w:bidi="hi-IN"/>
        </w:rPr>
      </w:pPr>
      <w:r>
        <w:rPr>
          <w:rFonts w:eastAsia="Arial"/>
          <w:b/>
          <w:bCs/>
          <w:lang w:eastAsia="ar-SA"/>
        </w:rPr>
        <w:t xml:space="preserve">5. </w:t>
      </w:r>
      <w:r>
        <w:rPr>
          <w:rFonts w:eastAsia="Arial"/>
          <w:b/>
          <w:bCs/>
          <w:caps/>
          <w:lang w:eastAsia="ar-SA"/>
        </w:rPr>
        <w:t>Nenugalima jėga (force majeure)</w:t>
      </w:r>
    </w:p>
    <w:p>
      <w:pPr>
        <w:pStyle w:val="Normal"/>
        <w:tabs>
          <w:tab w:val="left" w:pos="993" w:leader="none"/>
          <w:tab w:val="left" w:pos="1247" w:leader="none"/>
        </w:tabs>
        <w:suppressAutoHyphens w:val="true"/>
        <w:jc w:val="both"/>
        <w:rPr>
          <w:rFonts w:eastAsia="Arial"/>
          <w:lang w:eastAsia="ar-SA"/>
        </w:rPr>
      </w:pPr>
      <w:r>
        <w:rPr>
          <w:rFonts w:eastAsia="Times New Roman"/>
          <w:b/>
          <w:bCs/>
          <w:caps/>
          <w:lang w:eastAsia="ar-SA"/>
        </w:rPr>
        <w:t xml:space="preserve">                       </w:t>
      </w:r>
      <w:r>
        <w:rPr>
          <w:rFonts w:eastAsia="Arial"/>
          <w:lang w:eastAsia="ar-SA"/>
        </w:rPr>
        <w:t xml:space="preserve">5.1. Šalis atleidžiama nuo atsakomybės už Sutarties neįvykdymą jeigu ji įrodo, kad Sutartis neįvykdyta dėl nenugalimos jėgos aplinkybių. Šalių atleidimo nuo atsakomybės laikotarpis priklauso nuo nenugalimos jėgos aplinkybių įtakos sutarties įvykdymui. </w:t>
      </w:r>
    </w:p>
    <w:p>
      <w:pPr>
        <w:pStyle w:val="Normal"/>
        <w:tabs>
          <w:tab w:val="left" w:pos="1247" w:leader="none"/>
        </w:tabs>
        <w:suppressAutoHyphens w:val="true"/>
        <w:ind w:firstLine="720"/>
        <w:jc w:val="both"/>
        <w:rPr/>
      </w:pPr>
      <w:r>
        <w:rPr>
          <w:rFonts w:eastAsia="Times New Roman"/>
          <w:lang w:eastAsia="ar-SA"/>
        </w:rPr>
        <w:t xml:space="preserve">  </w:t>
      </w:r>
      <w:r>
        <w:rPr>
          <w:rFonts w:eastAsia="Arial"/>
          <w:lang w:eastAsia="ar-SA"/>
        </w:rPr>
        <w:tab/>
        <w:t xml:space="preserve">5.2.. Šalys susitaria vadovautis Lietuvos Respublikos civiliniu kodeksu ir Lietuvos Respublikos Vyriausybės 1996 m. liepos 15 d. nutarimu Nr. 840 „Dėl atleidimo nuo atsakomybės esant nenugalimos jėgos (force majeure) aplinkybėms taisyklių patvirtinimo“. </w:t>
      </w:r>
    </w:p>
    <w:p>
      <w:pPr>
        <w:pStyle w:val="Normal"/>
        <w:tabs>
          <w:tab w:val="left" w:pos="1247" w:leader="none"/>
        </w:tabs>
        <w:suppressAutoHyphens w:val="true"/>
        <w:ind w:firstLine="720"/>
        <w:jc w:val="both"/>
        <w:rPr/>
      </w:pPr>
      <w:r>
        <w:rPr>
          <w:rFonts w:eastAsia="Times New Roman"/>
          <w:lang w:eastAsia="ar-SA"/>
        </w:rPr>
        <w:t xml:space="preserve">  </w:t>
      </w:r>
      <w:r>
        <w:rPr>
          <w:rFonts w:eastAsia="Arial"/>
          <w:lang w:eastAsia="ar-SA"/>
        </w:rPr>
        <w:tab/>
        <w:t>5.3. Jeigu aplinkybė, dėl kurios neįmanoma sutarties įvykdyti, laikina, tai šalis atleidžiama nuo atsakomybės tik tokiam laikotarpiui, kuris yra protingas atsižvelgiant į tos aplinkybės įtaką įvykdymui.</w:t>
      </w:r>
    </w:p>
    <w:p>
      <w:pPr>
        <w:pStyle w:val="Normal"/>
        <w:tabs>
          <w:tab w:val="left" w:pos="1247" w:leader="none"/>
        </w:tabs>
        <w:suppressAutoHyphens w:val="true"/>
        <w:ind w:firstLine="720"/>
        <w:jc w:val="both"/>
        <w:rPr/>
      </w:pPr>
      <w:r>
        <w:rPr>
          <w:rFonts w:eastAsia="Times New Roman"/>
          <w:lang w:eastAsia="ar-SA"/>
        </w:rPr>
        <w:t xml:space="preserve">  </w:t>
      </w:r>
      <w:r>
        <w:rPr>
          <w:rFonts w:eastAsia="Arial"/>
          <w:lang w:eastAsia="ar-SA"/>
        </w:rPr>
        <w:tab/>
        <w:t>5.4.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pPr>
        <w:pStyle w:val="Normal"/>
        <w:suppressAutoHyphens w:val="true"/>
        <w:rPr>
          <w:rFonts w:eastAsia="SimSun;宋体"/>
          <w:kern w:val="2"/>
          <w:lang w:eastAsia="hi-IN" w:bidi="hi-IN"/>
        </w:rPr>
      </w:pPr>
      <w:r>
        <w:rPr>
          <w:rFonts w:eastAsia="SimSun;宋体"/>
          <w:kern w:val="2"/>
          <w:lang w:eastAsia="hi-IN" w:bidi="hi-IN"/>
        </w:rPr>
      </w:r>
    </w:p>
    <w:p>
      <w:pPr>
        <w:pStyle w:val="Normal"/>
        <w:suppressAutoHyphens w:val="true"/>
        <w:jc w:val="center"/>
        <w:rPr>
          <w:rFonts w:eastAsia="SimSun;宋体"/>
          <w:b/>
          <w:b/>
          <w:bCs/>
          <w:kern w:val="2"/>
          <w:lang w:eastAsia="hi-IN" w:bidi="hi-IN"/>
        </w:rPr>
      </w:pPr>
      <w:r>
        <w:rPr>
          <w:rFonts w:eastAsia="SimSun;宋体"/>
          <w:b/>
          <w:bCs/>
          <w:kern w:val="2"/>
          <w:lang w:eastAsia="hi-IN" w:bidi="hi-IN"/>
        </w:rPr>
        <w:t>6. KITOS SĄLYGOS</w:t>
      </w:r>
    </w:p>
    <w:p>
      <w:pPr>
        <w:pStyle w:val="Normal"/>
        <w:widowControl w:val="false"/>
        <w:tabs>
          <w:tab w:val="left" w:pos="840" w:leader="none"/>
          <w:tab w:val="left" w:pos="1200" w:leader="none"/>
          <w:tab w:val="left" w:pos="1247" w:leader="none"/>
          <w:tab w:val="left" w:pos="1496" w:leader="none"/>
        </w:tabs>
        <w:suppressAutoHyphens w:val="true"/>
        <w:jc w:val="both"/>
        <w:rPr/>
      </w:pPr>
      <w:r>
        <w:rPr>
          <w:rFonts w:eastAsia="SimSun;宋体"/>
          <w:b/>
          <w:bCs/>
          <w:kern w:val="2"/>
          <w:lang w:eastAsia="hi-IN" w:bidi="hi-IN"/>
        </w:rPr>
        <w:tab/>
        <w:tab/>
        <w:tab/>
      </w:r>
      <w:r>
        <w:rPr>
          <w:rFonts w:eastAsia="SimSun;宋体" w:cs="Mangal"/>
          <w:kern w:val="2"/>
          <w:lang w:eastAsia="hi-IN" w:bidi="hi-IN"/>
        </w:rPr>
        <w:t xml:space="preserve">6.1. Sutartis sudaroma raštu, </w:t>
      </w:r>
      <w:r>
        <w:rPr/>
        <w:t xml:space="preserve">įsigalioja nuo jos pasirašymo dienos ir galioja iki 2024-01-15 d. </w:t>
      </w:r>
    </w:p>
    <w:p>
      <w:pPr>
        <w:pStyle w:val="Normal"/>
        <w:widowControl w:val="false"/>
        <w:tabs>
          <w:tab w:val="left" w:pos="840" w:leader="none"/>
          <w:tab w:val="left" w:pos="1200" w:leader="none"/>
          <w:tab w:val="left" w:pos="1247" w:leader="none"/>
          <w:tab w:val="left" w:pos="1496" w:leader="none"/>
        </w:tabs>
        <w:suppressAutoHyphens w:val="true"/>
        <w:jc w:val="both"/>
        <w:rPr>
          <w:rFonts w:eastAsia="SimSun;宋体" w:cs="Mangal"/>
          <w:kern w:val="2"/>
          <w:lang w:eastAsia="hi-IN" w:bidi="hi-IN"/>
        </w:rPr>
      </w:pPr>
      <w:r>
        <w:rPr>
          <w:rFonts w:eastAsia="SimSun;宋体" w:cs="Mangal"/>
          <w:kern w:val="2"/>
          <w:lang w:eastAsia="hi-IN" w:bidi="hi-IN"/>
        </w:rPr>
        <w:tab/>
        <w:tab/>
        <w:tab/>
        <w:t xml:space="preserve">6.2. </w:t>
      </w:r>
      <w:r>
        <w:rPr>
          <w:rFonts w:eastAsia="SimSun;宋体" w:cs="Mangal"/>
          <w:b/>
          <w:kern w:val="2"/>
          <w:lang w:eastAsia="hi-IN" w:bidi="hi-IN"/>
        </w:rPr>
        <w:t>Sutartį galima nutraukti šiais atvejais:</w:t>
      </w:r>
    </w:p>
    <w:p>
      <w:pPr>
        <w:pStyle w:val="Normal"/>
        <w:widowControl w:val="false"/>
        <w:tabs>
          <w:tab w:val="left" w:pos="840" w:leader="none"/>
          <w:tab w:val="left" w:pos="1247" w:leader="none"/>
          <w:tab w:val="left" w:pos="1320" w:leader="none"/>
          <w:tab w:val="left" w:pos="1496" w:leader="none"/>
          <w:tab w:val="left" w:pos="2400" w:leader="none"/>
        </w:tabs>
        <w:suppressAutoHyphens w:val="true"/>
        <w:jc w:val="both"/>
        <w:rPr/>
      </w:pPr>
      <w:r>
        <w:rPr>
          <w:rFonts w:eastAsia="SimSun;宋体" w:cs="Mangal"/>
          <w:kern w:val="2"/>
          <w:lang w:eastAsia="hi-IN" w:bidi="hi-IN"/>
        </w:rPr>
        <w:tab/>
        <w:tab/>
        <w:t>6.2.1. raštišku abiejų šalių susitarimu;</w:t>
      </w:r>
    </w:p>
    <w:p>
      <w:pPr>
        <w:pStyle w:val="Normal"/>
        <w:widowControl w:val="false"/>
        <w:tabs>
          <w:tab w:val="left" w:pos="840" w:leader="none"/>
          <w:tab w:val="left" w:pos="1247" w:leader="none"/>
          <w:tab w:val="left" w:pos="1320" w:leader="none"/>
          <w:tab w:val="left" w:pos="1496" w:leader="none"/>
          <w:tab w:val="left" w:pos="2400" w:leader="none"/>
        </w:tabs>
        <w:suppressAutoHyphens w:val="true"/>
        <w:jc w:val="both"/>
        <w:rPr>
          <w:rFonts w:eastAsia="SimSun;宋体" w:cs="Mangal"/>
          <w:kern w:val="2"/>
          <w:lang w:eastAsia="hi-IN" w:bidi="hi-IN"/>
        </w:rPr>
      </w:pPr>
      <w:r>
        <w:rPr>
          <w:rFonts w:eastAsia="SimSun;宋体" w:cs="Mangal"/>
          <w:kern w:val="2"/>
          <w:lang w:eastAsia="hi-IN" w:bidi="hi-IN"/>
        </w:rPr>
        <w:tab/>
        <w:tab/>
        <w:t>6.2.2.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šalis turi teisę nutraukti sutartį.</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cs="Mangal"/>
          <w:kern w:val="2"/>
          <w:lang w:eastAsia="hi-IN" w:bidi="hi-IN"/>
        </w:rPr>
        <w:tab/>
        <w:tab/>
        <w:tab/>
        <w:tab/>
        <w:t>6.3. Šalių tarpusavio prieštaravimai ir nesutarimai sprendžiami derybomis. Prieštaravimai ir nesutarimai, kurių nepavyksta išspręsti derybomis, sprendžiami Lietuvos Respublikos teisės aktų nustatyta tvarka.</w:t>
      </w:r>
    </w:p>
    <w:p>
      <w:pPr>
        <w:pStyle w:val="Normal"/>
        <w:widowControl w:val="false"/>
        <w:tabs>
          <w:tab w:val="left" w:pos="840" w:leader="none"/>
          <w:tab w:val="left" w:pos="1080" w:leader="none"/>
          <w:tab w:val="left" w:pos="1247" w:leader="none"/>
          <w:tab w:val="left" w:pos="1496" w:leader="none"/>
        </w:tabs>
        <w:suppressAutoHyphens w:val="true"/>
        <w:jc w:val="both"/>
        <w:rPr/>
      </w:pPr>
      <w:r>
        <w:rPr>
          <w:rFonts w:eastAsia="SimSun;宋体" w:cs="Mangal"/>
          <w:kern w:val="2"/>
          <w:lang w:eastAsia="hi-IN" w:bidi="hi-IN"/>
        </w:rPr>
        <w:tab/>
        <w:tab/>
        <w:tab/>
        <w:t>6.4. Pardavėjas neturi teisės perduoti trečiai šaliai teisių ir įsipareigojimų pagal sutartį, negavęs raštiško Perkančiosios organizacijos sutikimo.</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cs="Mangal"/>
          <w:kern w:val="2"/>
          <w:lang w:eastAsia="hi-IN" w:bidi="hi-IN"/>
        </w:rPr>
        <w:tab/>
        <w:tab/>
        <w:tab/>
        <w:tab/>
        <w:t>6.5.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cs="Mangal"/>
          <w:kern w:val="2"/>
          <w:lang w:eastAsia="hi-IN" w:bidi="hi-IN"/>
        </w:rPr>
        <w:tab/>
        <w:tab/>
        <w:tab/>
        <w:tab/>
        <w:t>6.6. Visi kiti šia Sutartimi nesureguliuoti Sutarties vykdymo klausimai sprendžiami vadovaujantis Lietuvos Respublikoje galiojančiais norminiais teisės aktais.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rPr>
          <w:rFonts w:eastAsia="SimSun;宋体" w:cs="Mangal"/>
          <w:b/>
          <w:b/>
          <w:kern w:val="2"/>
          <w:lang w:eastAsia="hi-IN" w:bidi="hi-IN"/>
        </w:rPr>
      </w:pPr>
      <w:r>
        <w:rPr>
          <w:rFonts w:eastAsia="SimSun;宋体" w:cs="Mangal"/>
          <w:b/>
          <w:kern w:val="2"/>
          <w:lang w:eastAsia="hi-IN" w:bidi="hi-IN"/>
        </w:rPr>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center"/>
        <w:rPr>
          <w:rFonts w:eastAsia="SimSun;宋体" w:cs="Mangal"/>
          <w:b/>
          <w:b/>
          <w:kern w:val="2"/>
          <w:lang w:eastAsia="hi-IN" w:bidi="hi-IN"/>
        </w:rPr>
      </w:pPr>
      <w:r>
        <w:rPr>
          <w:rFonts w:eastAsia="SimSun;宋体" w:cs="Mangal"/>
          <w:b/>
          <w:kern w:val="2"/>
          <w:lang w:eastAsia="hi-IN" w:bidi="hi-IN"/>
        </w:rPr>
        <w:t>7. SUTARTIES PRIEDAI</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cs="Mangal"/>
          <w:kern w:val="2"/>
          <w:lang w:eastAsia="hi-IN" w:bidi="hi-IN"/>
        </w:rPr>
      </w:pPr>
      <w:r>
        <w:rPr>
          <w:rFonts w:eastAsia="SimSun;宋体" w:cs="Mangal"/>
          <w:b/>
          <w:kern w:val="2"/>
          <w:lang w:eastAsia="hi-IN" w:bidi="hi-IN"/>
        </w:rPr>
        <w:tab/>
        <w:tab/>
        <w:t xml:space="preserve">  </w:t>
      </w:r>
      <w:r>
        <w:rPr>
          <w:rFonts w:eastAsia="SimSun;宋体" w:cs="Mangal"/>
          <w:kern w:val="2"/>
          <w:lang w:eastAsia="hi-IN" w:bidi="hi-IN"/>
        </w:rPr>
        <w:t>7.1. Pardavėjo pasiūlymas (2 priedas).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cs="Mangal"/>
          <w:kern w:val="2"/>
          <w:lang w:eastAsia="hi-IN" w:bidi="hi-IN"/>
        </w:rPr>
      </w:pPr>
      <w:r>
        <w:rPr>
          <w:rFonts w:eastAsia="Times New Roman" w:cs="Times New Roman"/>
          <w:kern w:val="2"/>
          <w:lang w:eastAsia="hi-IN" w:bidi="hi-IN"/>
        </w:rPr>
        <w:t xml:space="preserve">                    </w:t>
      </w:r>
      <w:r>
        <w:rPr>
          <w:rFonts w:eastAsia="SimSun;宋体" w:cs="Mangal"/>
          <w:kern w:val="2"/>
          <w:lang w:eastAsia="hi-IN" w:bidi="hi-IN"/>
        </w:rPr>
        <w:t>7.2. Prekių specifikacija (1 priedas).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cs="Mangal"/>
          <w:kern w:val="2"/>
          <w:lang w:eastAsia="hi-IN" w:bidi="hi-IN"/>
        </w:rPr>
      </w:pPr>
      <w:r>
        <w:rPr>
          <w:rFonts w:eastAsia="SimSun;宋体" w:cs="Mangal"/>
          <w:kern w:val="2"/>
          <w:lang w:eastAsia="hi-IN" w:bidi="hi-IN"/>
        </w:rPr>
      </w:r>
    </w:p>
    <w:p>
      <w:pPr>
        <w:pStyle w:val="Normal"/>
        <w:suppressAutoHyphens w:val="true"/>
        <w:jc w:val="center"/>
        <w:rPr/>
      </w:pPr>
      <w:r>
        <w:rPr>
          <w:rFonts w:eastAsia="SimSun;宋体"/>
          <w:b/>
          <w:bCs/>
          <w:kern w:val="2"/>
          <w:lang w:eastAsia="hi-IN" w:bidi="hi-IN"/>
        </w:rPr>
        <w:t>VIII. ŠALIŲ JURIDINIAI ADRESAI IR BANKO REKVIZITAI</w:t>
      </w:r>
    </w:p>
    <w:p>
      <w:pPr>
        <w:pStyle w:val="Normal"/>
        <w:ind w:right="-495" w:hanging="0"/>
        <w:rPr>
          <w:rFonts w:eastAsia="SimSun;宋体"/>
          <w:b/>
          <w:b/>
          <w:bCs/>
          <w:kern w:val="2"/>
          <w:lang w:eastAsia="hi-IN" w:bidi="hi-IN"/>
        </w:rPr>
      </w:pPr>
      <w:r>
        <w:rPr>
          <w:rFonts w:eastAsia="SimSun;宋体"/>
          <w:b/>
          <w:bCs/>
          <w:kern w:val="2"/>
          <w:lang w:eastAsia="hi-IN" w:bidi="hi-IN"/>
        </w:rPr>
      </w:r>
    </w:p>
    <w:p>
      <w:pPr>
        <w:pStyle w:val="Normal"/>
        <w:widowControl w:val="false"/>
        <w:suppressAutoHyphens w:val="true"/>
        <w:jc w:val="both"/>
        <w:rPr>
          <w:rFonts w:eastAsia="SimSun;宋体"/>
          <w:b/>
          <w:b/>
          <w:bCs/>
          <w:kern w:val="2"/>
          <w:sz w:val="22"/>
          <w:szCs w:val="22"/>
          <w:lang w:eastAsia="hi-IN" w:bidi="hi-IN"/>
        </w:rPr>
      </w:pPr>
      <w:r>
        <w:rPr>
          <w:rFonts w:eastAsia="SimSun;宋体"/>
          <w:b/>
          <w:bCs/>
          <w:kern w:val="2"/>
          <w:sz w:val="22"/>
          <w:szCs w:val="22"/>
          <w:lang w:eastAsia="hi-IN" w:bidi="hi-IN"/>
        </w:rPr>
        <w:t>PIRKĖJAS</w:t>
        <w:tab/>
        <w:tab/>
        <w:t xml:space="preserve">    </w:t>
        <w:tab/>
        <w:tab/>
        <w:t>PARDAVĖJAS</w:t>
      </w:r>
    </w:p>
    <w:p>
      <w:pPr>
        <w:pStyle w:val="Normal"/>
        <w:ind w:right="-495" w:hanging="0"/>
        <w:rPr>
          <w:sz w:val="22"/>
          <w:szCs w:val="22"/>
        </w:rPr>
      </w:pPr>
      <w:r>
        <w:rPr>
          <w:sz w:val="22"/>
          <w:szCs w:val="22"/>
        </w:rPr>
        <w:t>Jonavos politechnikos mokykla</w:t>
        <w:tab/>
        <w:tab/>
        <w:t>UAB „Dinora“</w:t>
      </w:r>
    </w:p>
    <w:p>
      <w:pPr>
        <w:pStyle w:val="Normal"/>
        <w:ind w:right="-495" w:hanging="0"/>
        <w:rPr/>
      </w:pPr>
      <w:r>
        <w:rPr>
          <w:sz w:val="22"/>
          <w:szCs w:val="22"/>
        </w:rPr>
        <w:t>Įmonės kodas 111964563</w:t>
        <w:tab/>
        <w:tab/>
        <w:tab/>
        <w:t xml:space="preserve">Įmonės kodas   302793866 </w:t>
      </w:r>
    </w:p>
    <w:p>
      <w:pPr>
        <w:pStyle w:val="Normal"/>
        <w:ind w:right="-495" w:hanging="0"/>
        <w:rPr>
          <w:sz w:val="22"/>
          <w:szCs w:val="22"/>
        </w:rPr>
      </w:pPr>
      <w:r>
        <w:rPr>
          <w:sz w:val="22"/>
          <w:szCs w:val="22"/>
        </w:rPr>
        <w:t>PVM mokėtojo kodas  - Ne PVM mokėtojas</w:t>
        <w:tab/>
        <w:t>PVM mokėtojo kodas LT1000008028915</w:t>
      </w:r>
    </w:p>
    <w:p>
      <w:pPr>
        <w:pStyle w:val="Normal"/>
        <w:ind w:right="-495" w:hanging="0"/>
        <w:rPr>
          <w:sz w:val="22"/>
          <w:szCs w:val="22"/>
        </w:rPr>
      </w:pPr>
      <w:r>
        <w:rPr>
          <w:sz w:val="22"/>
          <w:szCs w:val="22"/>
        </w:rPr>
        <w:t>Adresas – Kauno g. 75, Jonava</w:t>
        <w:tab/>
        <w:tab/>
        <w:t>Adresas – Ežero g. 4-2. Antežeriai, Vilniaus raj.</w:t>
      </w:r>
    </w:p>
    <w:p>
      <w:pPr>
        <w:pStyle w:val="Normal"/>
        <w:ind w:right="-495" w:hanging="0"/>
        <w:rPr>
          <w:sz w:val="22"/>
          <w:szCs w:val="22"/>
        </w:rPr>
      </w:pPr>
      <w:r>
        <w:rPr>
          <w:sz w:val="22"/>
          <w:szCs w:val="22"/>
        </w:rPr>
        <w:t>A.s. LT86 4010 0439 0003 0013</w:t>
        <w:tab/>
        <w:tab/>
        <w:t>A.s. LT357290000008467978</w:t>
      </w:r>
    </w:p>
    <w:p>
      <w:pPr>
        <w:pStyle w:val="Normal"/>
        <w:ind w:right="-495" w:hanging="0"/>
        <w:rPr>
          <w:sz w:val="22"/>
          <w:szCs w:val="22"/>
        </w:rPr>
      </w:pPr>
      <w:r>
        <w:rPr>
          <w:sz w:val="22"/>
          <w:szCs w:val="22"/>
        </w:rPr>
        <w:t>AB Luminor bankas, kodas 40100</w:t>
        <w:tab/>
        <w:tab/>
        <w:t>AB CITADELE bankas, kodas 72900</w:t>
      </w:r>
    </w:p>
    <w:p>
      <w:pPr>
        <w:pStyle w:val="Normal"/>
        <w:ind w:right="-495" w:hanging="0"/>
        <w:rPr>
          <w:sz w:val="22"/>
          <w:szCs w:val="22"/>
        </w:rPr>
      </w:pPr>
      <w:r>
        <w:rPr>
          <w:sz w:val="22"/>
          <w:szCs w:val="22"/>
        </w:rPr>
      </w:r>
    </w:p>
    <w:p>
      <w:pPr>
        <w:pStyle w:val="Normal"/>
        <w:ind w:right="-495" w:hanging="0"/>
        <w:rPr>
          <w:sz w:val="22"/>
          <w:szCs w:val="22"/>
        </w:rPr>
      </w:pPr>
      <w:r>
        <w:rPr>
          <w:sz w:val="22"/>
          <w:szCs w:val="22"/>
        </w:rPr>
        <w:t>Direktorė</w:t>
        <w:tab/>
        <w:tab/>
        <w:tab/>
        <w:tab/>
        <w:t>Direktorius</w:t>
      </w:r>
    </w:p>
    <w:p>
      <w:pPr>
        <w:pStyle w:val="Normal"/>
        <w:ind w:right="-495" w:hanging="0"/>
        <w:rPr>
          <w:sz w:val="22"/>
          <w:szCs w:val="22"/>
        </w:rPr>
      </w:pPr>
      <w:r>
        <w:rPr>
          <w:sz w:val="22"/>
          <w:szCs w:val="22"/>
        </w:rPr>
      </w:r>
    </w:p>
    <w:p>
      <w:pPr>
        <w:pStyle w:val="Normal"/>
        <w:ind w:right="-495" w:hanging="0"/>
        <w:rPr>
          <w:sz w:val="22"/>
          <w:szCs w:val="22"/>
        </w:rPr>
      </w:pPr>
      <w:r>
        <w:rPr>
          <w:sz w:val="22"/>
          <w:szCs w:val="22"/>
        </w:rPr>
        <w:t>________________</w:t>
        <w:tab/>
        <w:tab/>
        <w:tab/>
        <w:t>_________________</w:t>
      </w:r>
    </w:p>
    <w:p>
      <w:pPr>
        <w:pStyle w:val="Normal"/>
        <w:ind w:right="-495" w:hanging="0"/>
        <w:rPr>
          <w:sz w:val="22"/>
          <w:szCs w:val="22"/>
        </w:rPr>
      </w:pPr>
      <w:r>
        <w:rPr>
          <w:sz w:val="22"/>
          <w:szCs w:val="22"/>
        </w:rPr>
        <w:t>(Parašas)</w:t>
        <w:tab/>
        <w:tab/>
        <w:tab/>
        <w:tab/>
        <w:t>(Parašas)</w:t>
      </w:r>
    </w:p>
    <w:p>
      <w:pPr>
        <w:pStyle w:val="Normal"/>
        <w:ind w:right="-495" w:hanging="0"/>
        <w:rPr>
          <w:sz w:val="22"/>
          <w:szCs w:val="22"/>
        </w:rPr>
      </w:pPr>
      <w:r>
        <w:rPr>
          <w:sz w:val="22"/>
          <w:szCs w:val="22"/>
        </w:rPr>
        <w:t>Virginija Milinavičienė</w:t>
        <w:tab/>
        <w:tab/>
        <w:tab/>
        <w:t>Robertas Rutkauskas</w:t>
      </w:r>
    </w:p>
    <w:p>
      <w:pPr>
        <w:pStyle w:val="Normal"/>
        <w:rPr/>
      </w:pPr>
      <w:r>
        <w:rPr>
          <w:sz w:val="22"/>
          <w:szCs w:val="22"/>
        </w:rPr>
        <w:tab/>
        <w:tab/>
        <w:t xml:space="preserve">A. V. </w:t>
        <w:tab/>
        <w:tab/>
        <w:tab/>
        <w:tab/>
        <w:t>A. V.</w:t>
      </w:r>
    </w:p>
    <w:sectPr>
      <w:headerReference w:type="default" r:id="rId2"/>
      <w:headerReference w:type="first" r:id="rId3"/>
      <w:type w:val="nextPage"/>
      <w:pgSz w:w="11906" w:h="16838"/>
      <w:pgMar w:left="1701" w:right="567" w:gutter="0" w:header="567" w:top="1077" w:footer="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ourier New">
    <w:charset w:val="00"/>
    <w:family w:val="modern"/>
    <w:pitch w:val="default"/>
  </w:font>
  <w:font w:name="Wingdings">
    <w:charset w:val="02"/>
    <w:family w:val="auto"/>
    <w:pitch w:val="variable"/>
  </w:font>
  <w:font w:name="TimesLT">
    <w:altName w:val="Times New Roman"/>
    <w:charset w:val="ba"/>
    <w:family w:val="roman"/>
    <w:pitch w:val="variable"/>
  </w:font>
  <w:font w:name="Liberation Sans">
    <w:altName w:val="Arial"/>
    <w:charset w:val="ba"/>
    <w:family w:val="swiss"/>
    <w:pitch w:val="variable"/>
  </w:font>
  <w:font w:name="Tahoma">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p>
    <w:pPr>
      <w:pStyle w:val="Header"/>
      <w:tabs>
        <w:tab w:val="clear" w:pos="4819"/>
        <w:tab w:val="clear" w:pos="9638"/>
        <w:tab w:val="left" w:pos="6045" w:leader="none"/>
      </w:tabs>
      <w:rPr/>
    </w:pPr>
    <w:r>
      <w:rPr/>
      <w:tab/>
    </w:r>
  </w:p>
  <w:p>
    <w:pPr>
      <w:pStyle w:val="Header"/>
      <w:tabs>
        <w:tab w:val="clear" w:pos="4819"/>
        <w:tab w:val="clear" w:pos="9638"/>
        <w:tab w:val="left" w:pos="6045"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95" w:hanging="495"/>
      </w:pPr>
      <w:rPr/>
    </w:lvl>
    <w:lvl w:ilvl="1">
      <w:start w:val="1"/>
      <w:numFmt w:val="decimal"/>
      <w:lvlText w:val="%1.%2."/>
      <w:lvlJc w:val="left"/>
      <w:pPr>
        <w:tabs>
          <w:tab w:val="num" w:pos="0"/>
        </w:tabs>
        <w:ind w:left="1740" w:hanging="495"/>
      </w:pPr>
      <w:rPr/>
    </w:lvl>
    <w:lvl w:ilvl="2">
      <w:start w:val="1"/>
      <w:numFmt w:val="decimal"/>
      <w:lvlText w:val="%1.%2.%3."/>
      <w:lvlJc w:val="left"/>
      <w:pPr>
        <w:tabs>
          <w:tab w:val="num" w:pos="0"/>
        </w:tabs>
        <w:ind w:left="3210" w:hanging="720"/>
      </w:pPr>
      <w:rPr/>
    </w:lvl>
    <w:lvl w:ilvl="3">
      <w:start w:val="1"/>
      <w:numFmt w:val="decimal"/>
      <w:lvlText w:val="%1.%2.%3.%4."/>
      <w:lvlJc w:val="left"/>
      <w:pPr>
        <w:tabs>
          <w:tab w:val="num" w:pos="0"/>
        </w:tabs>
        <w:ind w:left="4455" w:hanging="720"/>
      </w:pPr>
      <w:rPr/>
    </w:lvl>
    <w:lvl w:ilvl="4">
      <w:start w:val="1"/>
      <w:numFmt w:val="decimal"/>
      <w:lvlText w:val="%1.%2.%3.%4.%5."/>
      <w:lvlJc w:val="left"/>
      <w:pPr>
        <w:tabs>
          <w:tab w:val="num" w:pos="0"/>
        </w:tabs>
        <w:ind w:left="6060" w:hanging="1080"/>
      </w:pPr>
      <w:rPr/>
    </w:lvl>
    <w:lvl w:ilvl="5">
      <w:start w:val="1"/>
      <w:numFmt w:val="decimal"/>
      <w:lvlText w:val="%1.%2.%3.%4.%5.%6."/>
      <w:lvlJc w:val="left"/>
      <w:pPr>
        <w:tabs>
          <w:tab w:val="num" w:pos="0"/>
        </w:tabs>
        <w:ind w:left="7305" w:hanging="1080"/>
      </w:pPr>
      <w:rPr/>
    </w:lvl>
    <w:lvl w:ilvl="6">
      <w:start w:val="1"/>
      <w:numFmt w:val="decimal"/>
      <w:lvlText w:val="%1.%2.%3.%4.%5.%6.%7."/>
      <w:lvlJc w:val="left"/>
      <w:pPr>
        <w:tabs>
          <w:tab w:val="num" w:pos="0"/>
        </w:tabs>
        <w:ind w:left="8910" w:hanging="1440"/>
      </w:pPr>
      <w:rPr/>
    </w:lvl>
    <w:lvl w:ilvl="7">
      <w:start w:val="1"/>
      <w:numFmt w:val="decimal"/>
      <w:lvlText w:val="%1.%2.%3.%4.%5.%6.%7.%8."/>
      <w:lvlJc w:val="left"/>
      <w:pPr>
        <w:tabs>
          <w:tab w:val="num" w:pos="0"/>
        </w:tabs>
        <w:ind w:left="10155" w:hanging="1440"/>
      </w:pPr>
      <w:rPr/>
    </w:lvl>
    <w:lvl w:ilvl="8">
      <w:start w:val="1"/>
      <w:numFmt w:val="decimal"/>
      <w:lvlText w:val="%1.%2.%3.%4.%5.%6.%7.%8.%9."/>
      <w:lvlJc w:val="left"/>
      <w:pPr>
        <w:tabs>
          <w:tab w:val="num" w:pos="0"/>
        </w:tabs>
        <w:ind w:left="11760" w:hanging="1800"/>
      </w:pPr>
      <w:rPr/>
    </w:lvl>
  </w:abstractNum>
  <w:abstractNum w:abstractNumId="3">
    <w:lvl w:ilvl="0">
      <w:start w:val="1"/>
      <w:numFmt w:val="decimal"/>
      <w:lvlText w:val="%1."/>
      <w:lvlJc w:val="right"/>
      <w:pPr>
        <w:tabs>
          <w:tab w:val="num" w:pos="540"/>
        </w:tabs>
        <w:ind w:left="54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47"/>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lt-LT" w:bidi="ar-SA" w:eastAsia="zh-CN"/>
    </w:rPr>
  </w:style>
  <w:style w:type="paragraph" w:styleId="Heading1">
    <w:name w:val="Heading 1"/>
    <w:basedOn w:val="Normal"/>
    <w:next w:val="Normal"/>
    <w:qFormat/>
    <w:pPr>
      <w:keepNext w:val="true"/>
      <w:numPr>
        <w:ilvl w:val="0"/>
        <w:numId w:val="1"/>
      </w:numPr>
      <w:jc w:val="center"/>
      <w:outlineLvl w:val="0"/>
    </w:pPr>
    <w:rPr>
      <w:b/>
      <w:lang w:val="en-US"/>
    </w:rPr>
  </w:style>
  <w:style w:type="paragraph" w:styleId="Heading2">
    <w:name w:val="Heading 2"/>
    <w:basedOn w:val="Normal"/>
    <w:next w:val="Normal"/>
    <w:qFormat/>
    <w:pPr>
      <w:numPr>
        <w:ilvl w:val="1"/>
        <w:numId w:val="1"/>
      </w:numPr>
      <w:jc w:val="both"/>
      <w:outlineLvl w:val="1"/>
    </w:pPr>
    <w:rPr>
      <w:szCs w:val="20"/>
    </w:rPr>
  </w:style>
  <w:style w:type="paragraph" w:styleId="Heading3">
    <w:name w:val="Heading 3"/>
    <w:basedOn w:val="Normal"/>
    <w:next w:val="Normal"/>
    <w:qFormat/>
    <w:pPr>
      <w:keepNext w:val="true"/>
      <w:numPr>
        <w:ilvl w:val="2"/>
        <w:numId w:val="1"/>
      </w:numPr>
      <w:jc w:val="both"/>
      <w:outlineLvl w:val="2"/>
    </w:pPr>
    <w:rPr>
      <w:szCs w:val="20"/>
    </w:rPr>
  </w:style>
  <w:style w:type="paragraph" w:styleId="Heading4">
    <w:name w:val="Heading 4"/>
    <w:basedOn w:val="Normal"/>
    <w:next w:val="Normal"/>
    <w:qFormat/>
    <w:pPr>
      <w:keepNext w:val="true"/>
      <w:numPr>
        <w:ilvl w:val="3"/>
        <w:numId w:val="1"/>
      </w:numPr>
      <w:outlineLvl w:val="3"/>
    </w:pPr>
    <w:rPr>
      <w:b/>
      <w:sz w:val="44"/>
      <w:szCs w:val="20"/>
    </w:rPr>
  </w:style>
  <w:style w:type="paragraph" w:styleId="Heading5">
    <w:name w:val="Heading 5"/>
    <w:basedOn w:val="Normal"/>
    <w:next w:val="Normal"/>
    <w:qFormat/>
    <w:pPr>
      <w:keepNext w:val="true"/>
      <w:numPr>
        <w:ilvl w:val="4"/>
        <w:numId w:val="1"/>
      </w:numPr>
      <w:outlineLvl w:val="4"/>
    </w:pPr>
    <w:rPr>
      <w:b/>
      <w:sz w:val="40"/>
      <w:szCs w:val="20"/>
    </w:rPr>
  </w:style>
  <w:style w:type="paragraph" w:styleId="Heading6">
    <w:name w:val="Heading 6"/>
    <w:basedOn w:val="Normal"/>
    <w:next w:val="Normal"/>
    <w:qFormat/>
    <w:pPr>
      <w:keepNext w:val="true"/>
      <w:numPr>
        <w:ilvl w:val="5"/>
        <w:numId w:val="1"/>
      </w:numPr>
      <w:outlineLvl w:val="5"/>
    </w:pPr>
    <w:rPr>
      <w:b/>
      <w:sz w:val="36"/>
      <w:szCs w:val="20"/>
    </w:rPr>
  </w:style>
  <w:style w:type="paragraph" w:styleId="Heading7">
    <w:name w:val="Heading 7"/>
    <w:basedOn w:val="Normal"/>
    <w:next w:val="Normal"/>
    <w:qFormat/>
    <w:pPr>
      <w:keepNext w:val="true"/>
      <w:numPr>
        <w:ilvl w:val="6"/>
        <w:numId w:val="1"/>
      </w:numPr>
      <w:outlineLvl w:val="6"/>
    </w:pPr>
    <w:rPr>
      <w:sz w:val="48"/>
      <w:szCs w:val="20"/>
    </w:rPr>
  </w:style>
  <w:style w:type="paragraph" w:styleId="Heading8">
    <w:name w:val="Heading 8"/>
    <w:basedOn w:val="Normal"/>
    <w:next w:val="Normal"/>
    <w:qFormat/>
    <w:pPr>
      <w:keepNext w:val="true"/>
      <w:numPr>
        <w:ilvl w:val="7"/>
        <w:numId w:val="1"/>
      </w:numPr>
      <w:outlineLvl w:val="7"/>
    </w:pPr>
    <w:rPr>
      <w:b/>
      <w:sz w:val="18"/>
      <w:szCs w:val="20"/>
    </w:rPr>
  </w:style>
  <w:style w:type="paragraph" w:styleId="Heading9">
    <w:name w:val="Heading 9"/>
    <w:basedOn w:val="Normal"/>
    <w:next w:val="Normal"/>
    <w:qFormat/>
    <w:pPr>
      <w:keepNext w:val="true"/>
      <w:numPr>
        <w:ilvl w:val="8"/>
        <w:numId w:val="1"/>
      </w:numPr>
      <w:outlineLvl w:val="8"/>
    </w:pPr>
    <w:rPr>
      <w:sz w:val="40"/>
      <w:szCs w:val="20"/>
    </w:rPr>
  </w:style>
  <w:style w:type="character" w:styleId="WW8Num2z0">
    <w:name w:val="WW8Num2z0"/>
    <w:qFormat/>
    <w:rPr/>
  </w:style>
  <w:style w:type="character" w:styleId="WW8Num2z1">
    <w:name w:val="WW8Num2z1"/>
    <w:qFormat/>
    <w:rPr>
      <w:rFonts w:ascii="Times New Roman" w:hAnsi="Times New Roman" w:eastAsia="Times New Roman" w:cs="Times New Roman"/>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St3z0">
    <w:name w:val="WW8NumSt3z0"/>
    <w:qFormat/>
    <w:rPr>
      <w:rFonts w:ascii="Symbol" w:hAnsi="Symbol" w:cs="Symbol"/>
    </w:rPr>
  </w:style>
  <w:style w:type="character" w:styleId="Numatytasispastraiposriftas">
    <w:name w:val="Numatytasis pastraipos šriftas"/>
    <w:qFormat/>
    <w:rPr/>
  </w:style>
  <w:style w:type="character" w:styleId="InternetLink">
    <w:name w:val="Hyperlink"/>
    <w:rPr>
      <w:color w:val="333333"/>
      <w:u w:val="single"/>
    </w:rPr>
  </w:style>
  <w:style w:type="character" w:styleId="VisitedInternetLink">
    <w:name w:val="FollowedHyperlink"/>
    <w:rPr>
      <w:color w:val="800080"/>
      <w:u w:val="single"/>
    </w:rPr>
  </w:style>
  <w:style w:type="character" w:styleId="StrongEmphasis">
    <w:name w:val="Strong Emphasis"/>
    <w:qFormat/>
    <w:rPr>
      <w:b/>
      <w:bCs/>
    </w:rPr>
  </w:style>
  <w:style w:type="character" w:styleId="PoratDiagrama">
    <w:name w:val="Poraštė Diagrama"/>
    <w:qFormat/>
    <w:rPr>
      <w:sz w:val="24"/>
      <w:lang w:val="lt-LT" w:bidi="ar-SA"/>
    </w:rPr>
  </w:style>
  <w:style w:type="character" w:styleId="HTMLiankstoformatuotasDiagrama">
    <w:name w:val="HTML iš anksto formatuotas Diagrama"/>
    <w:qFormat/>
    <w:rPr>
      <w:rFonts w:ascii="Courier New" w:hAnsi="Courier New" w:cs="Courier New"/>
      <w:lang w:val="lt-LT" w:bidi="ar-SA"/>
    </w:rPr>
  </w:style>
  <w:style w:type="character" w:styleId="BodytextChar">
    <w:name w:val="Body text Char"/>
    <w:qFormat/>
    <w:rPr>
      <w:rFonts w:ascii="TimesLT;Times New Roman" w:hAnsi="TimesLT;Times New Roman" w:cs="TimesLT;Times New Roman"/>
      <w:lang w:val="en-US" w:bidi="ar-SA"/>
    </w:rPr>
  </w:style>
  <w:style w:type="character" w:styleId="AntratsDiagrama">
    <w:name w:val="Antraštės Diagrama"/>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z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Pagrindinistekstas2">
    <w:name w:val="Pagrindinis tekstas 2"/>
    <w:basedOn w:val="Normal"/>
    <w:qFormat/>
    <w:pPr>
      <w:jc w:val="both"/>
    </w:pPr>
    <w:rPr/>
  </w:style>
  <w:style w:type="paragraph" w:styleId="Debesliotekstas">
    <w:name w:val="Debesėlio tekstas"/>
    <w:basedOn w:val="Normal"/>
    <w:qFormat/>
    <w:pPr/>
    <w:rPr>
      <w:rFonts w:ascii="Tahoma" w:hAnsi="Tahoma" w:cs="Tahoma"/>
      <w:sz w:val="16"/>
      <w:szCs w:val="16"/>
    </w:rPr>
  </w:style>
  <w:style w:type="paragraph" w:styleId="TextBodyIndent">
    <w:name w:val="Body Text Indent"/>
    <w:basedOn w:val="Normal"/>
    <w:pPr>
      <w:ind w:firstLine="360"/>
      <w:jc w:val="both"/>
    </w:pPr>
    <w:rPr/>
  </w:style>
  <w:style w:type="paragraph" w:styleId="Pagrindiniotekstotrauka2">
    <w:name w:val="Pagrindinio teksto įtrauka 2"/>
    <w:basedOn w:val="Normal"/>
    <w:qFormat/>
    <w:pPr>
      <w:ind w:firstLine="720"/>
      <w:jc w:val="both"/>
    </w:pPr>
    <w:rPr/>
  </w:style>
  <w:style w:type="paragraph" w:styleId="Style41">
    <w:name w:val="Style4"/>
    <w:basedOn w:val="Heading7"/>
    <w:qFormat/>
    <w:pPr>
      <w:numPr>
        <w:ilvl w:val="0"/>
        <w:numId w:val="3"/>
      </w:numPr>
      <w:tabs>
        <w:tab w:val="clear" w:pos="1247"/>
        <w:tab w:val="left" w:pos="360" w:leader="none"/>
      </w:tabs>
      <w:spacing w:before="240" w:after="240"/>
      <w:ind w:left="360" w:hanging="360"/>
      <w:jc w:val="center"/>
      <w:outlineLvl w:val="9"/>
    </w:pPr>
    <w:rPr>
      <w:b/>
    </w:rPr>
  </w:style>
  <w:style w:type="paragraph" w:styleId="Prastasistinklapis">
    <w:name w:val="Įprastasis (tinklapis)"/>
    <w:basedOn w:val="Normal"/>
    <w:qFormat/>
    <w:pPr>
      <w:spacing w:before="100" w:after="100"/>
    </w:pPr>
    <w:rPr>
      <w:rFonts w:ascii="Arial" w:hAnsi="Arial" w:eastAsia="Arial Unicode MS" w:cs="Arial"/>
      <w:color w:val="000000"/>
      <w:sz w:val="17"/>
      <w:szCs w:val="17"/>
      <w:lang w:val="en-GB"/>
    </w:rPr>
  </w:style>
  <w:style w:type="paragraph" w:styleId="HeaderandFooter">
    <w:name w:val="Header and Footer"/>
    <w:basedOn w:val="Normal"/>
    <w:qFormat/>
    <w:pPr>
      <w:suppressLineNumbers/>
      <w:tabs>
        <w:tab w:val="clear" w:pos="1247"/>
        <w:tab w:val="center" w:pos="4819" w:leader="none"/>
        <w:tab w:val="right" w:pos="9638" w:leader="none"/>
      </w:tabs>
    </w:pPr>
    <w:rPr/>
  </w:style>
  <w:style w:type="paragraph" w:styleId="Footer">
    <w:name w:val="Footer"/>
    <w:basedOn w:val="Normal"/>
    <w:pPr>
      <w:tabs>
        <w:tab w:val="clear" w:pos="1247"/>
        <w:tab w:val="center" w:pos="4320" w:leader="none"/>
        <w:tab w:val="right" w:pos="8640" w:leader="none"/>
      </w:tabs>
    </w:pPr>
    <w:rPr>
      <w:szCs w:val="20"/>
    </w:rPr>
  </w:style>
  <w:style w:type="paragraph" w:styleId="WWDefault">
    <w:name w:val="WW-Default"/>
    <w:qFormat/>
    <w:pPr>
      <w:widowControl/>
      <w:suppressAutoHyphens w:val="true"/>
      <w:bidi w:val="0"/>
      <w:spacing w:lineRule="atLeast" w:line="100"/>
      <w:jc w:val="both"/>
    </w:pPr>
    <w:rPr>
      <w:rFonts w:ascii="Times New Roman" w:hAnsi="Times New Roman" w:eastAsia="Arial" w:cs="Times New Roman"/>
      <w:color w:val="auto"/>
      <w:sz w:val="24"/>
      <w:szCs w:val="24"/>
      <w:lang w:val="lt-LT" w:bidi="ar-SA" w:eastAsia="zh-CN"/>
    </w:rPr>
  </w:style>
  <w:style w:type="paragraph" w:styleId="Patvirtinta">
    <w:name w:val="Patvirtinta"/>
    <w:qFormat/>
    <w:pPr>
      <w:widowControl/>
      <w:tabs>
        <w:tab w:val="clear" w:pos="1247"/>
        <w:tab w:val="left" w:pos="1304" w:leader="none"/>
        <w:tab w:val="left" w:pos="1457" w:leader="none"/>
        <w:tab w:val="left" w:pos="1604" w:leader="none"/>
        <w:tab w:val="left" w:pos="1757" w:leader="none"/>
      </w:tabs>
      <w:autoSpaceDE w:val="false"/>
      <w:bidi w:val="0"/>
      <w:ind w:left="5953" w:hanging="0"/>
    </w:pPr>
    <w:rPr>
      <w:rFonts w:ascii="TimesLT;Times New Roman" w:hAnsi="TimesLT;Times New Roman" w:eastAsia="Times New Roman" w:cs="TimesLT;Times New Roman"/>
      <w:color w:val="auto"/>
      <w:sz w:val="20"/>
      <w:szCs w:val="20"/>
      <w:lang w:val="en-US" w:bidi="ar-SA" w:eastAsia="zh-CN"/>
    </w:rPr>
  </w:style>
  <w:style w:type="paragraph" w:styleId="Bodytext">
    <w:name w:val="Body text"/>
    <w:qFormat/>
    <w:pPr>
      <w:widowControl/>
      <w:bidi w:val="0"/>
      <w:snapToGrid w:val="false"/>
      <w:ind w:firstLine="312"/>
      <w:jc w:val="both"/>
    </w:pPr>
    <w:rPr>
      <w:rFonts w:ascii="TimesLT;Times New Roman" w:hAnsi="TimesLT;Times New Roman" w:eastAsia="Times New Roman" w:cs="TimesLT;Times New Roman"/>
      <w:color w:val="auto"/>
      <w:sz w:val="20"/>
      <w:szCs w:val="20"/>
      <w:lang w:val="en-US" w:bidi="ar-SA" w:eastAsia="zh-CN"/>
    </w:rPr>
  </w:style>
  <w:style w:type="paragraph" w:styleId="CentrBoldm">
    <w:name w:val="CentrBoldm"/>
    <w:basedOn w:val="Normal"/>
    <w:qFormat/>
    <w:pPr>
      <w:autoSpaceDE w:val="false"/>
      <w:jc w:val="center"/>
    </w:pPr>
    <w:rPr>
      <w:rFonts w:ascii="TimesLT;Times New Roman" w:hAnsi="TimesLT;Times New Roman" w:cs="TimesLT;Times New Roman"/>
      <w:b/>
      <w:bCs/>
      <w:sz w:val="20"/>
      <w:lang w:val="en-US"/>
    </w:rPr>
  </w:style>
  <w:style w:type="paragraph" w:styleId="MAZAS">
    <w:name w:val="MAZAS"/>
    <w:qFormat/>
    <w:pPr>
      <w:widowControl/>
      <w:autoSpaceDE w:val="false"/>
      <w:bidi w:val="0"/>
      <w:ind w:firstLine="312"/>
      <w:jc w:val="both"/>
    </w:pPr>
    <w:rPr>
      <w:rFonts w:ascii="TimesLT;Times New Roman" w:hAnsi="TimesLT;Times New Roman" w:eastAsia="Times New Roman" w:cs="TimesLT;Times New Roman"/>
      <w:color w:val="000000"/>
      <w:sz w:val="8"/>
      <w:szCs w:val="8"/>
      <w:lang w:val="en-US" w:bidi="ar-SA" w:eastAsia="zh-CN"/>
    </w:rPr>
  </w:style>
  <w:style w:type="paragraph" w:styleId="HTMLiankstoformatuotas">
    <w:name w:val="HTML iš anksto formatuotas"/>
    <w:basedOn w:val="Normal"/>
    <w:qFormat/>
    <w:pPr>
      <w:tabs>
        <w:tab w:val="clear" w:pos="124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Pagrindinistekstas1">
    <w:name w:val="Pagrindinis tekstas1"/>
    <w:qFormat/>
    <w:pPr>
      <w:widowControl/>
      <w:autoSpaceDE w:val="false"/>
      <w:bidi w:val="0"/>
      <w:ind w:firstLine="312"/>
      <w:jc w:val="both"/>
    </w:pPr>
    <w:rPr>
      <w:rFonts w:ascii="TimesLT;Times New Roman" w:hAnsi="TimesLT;Times New Roman" w:eastAsia="Times New Roman" w:cs="TimesLT;Times New Roman"/>
      <w:color w:val="auto"/>
      <w:sz w:val="20"/>
      <w:szCs w:val="20"/>
      <w:lang w:val="en-US" w:bidi="ar-SA" w:eastAsia="zh-CN"/>
    </w:rPr>
  </w:style>
  <w:style w:type="paragraph" w:styleId="Header">
    <w:name w:val="Header"/>
    <w:basedOn w:val="Normal"/>
    <w:pPr>
      <w:tabs>
        <w:tab w:val="clear" w:pos="1247"/>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2023-12-01T13:24:00Z</dcterms:created>
  <dc:creator>Mokymai</dc:creator>
  <dc:description/>
  <cp:keywords/>
  <dc:language>lt-LT</dc:language>
  <cp:lastModifiedBy>Gitenis</cp:lastModifiedBy>
  <cp:lastPrinted>2017-05-09T10:31:00Z</cp:lastPrinted>
  <dcterms:modified xsi:type="dcterms:W3CDTF">2023-12-01T13:24:00Z</dcterms:modified>
  <cp:revision>2</cp:revision>
  <dc:subject/>
  <dc:title>Drausmės pažeidimų tyrimų metodinių rekomendacijų     2 priedas</dc:title>
</cp:coreProperties>
</file>