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C4A3" w14:textId="77777777" w:rsidR="000A6CFE" w:rsidRPr="000A6CFE" w:rsidRDefault="000A6CFE" w:rsidP="000A6CFE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7C589D98" w14:textId="33ACCBB0" w:rsidR="000A6CFE" w:rsidRPr="000A6CFE" w:rsidRDefault="000A6CFE" w:rsidP="000A6C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  <w:t xml:space="preserve">PASLAUGŲ TEIKIMO SUTARTIS NR. </w:t>
      </w:r>
    </w:p>
    <w:p w14:paraId="6EA2BE23" w14:textId="77777777" w:rsidR="000A6CFE" w:rsidRPr="000A6CFE" w:rsidRDefault="000A6CFE" w:rsidP="000A6C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674A0547" w14:textId="2D363906" w:rsidR="000A6CFE" w:rsidRPr="002B7319" w:rsidRDefault="000A6CFE" w:rsidP="00141DB1">
      <w:pPr>
        <w:widowControl w:val="0"/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2B7319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Šilutės rajono savivaldybės administracija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, juridinio asmens kodas 188723322, kurios registruota buveinė yra Dariaus ir Girėno g.  </w:t>
      </w:r>
      <w:r w:rsidR="00141DB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1, 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Šilutė</w:t>
      </w:r>
      <w:r w:rsidR="00141DB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je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, duomenys apie įstaigą kaupiami ir saugomi Lietuvos Respublikos juridinių asmenų registre, atstovaujama </w:t>
      </w:r>
      <w:r w:rsidR="002B731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A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dministracijos direktoriaus </w:t>
      </w:r>
      <w:r w:rsidR="0095500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Andriaus Jurkaus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, veikiančio pagal administracijos nuostatus</w:t>
      </w:r>
      <w:r w:rsidR="000542D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/ įstatus (toliau – </w:t>
      </w:r>
      <w:r w:rsidRPr="000A6CF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  <w:t>P</w:t>
      </w:r>
      <w:r w:rsidR="002B7319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  <w:t>erkančioji organizacija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)</w:t>
      </w:r>
      <w:r w:rsidR="00141DB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, ir</w:t>
      </w:r>
    </w:p>
    <w:p w14:paraId="7540A21E" w14:textId="763D1887" w:rsidR="002B7319" w:rsidRDefault="000A6CFE" w:rsidP="00476CFC">
      <w:pPr>
        <w:widowControl w:val="0"/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1DB1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UAB „Smart Continent“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, įmonės kodas 300144142, kurios buveinė yra </w:t>
      </w:r>
      <w:r w:rsidR="0027643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Šeimyniškių 19-202,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="00141DB1"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Vilniuje</w:t>
      </w:r>
      <w:r w:rsidR="00141DB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,</w:t>
      </w:r>
      <w:r w:rsidR="00141DB1"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duomenys apie įstaigą kaupiami ir saugomi Lietuvos Respublikos juridinių asmenų registre</w:t>
      </w:r>
      <w:r w:rsidR="00141DB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, 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atstovaujama direktoriaus Andriaus Jaržemskio, veikiančios pagal </w:t>
      </w:r>
      <w:r w:rsidRPr="00A276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įmonės įstatus 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(toliau vadinama – </w:t>
      </w:r>
      <w:r w:rsidRPr="000A6CF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  <w:t>T</w:t>
      </w:r>
      <w:r w:rsidR="00476CFC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  <w:t>ei</w:t>
      </w:r>
      <w:r w:rsidRPr="000A6CF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  <w:t>kėjas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), toliau </w:t>
      </w:r>
      <w:r w:rsidR="002B731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kartu 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vadinam</w:t>
      </w:r>
      <w:r w:rsidR="002B731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i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Šalimis, o</w:t>
      </w:r>
      <w:r w:rsidR="002B731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kiekvienas atskirai 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– Šalimi, </w:t>
      </w:r>
      <w:r w:rsidR="00141DB1" w:rsidRPr="002B731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atsižvelgdami į 202</w:t>
      </w:r>
      <w:r w:rsidR="00141D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</w:t>
      </w:r>
      <w:r w:rsidR="00141DB1" w:rsidRPr="002B731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m. </w:t>
      </w:r>
      <w:r w:rsidR="00141D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gegužės</w:t>
      </w:r>
      <w:r w:rsidR="00141DB1" w:rsidRPr="002B731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141D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24</w:t>
      </w:r>
      <w:r w:rsidR="00141DB1" w:rsidRPr="002B731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įvykusio mažos vertės pirkimo neskelbiamos apklausos būdu rezultatus</w:t>
      </w:r>
      <w:r w:rsidR="00141D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141DB1" w:rsidRPr="002B731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sudarė šią Paslaugų teikimo sutartį</w:t>
      </w:r>
      <w:r w:rsidR="002B7319" w:rsidRPr="002B731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 toliau vadinamą „Sutartimi“, ir susitarė dėl vėliau  išvard</w:t>
      </w:r>
      <w:r w:rsidR="000542D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y</w:t>
      </w:r>
      <w:r w:rsidR="002B7319" w:rsidRPr="002B731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tų sąlygų.</w:t>
      </w:r>
    </w:p>
    <w:p w14:paraId="05895A6F" w14:textId="77777777" w:rsidR="00476CFC" w:rsidRPr="00476CFC" w:rsidRDefault="00476CFC" w:rsidP="00476CFC">
      <w:pPr>
        <w:widowControl w:val="0"/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301D0B8D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bookmarkStart w:id="0" w:name="_Toc78082479"/>
      <w:bookmarkStart w:id="1" w:name="_Toc74365790"/>
      <w:bookmarkStart w:id="2" w:name="_Toc74360040"/>
      <w:r w:rsidRPr="000A6CF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  <w:t>Sutarties dokumentų pirmumas</w:t>
      </w:r>
      <w:bookmarkEnd w:id="0"/>
      <w:bookmarkEnd w:id="1"/>
      <w:bookmarkEnd w:id="2"/>
    </w:p>
    <w:p w14:paraId="6550F890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Sutartį sudaro šie eilės tvarka pagal pirmumą išvardinti dokumentai:</w:t>
      </w:r>
    </w:p>
    <w:p w14:paraId="6E5C8C11" w14:textId="77777777" w:rsidR="000A6CFE" w:rsidRPr="000A6CFE" w:rsidRDefault="000A6CFE" w:rsidP="000A6CFE">
      <w:pPr>
        <w:numPr>
          <w:ilvl w:val="0"/>
          <w:numId w:val="1"/>
        </w:num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Sutartis;</w:t>
      </w:r>
    </w:p>
    <w:p w14:paraId="2D5859EF" w14:textId="6F40FE82" w:rsidR="000A6CFE" w:rsidRPr="000A6CFE" w:rsidRDefault="000A6CFE" w:rsidP="00955000">
      <w:pPr>
        <w:numPr>
          <w:ilvl w:val="0"/>
          <w:numId w:val="1"/>
        </w:num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Techninė specifikacija</w:t>
      </w:r>
      <w:r w:rsidR="00141DB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.</w:t>
      </w:r>
    </w:p>
    <w:p w14:paraId="317EF254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A6CF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Laikoma, kad sutartį sudarantys dokumentai vienas kitą paaiškina. Kiekvienas paskesnis eilės dokumentas turi žemesnę juridinę galią nei prieš jį nurodytas dokumentas. Neaiškumo ar prieštaravimo atveju jais vadovaujamasi aukščiau nurodyta eilės tvarka. </w:t>
      </w:r>
    </w:p>
    <w:p w14:paraId="6E234572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u w:val="single"/>
          <w14:ligatures w14:val="none"/>
        </w:rPr>
      </w:pPr>
    </w:p>
    <w:p w14:paraId="5A2C2AD0" w14:textId="67F2B128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  <w:t xml:space="preserve">1. Sutarties </w:t>
      </w:r>
      <w:r w:rsidR="00141DB1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  <w:t>dalykas</w:t>
      </w:r>
    </w:p>
    <w:p w14:paraId="6B7345E7" w14:textId="77777777" w:rsidR="000A6CFE" w:rsidRPr="000A6CFE" w:rsidRDefault="000A6CFE" w:rsidP="000A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404D8EAD" w14:textId="47CFAB76" w:rsidR="000A6CFE" w:rsidRPr="000A6CFE" w:rsidRDefault="000A6CFE" w:rsidP="000A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1.1. Pagal šią sutartį </w:t>
      </w:r>
      <w:r w:rsidR="00141DB1"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perkam</w:t>
      </w:r>
      <w:r w:rsidR="00141DB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a</w:t>
      </w:r>
      <w:r w:rsidR="00141DB1"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projekto </w:t>
      </w:r>
      <w:r w:rsidR="000E4750" w:rsidRPr="000E4750">
        <w:rPr>
          <w:rFonts w:ascii="Times New Roman" w:hAnsi="Times New Roman" w:cs="Times New Roman"/>
          <w:sz w:val="24"/>
          <w:szCs w:val="24"/>
          <w:lang w:eastAsia="ar-SA"/>
        </w:rPr>
        <w:t>„</w:t>
      </w:r>
      <w:r w:rsidR="000E4750" w:rsidRPr="000E4750">
        <w:rPr>
          <w:rFonts w:ascii="Times New Roman" w:hAnsi="Times New Roman" w:cs="Times New Roman"/>
          <w:bCs/>
          <w:sz w:val="24"/>
          <w:szCs w:val="24"/>
        </w:rPr>
        <w:t>Increase awareness and competence in terms of mobility hubs towards to improve the quality and environmental sustainability of transport in S</w:t>
      </w:r>
      <w:r w:rsidR="00476CFC">
        <w:rPr>
          <w:rFonts w:ascii="Times New Roman" w:hAnsi="Times New Roman" w:cs="Times New Roman"/>
          <w:bCs/>
          <w:sz w:val="24"/>
          <w:szCs w:val="24"/>
        </w:rPr>
        <w:t xml:space="preserve">outh </w:t>
      </w:r>
      <w:r w:rsidR="000E4750" w:rsidRPr="000E4750">
        <w:rPr>
          <w:rFonts w:ascii="Times New Roman" w:hAnsi="Times New Roman" w:cs="Times New Roman"/>
          <w:bCs/>
          <w:sz w:val="24"/>
          <w:szCs w:val="24"/>
        </w:rPr>
        <w:t>B</w:t>
      </w:r>
      <w:r w:rsidR="00476CFC">
        <w:rPr>
          <w:rFonts w:ascii="Times New Roman" w:hAnsi="Times New Roman" w:cs="Times New Roman"/>
          <w:bCs/>
          <w:sz w:val="24"/>
          <w:szCs w:val="24"/>
        </w:rPr>
        <w:t>altic</w:t>
      </w:r>
      <w:r w:rsidR="000E4750" w:rsidRPr="000E4750">
        <w:rPr>
          <w:rFonts w:ascii="Times New Roman" w:hAnsi="Times New Roman" w:cs="Times New Roman"/>
          <w:bCs/>
          <w:sz w:val="24"/>
          <w:szCs w:val="24"/>
        </w:rPr>
        <w:t xml:space="preserve"> area“</w:t>
      </w:r>
      <w:r w:rsidR="000E4750" w:rsidRPr="000E47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bookmarkStart w:id="3" w:name="_Hlk135833685"/>
      <w:r w:rsidR="000E4750" w:rsidRPr="000E4750">
        <w:rPr>
          <w:rFonts w:ascii="Times New Roman" w:hAnsi="Times New Roman" w:cs="Times New Roman"/>
          <w:sz w:val="24"/>
          <w:szCs w:val="24"/>
          <w:lang w:eastAsia="ar-SA"/>
        </w:rPr>
        <w:t>darnaus judumo situacijos ir  galimybių  analizės nacionalini</w:t>
      </w:r>
      <w:r w:rsidR="000542D7">
        <w:rPr>
          <w:rFonts w:ascii="Times New Roman" w:hAnsi="Times New Roman" w:cs="Times New Roman"/>
          <w:sz w:val="24"/>
          <w:szCs w:val="24"/>
          <w:lang w:eastAsia="ar-SA"/>
        </w:rPr>
        <w:t>u</w:t>
      </w:r>
      <w:r w:rsidR="000E4750" w:rsidRPr="000E4750">
        <w:rPr>
          <w:rFonts w:ascii="Times New Roman" w:hAnsi="Times New Roman" w:cs="Times New Roman"/>
          <w:sz w:val="24"/>
          <w:szCs w:val="24"/>
          <w:lang w:eastAsia="ar-SA"/>
        </w:rPr>
        <w:t xml:space="preserve"> ir regionini</w:t>
      </w:r>
      <w:r w:rsidR="000542D7">
        <w:rPr>
          <w:rFonts w:ascii="Times New Roman" w:hAnsi="Times New Roman" w:cs="Times New Roman"/>
          <w:sz w:val="24"/>
          <w:szCs w:val="24"/>
          <w:lang w:eastAsia="ar-SA"/>
        </w:rPr>
        <w:t>u</w:t>
      </w:r>
      <w:r w:rsidR="000E4750" w:rsidRPr="000E4750">
        <w:rPr>
          <w:rFonts w:ascii="Times New Roman" w:hAnsi="Times New Roman" w:cs="Times New Roman"/>
          <w:sz w:val="24"/>
          <w:szCs w:val="24"/>
          <w:lang w:eastAsia="ar-SA"/>
        </w:rPr>
        <w:t xml:space="preserve"> lygmen</w:t>
      </w:r>
      <w:r w:rsidR="000542D7">
        <w:rPr>
          <w:rFonts w:ascii="Times New Roman" w:hAnsi="Times New Roman" w:cs="Times New Roman"/>
          <w:sz w:val="24"/>
          <w:szCs w:val="24"/>
          <w:lang w:eastAsia="ar-SA"/>
        </w:rPr>
        <w:t>iu</w:t>
      </w:r>
      <w:r w:rsidR="000E4750" w:rsidRPr="000E4750">
        <w:rPr>
          <w:rFonts w:ascii="Times New Roman" w:hAnsi="Times New Roman" w:cs="Times New Roman"/>
          <w:sz w:val="24"/>
          <w:szCs w:val="24"/>
          <w:lang w:eastAsia="ar-SA"/>
        </w:rPr>
        <w:t xml:space="preserve"> parengimo paslaug</w:t>
      </w:r>
      <w:bookmarkEnd w:id="3"/>
      <w:r w:rsidR="000E4750" w:rsidRPr="000E4750">
        <w:rPr>
          <w:rFonts w:ascii="Times New Roman" w:hAnsi="Times New Roman" w:cs="Times New Roman"/>
          <w:sz w:val="24"/>
          <w:szCs w:val="24"/>
          <w:lang w:eastAsia="ar-SA"/>
        </w:rPr>
        <w:t>a,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kuri detalizuota </w:t>
      </w:r>
      <w:r w:rsidRPr="000A6CFE"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14:ligatures w14:val="none"/>
        </w:rPr>
        <w:t>Šios sutarties priede Nr.</w:t>
      </w:r>
      <w:r w:rsidR="000542D7"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14:ligatures w14:val="none"/>
        </w:rPr>
        <w:t xml:space="preserve"> </w:t>
      </w:r>
      <w:r w:rsidRPr="000A6CFE"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14:ligatures w14:val="none"/>
        </w:rPr>
        <w:t>1 (toliau – paslaugos).</w:t>
      </w:r>
    </w:p>
    <w:p w14:paraId="7A676214" w14:textId="77777777" w:rsidR="000A6CFE" w:rsidRPr="000A6CFE" w:rsidRDefault="000A6CFE" w:rsidP="000A6CFE">
      <w:pPr>
        <w:tabs>
          <w:tab w:val="left" w:pos="993"/>
          <w:tab w:val="left" w:pos="1276"/>
          <w:tab w:val="left" w:pos="1440"/>
          <w:tab w:val="left" w:pos="1985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ahoma"/>
          <w:color w:val="00000A"/>
          <w:kern w:val="0"/>
          <w:sz w:val="24"/>
          <w:szCs w:val="24"/>
          <w:lang w:eastAsia="ar-SA"/>
          <w14:ligatures w14:val="none"/>
        </w:rPr>
      </w:pPr>
    </w:p>
    <w:p w14:paraId="6B2A944C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  <w:tab w:val="left" w:pos="627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  <w:t>2. Paslaugų kaina</w:t>
      </w:r>
    </w:p>
    <w:p w14:paraId="5B880B56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  <w:tab w:val="left" w:pos="627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0D27D975" w14:textId="4434AE04" w:rsidR="000A6CFE" w:rsidRPr="000A6CFE" w:rsidRDefault="000A6CFE" w:rsidP="00141D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2.1.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ab/>
        <w:t xml:space="preserve">Bendra paslaugų (kaip jos apibrėžtos Sutarties 1 priede) kaina </w:t>
      </w:r>
      <w:r w:rsidRPr="000A6CFE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yra </w:t>
      </w:r>
      <w:r w:rsidR="000E4750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="00141DB1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 </w:t>
      </w:r>
      <w:r w:rsidR="000E4750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324</w:t>
      </w:r>
      <w:r w:rsidR="00141DB1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,00 Eur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(</w:t>
      </w:r>
      <w:r w:rsidR="000E475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penki tūkstančiai trys šimtai dvidešimt keturi Eur</w:t>
      </w:r>
      <w:r w:rsidR="00141DB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ir 00 ct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) įskaitant PVM. </w:t>
      </w:r>
    </w:p>
    <w:p w14:paraId="4CCE109B" w14:textId="5477DF46" w:rsidR="000A6CFE" w:rsidRDefault="000A6CFE" w:rsidP="00141D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2.2.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ab/>
        <w:t>T</w:t>
      </w:r>
      <w:r w:rsidR="00476C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ei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kėjo pasiūlyme nurodyta paslaugų kaina yra fiksuota ir nebus perskaičiuojama pagal bendrą kainų lygio kitimą. Tais atvejais, jei įstatymais bus pakeisti tiesiogiai su kaina susiję mokesčiai (pridėtinės vertės mokestis (toliau – PVM) ir pan.) ar įvesti nauji, ji bus keičiama atitinkama dalimi, atsižvelgiant į kainos sudėtyje esančio mokesčio dalį ar pridedant naują mokestį, pasirašant atskirą susitarimą.</w:t>
      </w:r>
    </w:p>
    <w:p w14:paraId="09FF3281" w14:textId="77777777" w:rsidR="00141DB1" w:rsidRPr="000A6CFE" w:rsidRDefault="00141DB1" w:rsidP="00141D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185FDF81" w14:textId="77777777" w:rsidR="000A6CFE" w:rsidRPr="000A6CFE" w:rsidRDefault="000A6CFE" w:rsidP="000A6CFE">
      <w:pPr>
        <w:keepNext/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center"/>
        <w:outlineLvl w:val="4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lt-LT"/>
          <w14:ligatures w14:val="none"/>
        </w:rPr>
      </w:pPr>
      <w:r w:rsidRPr="000A6CF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lt-LT"/>
          <w14:ligatures w14:val="none"/>
        </w:rPr>
        <w:t>3. Perkančiosios organizacijos teisės ir pareigos</w:t>
      </w:r>
    </w:p>
    <w:p w14:paraId="310E1F7F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05DB177E" w14:textId="15BD576D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3.1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ab/>
        <w:t>Perkančioji organizacija bendradarbiauja su T</w:t>
      </w:r>
      <w:r w:rsidR="00476C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ei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kėju ir suteikia jam informaciją, reikalingą tinkamam Sutarties įvykdymui. </w:t>
      </w:r>
    </w:p>
    <w:p w14:paraId="4120F3C5" w14:textId="5796DF60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3.2.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ab/>
        <w:t>Perkančioji organizacija turi teisę duoti nurodymus ir pateikti papildomus dokumentus ar instrukcijas, jei tai būtina tinkamam Sutarties įvykdymui ir</w:t>
      </w:r>
      <w:r w:rsidR="00A4639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(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ar</w:t>
      </w:r>
      <w:r w:rsidR="00A4639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)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jos vykdymo trūkumų pašalinimui. </w:t>
      </w:r>
    </w:p>
    <w:p w14:paraId="2834B2D8" w14:textId="1BCF9FA8" w:rsid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3.3.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ab/>
        <w:t>Perkančioji organizacija privalo atsiskaityti su T</w:t>
      </w:r>
      <w:r w:rsidR="00476C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ei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kėju už tinkamai suteiktas paslaugas Sutartyje nustatyta tvarka.</w:t>
      </w:r>
    </w:p>
    <w:p w14:paraId="14F238AE" w14:textId="77777777" w:rsidR="00141DB1" w:rsidRPr="000A6CFE" w:rsidRDefault="00141DB1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08BDDFFD" w14:textId="072CA635" w:rsidR="000A6CFE" w:rsidRPr="000A6CFE" w:rsidRDefault="000A6CFE" w:rsidP="000A6CFE">
      <w:pPr>
        <w:keepNext/>
        <w:numPr>
          <w:ilvl w:val="0"/>
          <w:numId w:val="2"/>
        </w:num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center"/>
        <w:outlineLvl w:val="4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lt-LT"/>
          <w14:ligatures w14:val="none"/>
        </w:rPr>
      </w:pPr>
      <w:r w:rsidRPr="000A6CF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lt-LT"/>
          <w14:ligatures w14:val="none"/>
        </w:rPr>
        <w:t>T</w:t>
      </w:r>
      <w:r w:rsidR="00476CFC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lt-LT"/>
          <w14:ligatures w14:val="none"/>
        </w:rPr>
        <w:t>ei</w:t>
      </w:r>
      <w:r w:rsidRPr="000A6CF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lt-LT"/>
          <w14:ligatures w14:val="none"/>
        </w:rPr>
        <w:t>kėjo teisės ir pareigos</w:t>
      </w:r>
    </w:p>
    <w:p w14:paraId="7746A661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6C69BD4A" w14:textId="56F0FF3E" w:rsidR="000A6CFE" w:rsidRPr="000A6CFE" w:rsidRDefault="000A6CFE" w:rsidP="00141DB1">
      <w:pPr>
        <w:widowControl w:val="0"/>
        <w:numPr>
          <w:ilvl w:val="1"/>
          <w:numId w:val="2"/>
        </w:numPr>
        <w:tabs>
          <w:tab w:val="clear" w:pos="360"/>
          <w:tab w:val="num" w:pos="426"/>
          <w:tab w:val="left" w:pos="993"/>
          <w:tab w:val="left" w:pos="1276"/>
          <w:tab w:val="left" w:pos="1985"/>
        </w:tabs>
        <w:spacing w:after="12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T</w:t>
      </w:r>
      <w:r w:rsidR="00476C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ei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kėjas privalo nuosekliai vykdyti sutartį ir Perkančiosios organizacijos nurodytais terminais atlikti paslaugas, nurodytas Techninėje specifikacijoje. </w:t>
      </w:r>
    </w:p>
    <w:p w14:paraId="2F8FA902" w14:textId="2CAB4471" w:rsidR="000A6CFE" w:rsidRPr="000A6CFE" w:rsidRDefault="000A6CFE" w:rsidP="000A6CFE">
      <w:pPr>
        <w:widowControl w:val="0"/>
        <w:tabs>
          <w:tab w:val="left" w:pos="993"/>
          <w:tab w:val="left" w:pos="1276"/>
          <w:tab w:val="left" w:pos="1985"/>
        </w:tabs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lastRenderedPageBreak/>
        <w:t>4.2.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ab/>
        <w:t>T</w:t>
      </w:r>
      <w:r w:rsidR="00476C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ei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kėjas turi vykdyti Perkančiosios organizacijos teisėtus nurodymus, susijusius su Sutarties vykdymu. Jei T</w:t>
      </w:r>
      <w:r w:rsidR="00476C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ei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kėjas mano, kad Perkančiosios organizacijos </w:t>
      </w:r>
      <w:r w:rsidRPr="000A6C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nurodymai 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viršija Sutarties reikalavimus, jis apie tai praneša Perkančiajai organizacijai per 5 dienas nuo tokio nurodymo gavimo dienos.</w:t>
      </w:r>
    </w:p>
    <w:p w14:paraId="35538593" w14:textId="416D631D" w:rsidR="000A6CFE" w:rsidRPr="000A6CFE" w:rsidRDefault="000A6CFE" w:rsidP="000A6CFE">
      <w:pPr>
        <w:widowControl w:val="0"/>
        <w:tabs>
          <w:tab w:val="left" w:pos="993"/>
          <w:tab w:val="left" w:pos="1276"/>
          <w:tab w:val="left" w:pos="1985"/>
        </w:tabs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4.3.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ab/>
        <w:t>T</w:t>
      </w:r>
      <w:r w:rsidR="00476C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ei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kėjas atsakingas už visos būtinos, reikalingos įrangos, darbų priežiūros, personalo ir kitų būtinų priemonių, reikalingų tinkamam Sutarties vykdymui, turėjimą.</w:t>
      </w:r>
    </w:p>
    <w:p w14:paraId="603815B1" w14:textId="1E5599E8" w:rsidR="000A6CFE" w:rsidRPr="000A6CFE" w:rsidRDefault="000A6CFE" w:rsidP="000A6CFE">
      <w:pPr>
        <w:widowControl w:val="0"/>
        <w:tabs>
          <w:tab w:val="left" w:pos="993"/>
          <w:tab w:val="left" w:pos="1276"/>
          <w:tab w:val="left" w:pos="1985"/>
        </w:tabs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4.4.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ab/>
        <w:t>T</w:t>
      </w:r>
      <w:r w:rsidR="00476C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ei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kėjas laikosi visų Lietuvos Respublikoje galiojančių įstatymų ir kitų teisės aktų nuostatų ir užtikrina, kad jo darbuotojai, jų pavaldiniai ir vietoje samdomi darbuotojai jų laikytųsi. T</w:t>
      </w:r>
      <w:r w:rsidR="00476C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ei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kėjas garantuoja Perkančiajai organizacijai nuostolių atlyginimą, jei T</w:t>
      </w:r>
      <w:r w:rsidR="00476C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ei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kėjas, jo darbuotojai ar jų pavaldiniai nesilaikytų minėtųjų įstatymų ir kitų teisės aktų ir dėl to būtų pateikti trečiųjų šalių, T</w:t>
      </w:r>
      <w:r w:rsidR="00476C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ei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kėjų darbuotojų ar kitų asmenų reikalavimai ar pradėti procesiniai veiksmai.</w:t>
      </w:r>
    </w:p>
    <w:p w14:paraId="62A51777" w14:textId="1A656A90" w:rsidR="000A6CFE" w:rsidRPr="000A6CFE" w:rsidRDefault="000A6CFE" w:rsidP="000A6CFE">
      <w:pPr>
        <w:widowControl w:val="0"/>
        <w:tabs>
          <w:tab w:val="left" w:pos="993"/>
          <w:tab w:val="left" w:pos="1276"/>
          <w:tab w:val="left" w:pos="1985"/>
        </w:tabs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4.5.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ab/>
        <w:t>Sutarties vykdymo metu T</w:t>
      </w:r>
      <w:r w:rsidR="00476C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ei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kėjo gauta informacija ir dokumentai yra konfidencialūs. Be išankstinio raštiško Perkančiosios organizacijos leidimo T</w:t>
      </w:r>
      <w:r w:rsidR="00476C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ei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kėjas neskelbia ir neatskleidžia jokių su Sutarties vykdymu susijusių nuostatų, išskyrus atvejus, kai tai būtina vykdant Sutartį. Jei T</w:t>
      </w:r>
      <w:r w:rsidR="00476C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ei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kėjas ir Perkančioji organizacija nesutaria, ar būtina skelbti ar atskleisti kokias nors Sutarties nuostatas, galutinį sprendimą priima Perkančioji organizacija</w:t>
      </w:r>
      <w:r w:rsidRPr="000A6CFE"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14:ligatures w14:val="none"/>
        </w:rPr>
        <w:t>.</w:t>
      </w:r>
    </w:p>
    <w:p w14:paraId="72822D35" w14:textId="3FB5E55D" w:rsidR="000A6CFE" w:rsidRPr="000A6CFE" w:rsidRDefault="000A6CFE" w:rsidP="000A6CFE">
      <w:pPr>
        <w:widowControl w:val="0"/>
        <w:tabs>
          <w:tab w:val="left" w:pos="993"/>
          <w:tab w:val="left" w:pos="1276"/>
          <w:tab w:val="left" w:pos="1985"/>
        </w:tabs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4.6.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ab/>
        <w:t>Jei nėra būtina Sutarčiai vykdyti, T</w:t>
      </w:r>
      <w:r w:rsidR="00476C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ei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kėjas be išankstinio Perkančiosios organizacijos sutikimo neturi teisės Perkančiosios organizacijos pateiktų specifikacijų ir kitų dokumentų perduoti trečiajai šaliai.</w:t>
      </w:r>
    </w:p>
    <w:p w14:paraId="070D4990" w14:textId="402CEC77" w:rsidR="000A6CFE" w:rsidRDefault="000A6CFE" w:rsidP="000A6CFE">
      <w:pPr>
        <w:widowControl w:val="0"/>
        <w:tabs>
          <w:tab w:val="left" w:pos="993"/>
          <w:tab w:val="left" w:pos="1276"/>
          <w:tab w:val="left" w:pos="1985"/>
        </w:tabs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4.7.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ab/>
        <w:t>T</w:t>
      </w:r>
      <w:r w:rsidR="00476C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ei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kėjas gali turėti ir kitų pareigų, jei jos numatytos Sutartyje.</w:t>
      </w:r>
    </w:p>
    <w:p w14:paraId="4A1555DB" w14:textId="77777777" w:rsidR="00141DB1" w:rsidRPr="000A6CFE" w:rsidRDefault="00141DB1" w:rsidP="000A6CFE">
      <w:pPr>
        <w:widowControl w:val="0"/>
        <w:tabs>
          <w:tab w:val="left" w:pos="993"/>
          <w:tab w:val="left" w:pos="1276"/>
          <w:tab w:val="left" w:pos="1985"/>
        </w:tabs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23CBBDCE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  <w:tab w:val="left" w:pos="627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  <w:t>5. Apmokėjimo sąlygos</w:t>
      </w:r>
    </w:p>
    <w:p w14:paraId="5A3D4CEB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  <w:tab w:val="left" w:pos="627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7CBCBF57" w14:textId="69D2921B" w:rsidR="000A6CFE" w:rsidRPr="00141DB1" w:rsidRDefault="000E4750" w:rsidP="000E4750">
      <w:pPr>
        <w:numPr>
          <w:ilvl w:val="1"/>
          <w:numId w:val="3"/>
        </w:numPr>
        <w:tabs>
          <w:tab w:val="clear" w:pos="1288"/>
          <w:tab w:val="left" w:pos="0"/>
          <w:tab w:val="num" w:pos="1134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0A6CFE" w:rsidRPr="000A6C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Už kokybiškai ir laiku atliktas Paslaugas Perkančioji organizacija įsipareigoja atsiskaityti per 60 (šešiasdešimt) kalendorinių dienų nuo sąskaitos faktūros gavimo dienos.</w:t>
      </w:r>
    </w:p>
    <w:p w14:paraId="174E19F6" w14:textId="29ADB81D" w:rsidR="00141DB1" w:rsidRDefault="00141DB1" w:rsidP="000E4750">
      <w:pPr>
        <w:numPr>
          <w:ilvl w:val="1"/>
          <w:numId w:val="3"/>
        </w:numPr>
        <w:tabs>
          <w:tab w:val="clear" w:pos="1288"/>
          <w:tab w:val="left" w:pos="0"/>
          <w:tab w:val="num" w:pos="1134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>Visos sąskaitos apmokėjimui teikiamos informacinės sistemos „E. Sąskaita“ priemonėmis.</w:t>
      </w:r>
    </w:p>
    <w:p w14:paraId="21401FE3" w14:textId="77777777" w:rsidR="00141DB1" w:rsidRPr="000A6CFE" w:rsidRDefault="00141DB1" w:rsidP="00141DB1">
      <w:pPr>
        <w:tabs>
          <w:tab w:val="left" w:pos="0"/>
        </w:tabs>
        <w:snapToGri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700562FD" w14:textId="77777777" w:rsidR="000A6CFE" w:rsidRPr="000A6CFE" w:rsidRDefault="000A6CFE" w:rsidP="000A6CFE">
      <w:pPr>
        <w:keepNext/>
        <w:numPr>
          <w:ilvl w:val="0"/>
          <w:numId w:val="3"/>
        </w:numPr>
        <w:tabs>
          <w:tab w:val="left" w:pos="993"/>
          <w:tab w:val="left" w:pos="1276"/>
          <w:tab w:val="left" w:pos="1985"/>
        </w:tabs>
        <w:spacing w:after="0" w:line="240" w:lineRule="auto"/>
        <w:contextualSpacing/>
        <w:jc w:val="center"/>
        <w:outlineLvl w:val="4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lt-LT"/>
          <w14:ligatures w14:val="none"/>
        </w:rPr>
      </w:pPr>
      <w:r w:rsidRPr="000A6CF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lt-LT"/>
          <w14:ligatures w14:val="none"/>
        </w:rPr>
        <w:t>Sutarties galiojimas</w:t>
      </w:r>
    </w:p>
    <w:p w14:paraId="19B383D1" w14:textId="77777777" w:rsidR="000A6CFE" w:rsidRPr="000A6CFE" w:rsidRDefault="000A6CFE" w:rsidP="000A6CFE">
      <w:pPr>
        <w:spacing w:after="0" w:line="240" w:lineRule="auto"/>
        <w:ind w:left="375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lt-LT"/>
          <w14:ligatures w14:val="none"/>
        </w:rPr>
      </w:pPr>
    </w:p>
    <w:p w14:paraId="16D49ECD" w14:textId="3C23553F" w:rsidR="000A6CFE" w:rsidRDefault="000A6CFE" w:rsidP="00141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6.1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ab/>
        <w:t>Sutarties galiojimas – iki visiško paslaugų įvykdymo datos</w:t>
      </w:r>
      <w:r w:rsidR="00141DB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.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="00141DB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P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aslaugos</w:t>
      </w:r>
      <w:r w:rsidR="00141DB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,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nurodytos sutarties priede Nr. 1</w:t>
      </w:r>
      <w:r w:rsidR="00141DB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,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turi būti suteiktos per 1 mėn. nuo sutarties pasirašymo datos. Sutarties vykdymo metu, dėl įstatymų ir kitų teisės aktų pasikeitimo, ir kitų nenumatytų aplinkybių gali būti nukeltas paslaugų teikimo pabaigos terminas, bet ne ilgiau kaip 5 d., o termino nukėlimas bus fiksuojamas papildomu susitarimu.</w:t>
      </w:r>
    </w:p>
    <w:p w14:paraId="78943D8F" w14:textId="77777777" w:rsidR="00141DB1" w:rsidRPr="000A6CFE" w:rsidRDefault="00141DB1" w:rsidP="00141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/>
          <w14:ligatures w14:val="none"/>
        </w:rPr>
      </w:pPr>
    </w:p>
    <w:p w14:paraId="75DCE8F3" w14:textId="77777777" w:rsidR="000A6CFE" w:rsidRPr="000A6CFE" w:rsidRDefault="000A6CFE" w:rsidP="000A6CFE">
      <w:pPr>
        <w:keepNext/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center"/>
        <w:outlineLvl w:val="4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lt-LT"/>
          <w14:ligatures w14:val="none"/>
        </w:rPr>
      </w:pPr>
      <w:r w:rsidRPr="000A6CF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lt-LT"/>
          <w14:ligatures w14:val="none"/>
        </w:rPr>
        <w:t>7. Paslaugų  kokybė</w:t>
      </w:r>
    </w:p>
    <w:p w14:paraId="36E1A13F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08F3C82E" w14:textId="77777777" w:rsidR="000A6CFE" w:rsidRDefault="000A6CFE" w:rsidP="000A6CFE">
      <w:pPr>
        <w:widowControl w:val="0"/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14:ligatures w14:val="none"/>
        </w:rPr>
        <w:t>7.1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ab/>
        <w:t xml:space="preserve">Paslaugų kokybė visais atžvilgiais privalo atitikti pirkimo dokumentuose pateiktas Technines specifikacijas ir kokybės standartus bei kitus Sutarties reikalavimus. </w:t>
      </w:r>
    </w:p>
    <w:p w14:paraId="33A32180" w14:textId="77777777" w:rsidR="00141DB1" w:rsidRPr="000A6CFE" w:rsidRDefault="00141DB1" w:rsidP="000A6CFE">
      <w:pPr>
        <w:widowControl w:val="0"/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0B533B78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  <w:t>8. Šalių atsakomybė</w:t>
      </w:r>
    </w:p>
    <w:p w14:paraId="131D2B43" w14:textId="77777777" w:rsidR="000A6CFE" w:rsidRPr="000A6CFE" w:rsidRDefault="000A6CFE" w:rsidP="000A6CFE">
      <w:pPr>
        <w:tabs>
          <w:tab w:val="center" w:pos="567"/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61115373" w14:textId="77777777" w:rsidR="000A6CFE" w:rsidRPr="00141DB1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8.1. 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ab/>
        <w:t xml:space="preserve">Šalys už </w:t>
      </w:r>
      <w:r w:rsidRPr="00141DB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netinkamą šia sutartimi prisiimtų įsipareigojimų nevykdymą atsako šios Sutarties ir LR teisės aktų nustatyta tvarka.</w:t>
      </w:r>
    </w:p>
    <w:p w14:paraId="4D36F09E" w14:textId="5D6D4938" w:rsidR="00141DB1" w:rsidRPr="00141DB1" w:rsidRDefault="00141DB1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141DB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8.2. Sutarties įvykdymas užtikrinamas netesybomis – 0,02 % nuo bendros Sutarties kainos už kiekvieną uždelstą dieną.</w:t>
      </w:r>
    </w:p>
    <w:p w14:paraId="70BB3FC3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5A8A05A3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  <w:t>9. Nenugalima jėga</w:t>
      </w:r>
    </w:p>
    <w:p w14:paraId="7C072A55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39F00334" w14:textId="2191472A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9.1. 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ab/>
        <w:t>T</w:t>
      </w:r>
      <w:r w:rsidR="00476C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ei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kėjas ir Perkančioji organizacija neatsako už visišką ar dalinį savo įsipareigojimų nevykdymą, jeigu tai įvyko susidarius ypatingoms aplinkybėms (</w:t>
      </w:r>
      <w:r w:rsidRPr="00A4639A">
        <w:rPr>
          <w:rFonts w:ascii="Times New Roman" w:eastAsia="Times New Roman" w:hAnsi="Times New Roman" w:cs="Times New Roman"/>
          <w:i/>
          <w:iCs/>
          <w:color w:val="00000A"/>
          <w:kern w:val="0"/>
          <w:sz w:val="24"/>
          <w:szCs w:val="24"/>
          <w14:ligatures w14:val="none"/>
        </w:rPr>
        <w:t>Force majeure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). T</w:t>
      </w:r>
      <w:r w:rsidR="00476C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ei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kėjo ir 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lastRenderedPageBreak/>
        <w:t>Perkančiosios organizacijos įsipareigojimai ir teisių atstatymai vykdomi Lietuvos Respublikos civilinio kodekso 6.212 straipsnio nustatyta tvarka.</w:t>
      </w:r>
    </w:p>
    <w:p w14:paraId="47B7B356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9.2. 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ab/>
        <w:t>Sutarties šalis, kuri dėl šiame punkte nurodytų aplinkybių negali įvykdyti prisiimtų įsipareigojimų, nedelsdama privalo raštu informuoti kitą šalį ne vėliau kaip per 10 dienų nuo nenumatytų aplinkybių pradžios.</w:t>
      </w:r>
    </w:p>
    <w:p w14:paraId="6D67D516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4366ADF2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  <w:t>10. Ginčų sprendimo tvarka</w:t>
      </w:r>
    </w:p>
    <w:p w14:paraId="552BE79E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106175EA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10.1. Ginčai sprendžiami derybų būdu, o nepavykus taip išspręsti ginčo, jis bus nagrinėjamas Lietuvos Respublikos civilinio proceso kodekso nustatyta tvarka teisme.</w:t>
      </w:r>
    </w:p>
    <w:p w14:paraId="05F53980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2BAB8C6A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6F3678B9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  <w:t>11. Baigiamosios nuostatos</w:t>
      </w:r>
    </w:p>
    <w:p w14:paraId="17C25695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158051E5" w14:textId="79B263E9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11.1. 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ab/>
        <w:t xml:space="preserve">Sutarties sąlygos pirkimo sutarties galiojimo laikotarpiu negali būti keičiamos, išskyrus tokias Sutarties sąlygas, kurias pakeitus nebūtų pažeisti Viešųjų pirkimų įstatymo </w:t>
      </w:r>
      <w:r w:rsidR="00141DB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17</w:t>
      </w:r>
      <w:r w:rsidR="00141DB1"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straipsnyje nustatyti principai ir tikslai bei tokie</w:t>
      </w:r>
      <w:r w:rsidR="00141DB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pakeitimai atliekami laikantis Viešųjų pirkimų įstatymo 89 straipsnio nuostatų.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Pr="000A6CFE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>Sutarties šalių valia įforminama susitarimu, pasirašomu abiejų Sutarties šalių, pridedant ir visą susijusią susirašinėjimo dokumentaciją, šie dokumentai yra neatskiriama Sutarties dalis.</w:t>
      </w:r>
    </w:p>
    <w:p w14:paraId="76D287C5" w14:textId="6839E7EF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>11.2.  Šalys susitaria, kad ši Sutartis, vadovaujantis Viešųjų pirkimų įstatym</w:t>
      </w:r>
      <w:r w:rsidR="00141DB1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>o nuostatomis</w:t>
      </w:r>
      <w:r w:rsidR="006C743C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>,</w:t>
      </w:r>
      <w:r w:rsidRPr="000A6CFE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 xml:space="preserve"> bus skelbiama viešai.</w:t>
      </w:r>
    </w:p>
    <w:p w14:paraId="05AF78A5" w14:textId="77777777" w:rsidR="000A6CFE" w:rsidRPr="000A6CFE" w:rsidRDefault="000A6CFE" w:rsidP="000A6CFE">
      <w:pPr>
        <w:tabs>
          <w:tab w:val="left" w:pos="993"/>
          <w:tab w:val="left" w:pos="1276"/>
          <w:tab w:val="left" w:pos="1985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11.3. </w:t>
      </w:r>
      <w:r w:rsidRPr="000A6CF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ab/>
        <w:t>Sutartis sudaryta lietuvių kalba dviem egzemplioriais, po vieną kiekvienai šaliai.</w:t>
      </w:r>
    </w:p>
    <w:p w14:paraId="11FB57A1" w14:textId="77777777" w:rsidR="000A6CFE" w:rsidRPr="000A6CFE" w:rsidRDefault="000A6CFE" w:rsidP="000A6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725D800C" w14:textId="77777777" w:rsidR="000A6CFE" w:rsidRPr="000A6CFE" w:rsidRDefault="000A6CFE" w:rsidP="000A6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14:ligatures w14:val="none"/>
        </w:rPr>
        <w:t>12. Šalių adresai ir rekvizitai</w:t>
      </w:r>
    </w:p>
    <w:p w14:paraId="08062DEB" w14:textId="77777777" w:rsidR="000A6CFE" w:rsidRPr="000A6CFE" w:rsidRDefault="000A6CFE" w:rsidP="000A6CFE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u w:val="single"/>
          <w14:ligatures w14:val="none"/>
        </w:rPr>
      </w:pPr>
    </w:p>
    <w:p w14:paraId="701C5707" w14:textId="5D63EA67" w:rsidR="000A6CFE" w:rsidRPr="000A6CFE" w:rsidRDefault="000A6CFE" w:rsidP="000A6CF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A6C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Perkančioji organizacija</w:t>
      </w:r>
      <w:r w:rsidR="006C74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="006C74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="006C74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0A6C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</w:t>
      </w:r>
      <w:r w:rsidR="00476C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ei</w:t>
      </w:r>
      <w:r w:rsidRPr="000A6C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kėjas</w:t>
      </w:r>
    </w:p>
    <w:p w14:paraId="0A438C66" w14:textId="738598E8" w:rsidR="000A6CFE" w:rsidRPr="000A6CFE" w:rsidRDefault="000A6CFE" w:rsidP="006C743C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Šilutės rajono savivaldybės administracija</w:t>
      </w:r>
      <w:r w:rsidR="006C74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UAB ,,Smart Continent“</w:t>
      </w:r>
    </w:p>
    <w:p w14:paraId="5C6DEB69" w14:textId="4BAFECB6" w:rsidR="000A6CFE" w:rsidRPr="000A6CFE" w:rsidRDefault="000A6CFE" w:rsidP="000A6CF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Dariaus ir Girėno g. 1, LT-99133 Šilutė</w:t>
      </w:r>
      <w:r w:rsidR="006C74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6C74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476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Šeimyniškių 19-202, Vilnius</w:t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Įmonės kodas 188723322</w:t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Įmonės kodas 300144142</w:t>
      </w:r>
    </w:p>
    <w:p w14:paraId="7FED0A7C" w14:textId="77777777" w:rsidR="000A6CFE" w:rsidRPr="000A6CFE" w:rsidRDefault="000A6CFE" w:rsidP="000A6CF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PVM kodas – (ne PVM mokėtoja)</w:t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PVM kodas LT100001908917</w:t>
      </w:r>
    </w:p>
    <w:p w14:paraId="43B8341A" w14:textId="77777777" w:rsidR="000A6CFE" w:rsidRPr="000A6CFE" w:rsidRDefault="000A6CFE" w:rsidP="000A6CF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AB ,,Swedbank“</w:t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AB „Swedbank“ bankas</w:t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CB3A96F" w14:textId="6747F8E3" w:rsidR="000A6CFE" w:rsidRPr="000A6CFE" w:rsidRDefault="000A6CFE" w:rsidP="000A6CFE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A6CF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A. s. LT13 7300 0101 1319 4651 </w:t>
      </w:r>
      <w:r w:rsidRPr="000A6CF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  <w:t xml:space="preserve">                                A. s. </w:t>
      </w:r>
      <w:r w:rsidRPr="000A6C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/>
          <w14:ligatures w14:val="none"/>
        </w:rPr>
        <w:t>LT647300010091229732</w:t>
      </w:r>
    </w:p>
    <w:p w14:paraId="6377AE96" w14:textId="50730F66" w:rsidR="000A6CFE" w:rsidRPr="000A6CFE" w:rsidRDefault="000A6CFE" w:rsidP="000A6CF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Tel. (8 441)  79 266</w:t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Tel. (8 5)  2196679</w:t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</w:t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171913B" w14:textId="3D9BDFF9" w:rsidR="000A6CFE" w:rsidRPr="000A6CFE" w:rsidRDefault="000A6CFE" w:rsidP="000A6CFE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r w:rsidRPr="000A6CF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ar-SA"/>
          <w14:ligatures w14:val="none"/>
        </w:rPr>
        <w:t>El. p. administracija</w:t>
      </w:r>
      <w:hyperlink r:id="rId7" w:history="1"/>
      <w:r w:rsidRPr="000A6CF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@silute.lt</w:t>
      </w:r>
      <w:r w:rsidR="006C743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r w:rsidRPr="000A6CF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    </w:t>
      </w:r>
      <w:r w:rsidRPr="000A6CF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ar-SA"/>
          <w14:ligatures w14:val="none"/>
        </w:rPr>
        <w:tab/>
      </w:r>
      <w:r w:rsidRPr="000A6CF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ar-SA"/>
          <w14:ligatures w14:val="none"/>
        </w:rPr>
        <w:tab/>
        <w:t>El. p. lt</w:t>
      </w:r>
      <w:r w:rsidRPr="000A6CF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@smartcontinent.com</w:t>
      </w:r>
    </w:p>
    <w:p w14:paraId="7CDD24A6" w14:textId="77777777" w:rsidR="000A6CFE" w:rsidRPr="000A6CFE" w:rsidRDefault="000A6CFE" w:rsidP="000A6CFE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0A6CF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</w:t>
      </w:r>
    </w:p>
    <w:p w14:paraId="4AD3F88E" w14:textId="4F23F900" w:rsidR="000A6CFE" w:rsidRPr="000A6CFE" w:rsidRDefault="000A6CFE" w:rsidP="000A6CF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Administracijos direktorius           </w:t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             Direktorius</w:t>
      </w:r>
    </w:p>
    <w:p w14:paraId="40F33587" w14:textId="32145B5A" w:rsidR="000A6CFE" w:rsidRPr="000A6CFE" w:rsidRDefault="000E4750" w:rsidP="000A6CF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Andrius Jurkus</w:t>
      </w:r>
      <w:r w:rsidR="000A6CFE"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A6CFE"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             Andrius Jaržemskis</w:t>
      </w:r>
    </w:p>
    <w:p w14:paraId="57AFFA53" w14:textId="64280FA9" w:rsidR="000E4750" w:rsidRDefault="000A6CFE" w:rsidP="006C743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</w:t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0A6C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5496632" w14:textId="77777777" w:rsidR="00A4639A" w:rsidRDefault="00A4639A" w:rsidP="006C743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FD8DBE" w14:textId="77777777" w:rsidR="00A4639A" w:rsidRDefault="00A4639A" w:rsidP="006C743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B98D35F" w14:textId="77777777" w:rsidR="00A4639A" w:rsidRDefault="00A4639A" w:rsidP="006C743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3E8EF27" w14:textId="77777777" w:rsidR="00A4639A" w:rsidRDefault="00A4639A" w:rsidP="006C743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5E8F95A" w14:textId="77777777" w:rsidR="00A4639A" w:rsidRDefault="00A4639A" w:rsidP="006C743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03DD4D" w14:textId="77777777" w:rsidR="00A4639A" w:rsidRDefault="00A4639A" w:rsidP="006C743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A3F37D" w14:textId="77777777" w:rsidR="00A4639A" w:rsidRDefault="00A4639A" w:rsidP="006C743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7A08281" w14:textId="77777777" w:rsidR="00A4639A" w:rsidRDefault="00A4639A" w:rsidP="006C743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76A390" w14:textId="77777777" w:rsidR="00A4639A" w:rsidRDefault="00A4639A" w:rsidP="006C743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356B14" w14:textId="77777777" w:rsidR="00A4639A" w:rsidRDefault="00A4639A" w:rsidP="006C743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4C11BB" w14:textId="77777777" w:rsidR="00A4639A" w:rsidRDefault="00A4639A" w:rsidP="006C743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A90202" w14:textId="77777777" w:rsidR="00A4639A" w:rsidRPr="000A6CFE" w:rsidRDefault="00A4639A" w:rsidP="006C743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5ED7F997" w14:textId="3C1212FD" w:rsidR="000A6CFE" w:rsidRPr="000A6CFE" w:rsidRDefault="000A6CFE" w:rsidP="000A6CFE">
      <w:pPr>
        <w:tabs>
          <w:tab w:val="left" w:pos="6521"/>
          <w:tab w:val="right" w:pos="9639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</w:pPr>
      <w:r w:rsidRPr="000A6CFE">
        <w:rPr>
          <w:rFonts w:ascii="Times New Roman" w:eastAsia="Calibri" w:hAnsi="Times New Roman" w:cs="Times New Roman"/>
          <w:kern w:val="0"/>
          <w:lang w:eastAsia="zh-CN"/>
          <w14:ligatures w14:val="none"/>
        </w:rPr>
        <w:lastRenderedPageBreak/>
        <w:t xml:space="preserve">                                                                                                     20</w:t>
      </w:r>
      <w:r w:rsidR="000E4750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23 </w:t>
      </w:r>
      <w:r w:rsidRPr="000A6CFE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m. ___________ mėn. ____d.     </w:t>
      </w:r>
    </w:p>
    <w:p w14:paraId="1E8EF05F" w14:textId="77777777" w:rsidR="000A6CFE" w:rsidRPr="000A6CFE" w:rsidRDefault="000A6CFE" w:rsidP="000A6CFE">
      <w:pPr>
        <w:tabs>
          <w:tab w:val="left" w:pos="6521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</w:pPr>
      <w:r w:rsidRPr="000A6CF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                           </w:t>
      </w:r>
      <w:r w:rsidRPr="000A6CFE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sutarties Nr. ______________ </w:t>
      </w:r>
    </w:p>
    <w:p w14:paraId="24D7C2BC" w14:textId="505E4480" w:rsidR="000A6CFE" w:rsidRPr="00A27654" w:rsidRDefault="000A6CFE" w:rsidP="00A27654">
      <w:pPr>
        <w:tabs>
          <w:tab w:val="left" w:pos="6521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</w:pPr>
      <w:r w:rsidRPr="000A6CF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                           </w:t>
      </w:r>
      <w:r w:rsidRPr="000A6CFE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1 priedas </w:t>
      </w:r>
    </w:p>
    <w:p w14:paraId="0456726E" w14:textId="77777777" w:rsidR="000A6CFE" w:rsidRPr="000A6CFE" w:rsidRDefault="000A6CFE" w:rsidP="000A6CF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1F89E2" w14:textId="6F72703C" w:rsidR="000A6CFE" w:rsidRPr="00A27654" w:rsidRDefault="000A6CFE" w:rsidP="00A27654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/>
          <w14:ligatures w14:val="none"/>
        </w:rPr>
      </w:pPr>
    </w:p>
    <w:p w14:paraId="3B040C74" w14:textId="77777777" w:rsidR="00A27654" w:rsidRPr="00A27654" w:rsidRDefault="00A27654" w:rsidP="00A276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654">
        <w:rPr>
          <w:rFonts w:ascii="Times New Roman" w:hAnsi="Times New Roman" w:cs="Times New Roman"/>
          <w:b/>
          <w:sz w:val="24"/>
          <w:szCs w:val="24"/>
        </w:rPr>
        <w:t>TECHNINĖ UŽDUOTIS</w:t>
      </w:r>
    </w:p>
    <w:p w14:paraId="255E8819" w14:textId="77777777" w:rsidR="00A27654" w:rsidRPr="00A27654" w:rsidRDefault="00A27654" w:rsidP="00A27654">
      <w:pPr>
        <w:shd w:val="clear" w:color="auto" w:fill="FFFFFF"/>
        <w:spacing w:line="240" w:lineRule="auto"/>
        <w:ind w:firstLine="851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14:paraId="3697E546" w14:textId="77777777" w:rsidR="00A27654" w:rsidRPr="00A27654" w:rsidRDefault="00A27654" w:rsidP="00A27654">
      <w:pPr>
        <w:shd w:val="clear" w:color="auto" w:fill="FFFFFF"/>
        <w:spacing w:line="240" w:lineRule="auto"/>
        <w:ind w:firstLine="851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 w:rsidRPr="00A27654">
        <w:rPr>
          <w:rFonts w:ascii="Times New Roman" w:hAnsi="Times New Roman" w:cs="Times New Roman"/>
          <w:b/>
          <w:bCs/>
          <w:spacing w:val="-7"/>
          <w:sz w:val="24"/>
          <w:szCs w:val="24"/>
        </w:rPr>
        <w:t>1.</w:t>
      </w:r>
      <w:r w:rsidRPr="00A276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7654">
        <w:rPr>
          <w:rFonts w:ascii="Times New Roman" w:hAnsi="Times New Roman" w:cs="Times New Roman"/>
          <w:b/>
          <w:bCs/>
          <w:spacing w:val="-4"/>
          <w:sz w:val="24"/>
          <w:szCs w:val="24"/>
        </w:rPr>
        <w:t>Pirkimo objektas ir tikslai</w:t>
      </w:r>
    </w:p>
    <w:p w14:paraId="7C437F20" w14:textId="77777777" w:rsidR="00A27654" w:rsidRPr="00A27654" w:rsidRDefault="00A27654" w:rsidP="00A2765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A27654">
        <w:rPr>
          <w:rFonts w:ascii="Times New Roman" w:hAnsi="Times New Roman" w:cs="Times New Roman"/>
          <w:spacing w:val="1"/>
          <w:sz w:val="24"/>
          <w:szCs w:val="24"/>
        </w:rPr>
        <w:t>1.1. Darnaus judumo situacijos ir potencialo analizė Šilutės rajono savivaldybėje</w:t>
      </w:r>
      <w:r w:rsidRPr="00A276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0E084" w14:textId="09A690D8" w:rsidR="00A27654" w:rsidRPr="00A27654" w:rsidRDefault="00A27654" w:rsidP="00A276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A27654">
        <w:rPr>
          <w:rFonts w:ascii="Times New Roman" w:hAnsi="Times New Roman" w:cs="Times New Roman"/>
          <w:spacing w:val="6"/>
          <w:sz w:val="24"/>
          <w:szCs w:val="24"/>
          <w:lang w:val="en-US"/>
        </w:rPr>
        <w:t>1</w:t>
      </w:r>
      <w:r w:rsidRPr="00A27654">
        <w:rPr>
          <w:rFonts w:ascii="Times New Roman" w:hAnsi="Times New Roman" w:cs="Times New Roman"/>
          <w:spacing w:val="6"/>
          <w:sz w:val="24"/>
          <w:szCs w:val="24"/>
        </w:rPr>
        <w:t xml:space="preserve">.2. Tikslas </w:t>
      </w:r>
      <w:r w:rsidR="00A4639A">
        <w:rPr>
          <w:rFonts w:ascii="Times New Roman" w:hAnsi="Times New Roman" w:cs="Times New Roman"/>
          <w:spacing w:val="6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6"/>
          <w:sz w:val="24"/>
          <w:szCs w:val="24"/>
        </w:rPr>
        <w:t>išanalizuoti potencialias galimybes Šilutės rajono savivaldybėje įrengti ir naudotis judumo centrais.</w:t>
      </w:r>
    </w:p>
    <w:p w14:paraId="39620564" w14:textId="4570E4D9" w:rsidR="00A27654" w:rsidRPr="00A27654" w:rsidRDefault="00A27654" w:rsidP="00A276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A27654">
        <w:rPr>
          <w:rFonts w:ascii="Times New Roman" w:hAnsi="Times New Roman" w:cs="Times New Roman"/>
          <w:spacing w:val="6"/>
          <w:sz w:val="24"/>
          <w:szCs w:val="24"/>
        </w:rPr>
        <w:t xml:space="preserve">1.3. Vykdant Projektą numatoma </w:t>
      </w:r>
      <w:r w:rsidR="00CE609A">
        <w:rPr>
          <w:rFonts w:ascii="Times New Roman" w:hAnsi="Times New Roman" w:cs="Times New Roman"/>
          <w:spacing w:val="6"/>
          <w:sz w:val="24"/>
          <w:szCs w:val="24"/>
        </w:rPr>
        <w:t>įrengti tinkamą judumo centrų infrastruktūrą prie viešųjų objektų bei įsigyti reikalingą įrangą.</w:t>
      </w:r>
    </w:p>
    <w:p w14:paraId="00759437" w14:textId="77777777" w:rsidR="00A27654" w:rsidRPr="00A27654" w:rsidRDefault="00A27654" w:rsidP="00A276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14:paraId="39C3AF03" w14:textId="77777777" w:rsidR="00A27654" w:rsidRPr="00A27654" w:rsidRDefault="00A27654" w:rsidP="00A27654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7654">
        <w:rPr>
          <w:rFonts w:ascii="Times New Roman" w:hAnsi="Times New Roman" w:cs="Times New Roman"/>
          <w:b/>
          <w:bCs/>
          <w:spacing w:val="-8"/>
          <w:sz w:val="24"/>
          <w:szCs w:val="24"/>
          <w:lang w:val="en-US"/>
        </w:rPr>
        <w:t>2</w:t>
      </w:r>
      <w:r w:rsidRPr="00A27654">
        <w:rPr>
          <w:rFonts w:ascii="Times New Roman" w:hAnsi="Times New Roman" w:cs="Times New Roman"/>
          <w:b/>
          <w:bCs/>
          <w:spacing w:val="-8"/>
          <w:sz w:val="24"/>
          <w:szCs w:val="24"/>
        </w:rPr>
        <w:t>.</w:t>
      </w:r>
      <w:r w:rsidRPr="00A2765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27654">
        <w:rPr>
          <w:rFonts w:ascii="Times New Roman" w:hAnsi="Times New Roman" w:cs="Times New Roman"/>
          <w:b/>
          <w:bCs/>
          <w:spacing w:val="-4"/>
          <w:sz w:val="24"/>
          <w:szCs w:val="24"/>
        </w:rPr>
        <w:t>Paslaugų apimtys</w:t>
      </w:r>
    </w:p>
    <w:p w14:paraId="49821110" w14:textId="0483C0F8" w:rsidR="00CE609A" w:rsidRDefault="00A27654" w:rsidP="00A276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765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27654">
        <w:rPr>
          <w:rFonts w:ascii="Times New Roman" w:hAnsi="Times New Roman" w:cs="Times New Roman"/>
          <w:sz w:val="24"/>
          <w:szCs w:val="24"/>
        </w:rPr>
        <w:t>.</w:t>
      </w:r>
      <w:r w:rsidRPr="00A2765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A27654">
        <w:rPr>
          <w:rFonts w:ascii="Times New Roman" w:hAnsi="Times New Roman" w:cs="Times New Roman"/>
          <w:sz w:val="24"/>
          <w:szCs w:val="24"/>
        </w:rPr>
        <w:t xml:space="preserve">. </w:t>
      </w:r>
      <w:r w:rsidR="00CE609A" w:rsidRPr="00A27654">
        <w:rPr>
          <w:rFonts w:ascii="Times New Roman" w:hAnsi="Times New Roman" w:cs="Times New Roman"/>
          <w:sz w:val="24"/>
          <w:szCs w:val="24"/>
        </w:rPr>
        <w:t>Darnaus judumo situacijos analizėje turi būti trumpai apžvelgta</w:t>
      </w:r>
      <w:r w:rsidR="00CE609A">
        <w:rPr>
          <w:rFonts w:ascii="Times New Roman" w:hAnsi="Times New Roman" w:cs="Times New Roman"/>
          <w:sz w:val="24"/>
          <w:szCs w:val="24"/>
        </w:rPr>
        <w:t xml:space="preserve"> </w:t>
      </w:r>
      <w:r w:rsidR="00CE609A" w:rsidRPr="00A27654">
        <w:rPr>
          <w:rFonts w:ascii="Times New Roman" w:hAnsi="Times New Roman" w:cs="Times New Roman"/>
          <w:sz w:val="24"/>
          <w:szCs w:val="24"/>
        </w:rPr>
        <w:t xml:space="preserve"> bendra</w:t>
      </w:r>
      <w:r w:rsidR="00CE609A">
        <w:rPr>
          <w:rFonts w:ascii="Times New Roman" w:hAnsi="Times New Roman" w:cs="Times New Roman"/>
          <w:sz w:val="24"/>
          <w:szCs w:val="24"/>
        </w:rPr>
        <w:t xml:space="preserve"> </w:t>
      </w:r>
      <w:r w:rsidR="00A31B20">
        <w:rPr>
          <w:rFonts w:ascii="Times New Roman" w:hAnsi="Times New Roman" w:cs="Times New Roman"/>
          <w:sz w:val="24"/>
          <w:szCs w:val="24"/>
        </w:rPr>
        <w:t xml:space="preserve">judumo </w:t>
      </w:r>
      <w:r w:rsidR="00CE609A">
        <w:rPr>
          <w:rFonts w:ascii="Times New Roman" w:hAnsi="Times New Roman" w:cs="Times New Roman"/>
          <w:sz w:val="24"/>
          <w:szCs w:val="24"/>
        </w:rPr>
        <w:t>situacija nacionaliniame ir regionine lygmenyje;</w:t>
      </w:r>
    </w:p>
    <w:p w14:paraId="231DE64D" w14:textId="4AC132FB" w:rsidR="00A27654" w:rsidRPr="00A27654" w:rsidRDefault="00CE609A" w:rsidP="00CE60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bookmarkStart w:id="4" w:name="_Hlk136421201"/>
      <w:r w:rsidR="00D60F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654" w:rsidRPr="00A27654">
        <w:rPr>
          <w:rFonts w:ascii="Times New Roman" w:hAnsi="Times New Roman" w:cs="Times New Roman"/>
          <w:sz w:val="24"/>
          <w:szCs w:val="24"/>
        </w:rPr>
        <w:t>Darnaus judumo situacijos analizėje turi būti trumpai apžvelgta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654" w:rsidRPr="00A27654">
        <w:rPr>
          <w:rFonts w:ascii="Times New Roman" w:hAnsi="Times New Roman" w:cs="Times New Roman"/>
          <w:sz w:val="24"/>
          <w:szCs w:val="24"/>
        </w:rPr>
        <w:t xml:space="preserve"> bendra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Šilutės </w:t>
      </w:r>
      <w:r w:rsidR="00A27654" w:rsidRPr="00A27654">
        <w:rPr>
          <w:rFonts w:ascii="Times New Roman" w:hAnsi="Times New Roman" w:cs="Times New Roman"/>
          <w:sz w:val="24"/>
          <w:szCs w:val="24"/>
        </w:rPr>
        <w:t>savivaldybės judumo situacija ir esama infrastruktūra:</w:t>
      </w:r>
    </w:p>
    <w:p w14:paraId="4D18DF9B" w14:textId="2F73DB6C" w:rsidR="00A27654" w:rsidRPr="00A27654" w:rsidRDefault="00A27654" w:rsidP="00A276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7654">
        <w:rPr>
          <w:rFonts w:ascii="Times New Roman" w:hAnsi="Times New Roman" w:cs="Times New Roman"/>
          <w:sz w:val="24"/>
          <w:szCs w:val="24"/>
        </w:rPr>
        <w:t>2.</w:t>
      </w:r>
      <w:r w:rsidR="00CE609A">
        <w:rPr>
          <w:rFonts w:ascii="Times New Roman" w:hAnsi="Times New Roman" w:cs="Times New Roman"/>
          <w:sz w:val="24"/>
          <w:szCs w:val="24"/>
        </w:rPr>
        <w:t>2</w:t>
      </w:r>
      <w:r w:rsidRPr="00A27654">
        <w:rPr>
          <w:rFonts w:ascii="Times New Roman" w:hAnsi="Times New Roman" w:cs="Times New Roman"/>
          <w:sz w:val="24"/>
          <w:szCs w:val="24"/>
        </w:rPr>
        <w:t>.1. gyventojų judumo galimybės atskiromis transporto rūšimis (traukiniais, viešuoju tarpmiestiniu ir priemiestiniu transportas, bevariklėmis transporto priemonėmis, alternatyviais degalais varomomis transporto priemonėmis);</w:t>
      </w:r>
    </w:p>
    <w:p w14:paraId="4E4709A9" w14:textId="6F76122A" w:rsidR="00A27654" w:rsidRPr="00A27654" w:rsidRDefault="00A27654" w:rsidP="00A276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654">
        <w:rPr>
          <w:rFonts w:ascii="Times New Roman" w:hAnsi="Times New Roman" w:cs="Times New Roman"/>
          <w:sz w:val="24"/>
          <w:szCs w:val="24"/>
        </w:rPr>
        <w:t>2.</w:t>
      </w:r>
      <w:r w:rsidR="00CE609A">
        <w:rPr>
          <w:rFonts w:ascii="Times New Roman" w:hAnsi="Times New Roman" w:cs="Times New Roman"/>
          <w:sz w:val="24"/>
          <w:szCs w:val="24"/>
        </w:rPr>
        <w:t>2</w:t>
      </w:r>
      <w:r w:rsidRPr="00A27654">
        <w:rPr>
          <w:rFonts w:ascii="Times New Roman" w:hAnsi="Times New Roman" w:cs="Times New Roman"/>
          <w:sz w:val="24"/>
          <w:szCs w:val="24"/>
        </w:rPr>
        <w:t>.2. judumo būdų keitimo galimybės ir tam pritaikyta infrastruktūra (</w:t>
      </w:r>
      <w:r w:rsidRPr="00476CFC">
        <w:rPr>
          <w:rFonts w:ascii="Times New Roman" w:hAnsi="Times New Roman" w:cs="Times New Roman"/>
          <w:i/>
          <w:iCs/>
          <w:sz w:val="24"/>
          <w:szCs w:val="24"/>
        </w:rPr>
        <w:t>park</w:t>
      </w:r>
      <w:r w:rsidRPr="00476CFC">
        <w:rPr>
          <w:rFonts w:ascii="Times New Roman" w:hAnsi="Times New Roman" w:cs="Times New Roman"/>
          <w:i/>
          <w:iCs/>
          <w:sz w:val="24"/>
          <w:szCs w:val="24"/>
          <w:lang w:val="en-US"/>
        </w:rPr>
        <w:t>&amp;ride</w:t>
      </w:r>
      <w:r w:rsidRPr="00A276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76CFC">
        <w:rPr>
          <w:rFonts w:ascii="Times New Roman" w:hAnsi="Times New Roman" w:cs="Times New Roman"/>
          <w:i/>
          <w:iCs/>
          <w:sz w:val="24"/>
          <w:szCs w:val="24"/>
          <w:lang w:val="en-US"/>
        </w:rPr>
        <w:t>bike&amp;ride</w:t>
      </w:r>
      <w:r w:rsidRPr="00A27654">
        <w:rPr>
          <w:rFonts w:ascii="Times New Roman" w:hAnsi="Times New Roman" w:cs="Times New Roman"/>
          <w:sz w:val="24"/>
          <w:szCs w:val="24"/>
          <w:lang w:val="en-US"/>
        </w:rPr>
        <w:t>, paspirtuk</w:t>
      </w:r>
      <w:r w:rsidRPr="00A27654">
        <w:rPr>
          <w:rFonts w:ascii="Times New Roman" w:hAnsi="Times New Roman" w:cs="Times New Roman"/>
          <w:sz w:val="24"/>
          <w:szCs w:val="24"/>
          <w:lang w:val="en-GB"/>
        </w:rPr>
        <w:t>ų ar dviračių dalijimosi platformos, saugyklos, stoginės);</w:t>
      </w:r>
    </w:p>
    <w:p w14:paraId="164A75C2" w14:textId="687DC16D" w:rsidR="00A27654" w:rsidRPr="00A27654" w:rsidRDefault="00A27654" w:rsidP="00A276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7654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CE609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A27654">
        <w:rPr>
          <w:rFonts w:ascii="Times New Roman" w:hAnsi="Times New Roman" w:cs="Times New Roman"/>
          <w:sz w:val="24"/>
          <w:szCs w:val="24"/>
          <w:lang w:val="en-US"/>
        </w:rPr>
        <w:t xml:space="preserve">. Turi būti įvertinta Judumo </w:t>
      </w:r>
      <w:r w:rsidRPr="00A27654">
        <w:rPr>
          <w:rFonts w:ascii="Times New Roman" w:hAnsi="Times New Roman" w:cs="Times New Roman"/>
          <w:sz w:val="24"/>
          <w:szCs w:val="24"/>
        </w:rPr>
        <w:t>centrų įrengimo galimybė, siekiant užtikrinti transporto prieinamumą ir sklandų įvairių transporto rūšių tarpusavio ryšį.</w:t>
      </w:r>
    </w:p>
    <w:p w14:paraId="41945364" w14:textId="2E57EEEB" w:rsidR="00A27654" w:rsidRPr="00A27654" w:rsidRDefault="00A27654" w:rsidP="00A276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7654">
        <w:rPr>
          <w:rFonts w:ascii="Times New Roman" w:hAnsi="Times New Roman" w:cs="Times New Roman"/>
          <w:sz w:val="24"/>
          <w:szCs w:val="24"/>
        </w:rPr>
        <w:t>2.</w:t>
      </w:r>
      <w:r w:rsidR="00CE609A">
        <w:rPr>
          <w:rFonts w:ascii="Times New Roman" w:hAnsi="Times New Roman" w:cs="Times New Roman"/>
          <w:sz w:val="24"/>
          <w:szCs w:val="24"/>
        </w:rPr>
        <w:t>3</w:t>
      </w:r>
      <w:r w:rsidRPr="00A27654">
        <w:rPr>
          <w:rFonts w:ascii="Times New Roman" w:hAnsi="Times New Roman" w:cs="Times New Roman"/>
          <w:sz w:val="24"/>
          <w:szCs w:val="24"/>
        </w:rPr>
        <w:t>.1. tvarumo ir ekologiško judumo sprendimų integravimas į judumo mazgų planavimą ir projektavimą;</w:t>
      </w:r>
    </w:p>
    <w:p w14:paraId="724FFAD7" w14:textId="795BC7A1" w:rsidR="00A27654" w:rsidRPr="00A27654" w:rsidRDefault="00A27654" w:rsidP="00A276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7654">
        <w:rPr>
          <w:rFonts w:ascii="Times New Roman" w:hAnsi="Times New Roman" w:cs="Times New Roman"/>
          <w:sz w:val="24"/>
          <w:szCs w:val="24"/>
        </w:rPr>
        <w:t>2.</w:t>
      </w:r>
      <w:r w:rsidR="00CE609A">
        <w:rPr>
          <w:rFonts w:ascii="Times New Roman" w:hAnsi="Times New Roman" w:cs="Times New Roman"/>
          <w:sz w:val="24"/>
          <w:szCs w:val="24"/>
        </w:rPr>
        <w:t>3</w:t>
      </w:r>
      <w:r w:rsidRPr="00A27654">
        <w:rPr>
          <w:rFonts w:ascii="Times New Roman" w:hAnsi="Times New Roman" w:cs="Times New Roman"/>
          <w:sz w:val="24"/>
          <w:szCs w:val="24"/>
        </w:rPr>
        <w:t>.2. viešojo ir privataus sektorių partnerystės vaidmuo kuriant ir eksploatuojant judumo centrus;</w:t>
      </w:r>
    </w:p>
    <w:p w14:paraId="0157104E" w14:textId="7C478F19" w:rsidR="00A27654" w:rsidRPr="00A27654" w:rsidRDefault="00A27654" w:rsidP="00A276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7654">
        <w:rPr>
          <w:rFonts w:ascii="Times New Roman" w:hAnsi="Times New Roman" w:cs="Times New Roman"/>
          <w:sz w:val="24"/>
          <w:szCs w:val="24"/>
        </w:rPr>
        <w:t>2.</w:t>
      </w:r>
      <w:r w:rsidR="00CE609A">
        <w:rPr>
          <w:rFonts w:ascii="Times New Roman" w:hAnsi="Times New Roman" w:cs="Times New Roman"/>
          <w:sz w:val="24"/>
          <w:szCs w:val="24"/>
        </w:rPr>
        <w:t>3</w:t>
      </w:r>
      <w:r w:rsidRPr="00A27654">
        <w:rPr>
          <w:rFonts w:ascii="Times New Roman" w:hAnsi="Times New Roman" w:cs="Times New Roman"/>
          <w:sz w:val="24"/>
          <w:szCs w:val="24"/>
        </w:rPr>
        <w:t>.3. judumo centrų kaip inovacijų ir verslumo transporto sektoriuje katalizatorių potencialas.</w:t>
      </w:r>
    </w:p>
    <w:p w14:paraId="0419401B" w14:textId="0726C23D" w:rsidR="00A27654" w:rsidRPr="00A27654" w:rsidRDefault="00A27654" w:rsidP="00A276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7654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CE609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A27654">
        <w:rPr>
          <w:rFonts w:ascii="Times New Roman" w:hAnsi="Times New Roman" w:cs="Times New Roman"/>
          <w:sz w:val="24"/>
          <w:szCs w:val="24"/>
          <w:lang w:val="en-US"/>
        </w:rPr>
        <w:t>. Analiz</w:t>
      </w:r>
      <w:r w:rsidRPr="00A27654">
        <w:rPr>
          <w:rFonts w:ascii="Times New Roman" w:hAnsi="Times New Roman" w:cs="Times New Roman"/>
          <w:sz w:val="24"/>
          <w:szCs w:val="24"/>
        </w:rPr>
        <w:t>ės pagrindu turi būti parengtas trumpas esamos situacijos ir potencialo pristatymas.</w:t>
      </w:r>
    </w:p>
    <w:p w14:paraId="57BCEF06" w14:textId="77777777" w:rsidR="00A27654" w:rsidRPr="00A27654" w:rsidRDefault="00A27654" w:rsidP="00A276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2AACC1" w14:textId="77777777" w:rsidR="00A27654" w:rsidRPr="00A27654" w:rsidRDefault="00A27654" w:rsidP="00A27654">
      <w:pPr>
        <w:shd w:val="clear" w:color="auto" w:fill="FFFFFF"/>
        <w:tabs>
          <w:tab w:val="left" w:pos="912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A27654">
        <w:rPr>
          <w:rFonts w:ascii="Times New Roman" w:hAnsi="Times New Roman" w:cs="Times New Roman"/>
          <w:b/>
          <w:bCs/>
          <w:spacing w:val="-4"/>
          <w:sz w:val="24"/>
          <w:szCs w:val="24"/>
        </w:rPr>
        <w:t>3. Paslaugų suteikimo terminas</w:t>
      </w:r>
    </w:p>
    <w:p w14:paraId="2E322E19" w14:textId="3CDC1022" w:rsidR="00A27654" w:rsidRPr="00A27654" w:rsidRDefault="00A27654" w:rsidP="00A27654">
      <w:pPr>
        <w:pStyle w:val="HTMLiankstoformatuota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7654">
        <w:rPr>
          <w:rFonts w:ascii="Times New Roman" w:hAnsi="Times New Roman" w:cs="Times New Roman"/>
          <w:sz w:val="24"/>
          <w:szCs w:val="24"/>
          <w:lang w:val="en-US"/>
        </w:rPr>
        <w:t>3.1</w:t>
      </w:r>
      <w:r w:rsidRPr="00A27654">
        <w:rPr>
          <w:rFonts w:ascii="Times New Roman" w:hAnsi="Times New Roman" w:cs="Times New Roman"/>
          <w:sz w:val="24"/>
          <w:szCs w:val="24"/>
        </w:rPr>
        <w:t>. Analizė, kartu su priedais (santrauka ir pristatymu) turi būti parengta ir pateikta Paslaugų gavėjui iki</w:t>
      </w:r>
      <w:r>
        <w:rPr>
          <w:rFonts w:ascii="Times New Roman" w:hAnsi="Times New Roman" w:cs="Times New Roman"/>
          <w:sz w:val="24"/>
          <w:szCs w:val="24"/>
        </w:rPr>
        <w:t xml:space="preserve"> 2023-06-31.</w:t>
      </w:r>
    </w:p>
    <w:p w14:paraId="561F4195" w14:textId="6FFE3CE8" w:rsidR="00A27654" w:rsidRPr="00A27654" w:rsidRDefault="00A27654" w:rsidP="00A27654">
      <w:pPr>
        <w:pStyle w:val="HTMLiankstoformatuota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2" w:firstLine="851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</w:pPr>
      <w:r w:rsidRPr="00A27654">
        <w:rPr>
          <w:rFonts w:ascii="Times New Roman" w:hAnsi="Times New Roman" w:cs="Times New Roman"/>
          <w:sz w:val="24"/>
          <w:szCs w:val="24"/>
        </w:rPr>
        <w:t xml:space="preserve">3.2. Paslaugos teikėjas įsipareigoja parengtą pristatymą </w:t>
      </w:r>
      <w:r>
        <w:rPr>
          <w:rFonts w:ascii="Times New Roman" w:hAnsi="Times New Roman" w:cs="Times New Roman"/>
          <w:sz w:val="24"/>
          <w:szCs w:val="24"/>
        </w:rPr>
        <w:t xml:space="preserve">tema </w:t>
      </w:r>
      <w:r w:rsidRPr="00476CFC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476CFC">
        <w:rPr>
          <w:rStyle w:val="markedcontent"/>
          <w:rFonts w:ascii="Times New Roman" w:hAnsi="Times New Roman" w:cs="Times New Roman"/>
          <w:i/>
          <w:iCs/>
          <w:sz w:val="24"/>
          <w:szCs w:val="24"/>
        </w:rPr>
        <w:t xml:space="preserve">The state of art of the HUB(-ng) Mobility in </w:t>
      </w:r>
      <w:commentRangeStart w:id="5"/>
      <w:r w:rsidRPr="00476CFC">
        <w:rPr>
          <w:rStyle w:val="markedcontent"/>
          <w:rFonts w:ascii="Times New Roman" w:hAnsi="Times New Roman" w:cs="Times New Roman"/>
          <w:i/>
          <w:iCs/>
          <w:sz w:val="24"/>
          <w:szCs w:val="24"/>
        </w:rPr>
        <w:t>Lithuania</w:t>
      </w:r>
      <w:commentRangeEnd w:id="5"/>
      <w:r w:rsidR="00D60F86">
        <w:rPr>
          <w:rStyle w:val="Komentaronuoroda"/>
          <w:rFonts w:asciiTheme="minorHAnsi" w:eastAsiaTheme="minorHAnsi" w:hAnsiTheme="minorHAnsi" w:cstheme="minorBidi"/>
          <w:lang w:eastAsia="en-US"/>
        </w:rPr>
        <w:commentReference w:id="5"/>
      </w:r>
      <w:r w:rsidRPr="00476CFC">
        <w:rPr>
          <w:rStyle w:val="markedcontent"/>
          <w:rFonts w:ascii="Times New Roman" w:hAnsi="Times New Roman" w:cs="Times New Roman"/>
          <w:i/>
          <w:iCs/>
          <w:sz w:val="24"/>
          <w:szCs w:val="24"/>
        </w:rPr>
        <w:t>“</w:t>
      </w:r>
      <w:r w:rsidRPr="00476CFC">
        <w:rPr>
          <w:rStyle w:val="markedcontent"/>
          <w:rFonts w:ascii="Arial" w:hAnsi="Arial" w:cs="Arial"/>
          <w:i/>
          <w:iCs/>
          <w:sz w:val="28"/>
          <w:szCs w:val="28"/>
        </w:rPr>
        <w:t xml:space="preserve"> </w:t>
      </w:r>
      <w:r w:rsidRPr="00A27654">
        <w:rPr>
          <w:rFonts w:ascii="Times New Roman" w:hAnsi="Times New Roman" w:cs="Times New Roman"/>
          <w:sz w:val="24"/>
          <w:szCs w:val="24"/>
        </w:rPr>
        <w:t xml:space="preserve">pristatyti nuotoliniu būdu vyksiančiame Projekto partnerių susitikime </w:t>
      </w:r>
      <w:r>
        <w:rPr>
          <w:rFonts w:ascii="Times New Roman" w:hAnsi="Times New Roman" w:cs="Times New Roman"/>
          <w:sz w:val="24"/>
          <w:szCs w:val="24"/>
        </w:rPr>
        <w:t>2023-06-14</w:t>
      </w:r>
    </w:p>
    <w:p w14:paraId="0823DC6E" w14:textId="77777777" w:rsidR="00A27654" w:rsidRPr="00A27654" w:rsidRDefault="00A27654" w:rsidP="00A276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98884A" w14:textId="77777777" w:rsidR="002C0E70" w:rsidRDefault="002C0E70"/>
    <w:sectPr w:rsidR="002C0E70" w:rsidSect="00C1429A">
      <w:headerReference w:type="default" r:id="rId12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Kom_RV" w:date="2023-06-01T10:34:00Z" w:initials="RK">
    <w:p w14:paraId="17886972" w14:textId="77777777" w:rsidR="00D60F86" w:rsidRDefault="00D60F86" w:rsidP="000048EA">
      <w:pPr>
        <w:pStyle w:val="Komentarotekstas"/>
      </w:pPr>
      <w:r>
        <w:rPr>
          <w:rStyle w:val="Komentaronuoroda"/>
        </w:rPr>
        <w:annotationRef/>
      </w:r>
      <w:r>
        <w:t>Reikia vertimo)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869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2F29F" w16cex:dateUtc="2023-06-01T0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86972" w16cid:durableId="2822F2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63116" w14:textId="77777777" w:rsidR="00A65E5D" w:rsidRDefault="00A65E5D">
      <w:pPr>
        <w:spacing w:after="0" w:line="240" w:lineRule="auto"/>
      </w:pPr>
      <w:r>
        <w:separator/>
      </w:r>
    </w:p>
  </w:endnote>
  <w:endnote w:type="continuationSeparator" w:id="0">
    <w:p w14:paraId="481E1B0A" w14:textId="77777777" w:rsidR="00A65E5D" w:rsidRDefault="00A6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8C009" w14:textId="77777777" w:rsidR="00A65E5D" w:rsidRDefault="00A65E5D">
      <w:pPr>
        <w:spacing w:after="0" w:line="240" w:lineRule="auto"/>
      </w:pPr>
      <w:r>
        <w:separator/>
      </w:r>
    </w:p>
  </w:footnote>
  <w:footnote w:type="continuationSeparator" w:id="0">
    <w:p w14:paraId="6856E871" w14:textId="77777777" w:rsidR="00A65E5D" w:rsidRDefault="00A65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7718" w14:textId="77777777" w:rsidR="00477D1C" w:rsidRPr="00477D1C" w:rsidRDefault="007A3F12">
    <w:pPr>
      <w:pStyle w:val="Antrats"/>
      <w:rPr>
        <w:lang w:val="lt-LT"/>
      </w:rPr>
    </w:pPr>
    <w:r>
      <w:rPr>
        <w:lang w:val="lt-LT"/>
      </w:rPr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13D1E"/>
    <w:multiLevelType w:val="multilevel"/>
    <w:tmpl w:val="E8BAE6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82F72BA"/>
    <w:multiLevelType w:val="multilevel"/>
    <w:tmpl w:val="4F84EF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2" w15:restartNumberingAfterBreak="0">
    <w:nsid w:val="7EDB597C"/>
    <w:multiLevelType w:val="multilevel"/>
    <w:tmpl w:val="771ABAE0"/>
    <w:lvl w:ilvl="0">
      <w:start w:val="5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 w16cid:durableId="232081983">
    <w:abstractNumId w:val="1"/>
  </w:num>
  <w:num w:numId="2" w16cid:durableId="454644072">
    <w:abstractNumId w:val="0"/>
  </w:num>
  <w:num w:numId="3" w16cid:durableId="110797136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m_RV">
    <w15:presenceInfo w15:providerId="None" w15:userId="Kom_R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FE"/>
    <w:rsid w:val="000173DE"/>
    <w:rsid w:val="000542D7"/>
    <w:rsid w:val="000A6CFE"/>
    <w:rsid w:val="000E4750"/>
    <w:rsid w:val="00141DB1"/>
    <w:rsid w:val="00276435"/>
    <w:rsid w:val="002B7319"/>
    <w:rsid w:val="002C0E70"/>
    <w:rsid w:val="00476CFC"/>
    <w:rsid w:val="004F07CC"/>
    <w:rsid w:val="006C743C"/>
    <w:rsid w:val="00713042"/>
    <w:rsid w:val="007A3F12"/>
    <w:rsid w:val="00955000"/>
    <w:rsid w:val="009D2964"/>
    <w:rsid w:val="00A27654"/>
    <w:rsid w:val="00A31B20"/>
    <w:rsid w:val="00A4639A"/>
    <w:rsid w:val="00A65E5D"/>
    <w:rsid w:val="00AE543E"/>
    <w:rsid w:val="00CE609A"/>
    <w:rsid w:val="00D60F86"/>
    <w:rsid w:val="00FD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1A45"/>
  <w15:chartTrackingRefBased/>
  <w15:docId w15:val="{6EB11456-6A16-43AC-9A93-69FC44A4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A6CF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en-US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A6CFE"/>
    <w:rPr>
      <w:rFonts w:ascii="Times New Roman" w:eastAsia="Times New Roman" w:hAnsi="Times New Roman" w:cs="Times New Roman"/>
      <w:color w:val="00000A"/>
      <w:kern w:val="0"/>
      <w:sz w:val="24"/>
      <w:szCs w:val="24"/>
      <w:lang w:val="en-US"/>
      <w14:ligatures w14:val="none"/>
    </w:rPr>
  </w:style>
  <w:style w:type="character" w:customStyle="1" w:styleId="HTMLiankstoformatuotasDiagrama">
    <w:name w:val="HTML iš anksto formatuotas Diagrama"/>
    <w:aliases w:val="Diagrama Diagrama"/>
    <w:basedOn w:val="Numatytasispastraiposriftas"/>
    <w:link w:val="HTMLiankstoformatuotas"/>
    <w:locked/>
    <w:rsid w:val="00A27654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HTMLiankstoformatuotas">
    <w:name w:val="HTML Preformatted"/>
    <w:aliases w:val="Diagrama"/>
    <w:basedOn w:val="prastasis"/>
    <w:link w:val="HTMLiankstoformatuotasDiagrama"/>
    <w:unhideWhenUsed/>
    <w:rsid w:val="00A2765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A27654"/>
    <w:rPr>
      <w:rFonts w:ascii="Consolas" w:hAnsi="Consolas"/>
      <w:sz w:val="20"/>
      <w:szCs w:val="20"/>
    </w:rPr>
  </w:style>
  <w:style w:type="character" w:customStyle="1" w:styleId="markedcontent">
    <w:name w:val="markedcontent"/>
    <w:basedOn w:val="Numatytasispastraiposriftas"/>
    <w:rsid w:val="00A27654"/>
  </w:style>
  <w:style w:type="paragraph" w:styleId="Pataisymai">
    <w:name w:val="Revision"/>
    <w:hidden/>
    <w:uiPriority w:val="99"/>
    <w:semiHidden/>
    <w:rsid w:val="00141DB1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42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42D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42D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42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42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3C42390-3552-4476-929D-304387795BD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6698</Words>
  <Characters>3819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Pletra_IN</dc:creator>
  <cp:keywords/>
  <dc:description/>
  <cp:lastModifiedBy>Pletra_IN</cp:lastModifiedBy>
  <cp:revision>7</cp:revision>
  <dcterms:created xsi:type="dcterms:W3CDTF">2023-05-25T08:26:00Z</dcterms:created>
  <dcterms:modified xsi:type="dcterms:W3CDTF">2023-06-01T12:57:00Z</dcterms:modified>
</cp:coreProperties>
</file>