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firstLine="720"/>
        <w:jc w:val="center"/>
        <w:rPr>
          <w:b/>
          <w:b/>
          <w:caps/>
        </w:rPr>
      </w:pPr>
      <w:r>
        <w:rPr>
          <w:b/>
          <w:caps/>
        </w:rPr>
        <w:t xml:space="preserve">SPAUSDINTUVŲ nuomos sutartis Nr. </w:t>
      </w:r>
    </w:p>
    <w:p>
      <w:pPr>
        <w:pStyle w:val="Standard"/>
        <w:jc w:val="center"/>
        <w:rPr>
          <w:b/>
          <w:b/>
          <w:caps/>
        </w:rPr>
      </w:pPr>
      <w:r>
        <w:rPr>
          <w:b/>
          <w:caps/>
        </w:rPr>
      </w:r>
    </w:p>
    <w:p>
      <w:pPr>
        <w:pStyle w:val="Standard"/>
        <w:jc w:val="center"/>
        <w:rPr>
          <w:b/>
          <w:b/>
        </w:rPr>
      </w:pPr>
      <w:r>
        <w:rPr>
          <w:b/>
        </w:rPr>
      </w:r>
    </w:p>
    <w:p>
      <w:pPr>
        <w:pStyle w:val="Standard"/>
        <w:rPr/>
      </w:pPr>
      <w:r>
        <w:rPr/>
        <w:t>Kaunas, 2025 m. gegužės _ d.</w:t>
      </w:r>
    </w:p>
    <w:p>
      <w:pPr>
        <w:pStyle w:val="Standard"/>
        <w:jc w:val="both"/>
        <w:rPr/>
      </w:pPr>
      <w:r>
        <w:rPr/>
      </w:r>
    </w:p>
    <w:p>
      <w:pPr>
        <w:pStyle w:val="Standard"/>
        <w:jc w:val="both"/>
        <w:rPr/>
      </w:pPr>
      <w:r>
        <w:rPr/>
        <w:t xml:space="preserve">Uždaroji akcinė bendrovė </w:t>
      </w:r>
      <w:r>
        <w:rPr>
          <w:b/>
        </w:rPr>
        <w:t>“NOVAKOPA”</w:t>
      </w:r>
      <w:r>
        <w:rPr/>
        <w:t xml:space="preserve">, atstovaujama vadovo </w:t>
      </w:r>
      <w:r>
        <w:rPr>
          <w:b/>
        </w:rPr>
        <w:t>Rimvydo Bruniaus</w:t>
      </w:r>
      <w:r>
        <w:rPr/>
        <w:t xml:space="preserve">, veikiančio pagal bendrovės įstatus, toliau vadinama </w:t>
      </w:r>
      <w:r>
        <w:rPr>
          <w:b/>
        </w:rPr>
        <w:t>"Nuomotoju</w:t>
      </w:r>
      <w:r>
        <w:rPr/>
        <w:t xml:space="preserve">", ir </w:t>
      </w:r>
      <w:r>
        <w:rPr>
          <w:b/>
          <w:bCs/>
        </w:rPr>
        <w:t>VšĮ Lietuvos energetikos institutas,</w:t>
      </w:r>
      <w:r>
        <w:rPr>
          <w:b/>
        </w:rPr>
        <w:t xml:space="preserve"> </w:t>
      </w:r>
      <w:r>
        <w:rPr/>
        <w:t>atstovaujamas direktoriaus</w:t>
      </w:r>
      <w:r>
        <w:rPr>
          <w:b/>
        </w:rPr>
        <w:t xml:space="preserve"> Sauliaus Gudžiaus, </w:t>
      </w:r>
      <w:r>
        <w:rPr>
          <w:bCs/>
        </w:rPr>
        <w:t>veikiančio pagal instituto įstatus,</w:t>
      </w:r>
      <w:r>
        <w:rPr>
          <w:b/>
        </w:rPr>
        <w:t xml:space="preserve"> </w:t>
      </w:r>
      <w:r>
        <w:rPr/>
        <w:t xml:space="preserve">toliau vadinamas </w:t>
      </w:r>
      <w:r>
        <w:rPr>
          <w:b/>
        </w:rPr>
        <w:t>"Nuomininku"</w:t>
      </w:r>
      <w:r>
        <w:rPr/>
        <w:t>, sudarė šią sutartį:</w:t>
      </w:r>
    </w:p>
    <w:p>
      <w:pPr>
        <w:pStyle w:val="Standard"/>
        <w:jc w:val="both"/>
        <w:rPr/>
      </w:pPr>
      <w:r>
        <w:rPr/>
      </w:r>
    </w:p>
    <w:p>
      <w:pPr>
        <w:pStyle w:val="Standard"/>
        <w:jc w:val="both"/>
        <w:rPr/>
      </w:pPr>
      <w:r>
        <w:rPr/>
      </w:r>
    </w:p>
    <w:p>
      <w:pPr>
        <w:pStyle w:val="Standard"/>
        <w:jc w:val="both"/>
        <w:rPr>
          <w:b/>
          <w:b/>
          <w:caps/>
        </w:rPr>
      </w:pPr>
      <w:r>
        <w:rPr>
          <w:b/>
          <w:caps/>
        </w:rPr>
        <w:t>1. Sutarties objektas</w:t>
      </w:r>
    </w:p>
    <w:p>
      <w:pPr>
        <w:pStyle w:val="Standard"/>
        <w:jc w:val="both"/>
        <w:rPr>
          <w:b/>
          <w:b/>
          <w:caps/>
        </w:rPr>
      </w:pPr>
      <w:r>
        <w:rPr>
          <w:b/>
          <w:caps/>
        </w:rPr>
      </w:r>
    </w:p>
    <w:p>
      <w:pPr>
        <w:pStyle w:val="Standard"/>
        <w:jc w:val="both"/>
        <w:rPr/>
      </w:pPr>
      <w:r>
        <w:rPr/>
        <w:t xml:space="preserve">1.1 Sutarties objektas yra Programinės įrangos aQrate, apimančios spausdintuvų valdymą ir apskaitą ir spausdintuvų (toliau  -  spausdinimo įranga) </w:t>
      </w:r>
      <w:r>
        <w:rPr>
          <w:b/>
        </w:rPr>
        <w:t xml:space="preserve"> </w:t>
      </w:r>
      <w:r>
        <w:rPr/>
        <w:t xml:space="preserve">techninis aptarnavimas bei nuoma. Sutarties vertė – 3000 Eur be PVM. </w:t>
      </w:r>
    </w:p>
    <w:p>
      <w:pPr>
        <w:pStyle w:val="Standard"/>
        <w:jc w:val="both"/>
        <w:rPr/>
      </w:pPr>
      <w:r>
        <w:rPr/>
      </w:r>
    </w:p>
    <w:p>
      <w:pPr>
        <w:pStyle w:val="Standard"/>
        <w:jc w:val="both"/>
        <w:rPr/>
      </w:pPr>
      <w:r>
        <w:rPr/>
      </w:r>
    </w:p>
    <w:p>
      <w:pPr>
        <w:pStyle w:val="Standard"/>
        <w:jc w:val="both"/>
        <w:rPr>
          <w:b/>
          <w:b/>
          <w:caps/>
        </w:rPr>
      </w:pPr>
      <w:r>
        <w:rPr>
          <w:b/>
          <w:caps/>
        </w:rPr>
        <w:t>2. Šalių teisės ir pareigos</w:t>
      </w:r>
    </w:p>
    <w:p>
      <w:pPr>
        <w:pStyle w:val="Standard"/>
        <w:jc w:val="both"/>
        <w:rPr>
          <w:b/>
          <w:b/>
          <w:caps/>
        </w:rPr>
      </w:pPr>
      <w:r>
        <w:rPr>
          <w:b/>
          <w:caps/>
        </w:rPr>
      </w:r>
    </w:p>
    <w:p>
      <w:pPr>
        <w:pStyle w:val="Standard"/>
        <w:jc w:val="both"/>
        <w:rPr/>
      </w:pPr>
      <w:r>
        <w:rPr/>
        <w:t xml:space="preserve">2.1 </w:t>
      </w:r>
      <w:r>
        <w:rPr>
          <w:i/>
        </w:rPr>
        <w:t>Nuomotojo įsipareigojimai:</w:t>
      </w:r>
    </w:p>
    <w:p>
      <w:pPr>
        <w:pStyle w:val="Standard"/>
        <w:jc w:val="both"/>
        <w:rPr/>
      </w:pPr>
      <w:r>
        <w:rPr/>
        <w:t>2.1.1 Išnuomoti spausdinimo įrangą. Spausdinimo įranga</w:t>
      </w:r>
      <w:r>
        <w:rPr>
          <w:b/>
        </w:rPr>
        <w:t xml:space="preserve"> </w:t>
      </w:r>
      <w:r>
        <w:rPr/>
        <w:t>yra Nuomuotojo nuosavybė.</w:t>
      </w:r>
    </w:p>
    <w:p>
      <w:pPr>
        <w:pStyle w:val="Standard"/>
        <w:jc w:val="both"/>
        <w:rPr/>
      </w:pPr>
      <w:r>
        <w:rPr/>
        <w:t>2.1.2 Pristatyti spausdinimo įrangą Nuomininko nurodytu adresu, paruošti ją eksploatavimui ir apmokyti Nuomininką ja naudotis.</w:t>
      </w:r>
    </w:p>
    <w:p>
      <w:pPr>
        <w:pStyle w:val="Standard"/>
        <w:jc w:val="both"/>
        <w:rPr/>
      </w:pPr>
      <w:r>
        <w:rPr/>
        <w:t>2.1.3 Užtikrinti kokybišką spausdinimo įrangos darbą. Aprūpinti eksploatacinėmis medžiagomis.</w:t>
      </w:r>
    </w:p>
    <w:p>
      <w:pPr>
        <w:pStyle w:val="Standard"/>
        <w:jc w:val="both"/>
        <w:rPr/>
      </w:pPr>
      <w:r>
        <w:rPr/>
        <w:t>2.1.4 Atlikti planinę spausdinimo įrangos techninę priežiūrą, vadovaujantis Triumph-adler techninės dokumentacijos reikalavimais.</w:t>
      </w:r>
    </w:p>
    <w:p>
      <w:pPr>
        <w:pStyle w:val="Standard"/>
        <w:jc w:val="both"/>
        <w:rPr/>
      </w:pPr>
      <w:r>
        <w:rPr/>
        <w:t>2.1.5 Nuomotojas  įsipareigoja laikytis sekenčių SLA įsipareigojimų:</w:t>
      </w:r>
    </w:p>
    <w:p>
      <w:pPr>
        <w:pStyle w:val="Standard"/>
        <w:jc w:val="both"/>
        <w:rPr/>
      </w:pPr>
      <w:r>
        <w:rPr/>
      </w:r>
    </w:p>
    <w:tbl>
      <w:tblPr>
        <w:tblW w:w="9900" w:type="dxa"/>
        <w:jc w:val="left"/>
        <w:tblInd w:w="-133" w:type="dxa"/>
        <w:tblLayout w:type="fixed"/>
        <w:tblCellMar>
          <w:top w:w="0" w:type="dxa"/>
          <w:left w:w="108" w:type="dxa"/>
          <w:bottom w:w="0" w:type="dxa"/>
          <w:right w:w="108" w:type="dxa"/>
        </w:tblCellMar>
      </w:tblPr>
      <w:tblGrid>
        <w:gridCol w:w="9900"/>
      </w:tblGrid>
      <w:tr>
        <w:trPr>
          <w:trHeight w:val="88" w:hRule="atLeast"/>
        </w:trPr>
        <w:tc>
          <w:tcPr>
            <w:tcW w:w="9900" w:type="dxa"/>
            <w:tcBorders>
              <w:top w:val="single" w:sz="8" w:space="0" w:color="00000A"/>
              <w:left w:val="single" w:sz="8" w:space="0" w:color="00000A"/>
              <w:bottom w:val="single" w:sz="8" w:space="0" w:color="00000A"/>
              <w:right w:val="single" w:sz="8" w:space="0" w:color="00000A"/>
            </w:tcBorders>
          </w:tcPr>
          <w:p>
            <w:pPr>
              <w:pStyle w:val="Standard"/>
              <w:jc w:val="both"/>
              <w:rPr/>
            </w:pPr>
            <w:r>
              <w:rPr>
                <w:sz w:val="22"/>
                <w:szCs w:val="22"/>
                <w:lang w:eastAsia="en-US"/>
              </w:rPr>
              <w:t xml:space="preserve">Spausdinimo galimybė turi būti pasiekiama bet kuriuo paros metu (24/7). Gedimo registravimas nuo 7 val. iki 19 val. darbo dienomis. </w:t>
            </w:r>
          </w:p>
        </w:tc>
      </w:tr>
      <w:tr>
        <w:trPr>
          <w:trHeight w:val="495" w:hRule="atLeast"/>
        </w:trPr>
        <w:tc>
          <w:tcPr>
            <w:tcW w:w="9900" w:type="dxa"/>
            <w:tcBorders>
              <w:left w:val="single" w:sz="8" w:space="0" w:color="00000A"/>
              <w:bottom w:val="single" w:sz="8" w:space="0" w:color="00000A"/>
              <w:right w:val="single" w:sz="8" w:space="0" w:color="00000A"/>
            </w:tcBorders>
          </w:tcPr>
          <w:p>
            <w:pPr>
              <w:pStyle w:val="Standard"/>
              <w:jc w:val="both"/>
              <w:rPr>
                <w:sz w:val="22"/>
                <w:szCs w:val="22"/>
                <w:lang w:eastAsia="en-US"/>
              </w:rPr>
            </w:pPr>
            <w:r>
              <w:rPr>
                <w:sz w:val="22"/>
                <w:szCs w:val="22"/>
                <w:lang w:eastAsia="en-US"/>
              </w:rPr>
              <w:t>Sutrikusi daugiafunkcinio spausdintuvo veikla atkuriama ne ilgiau kaip per 12 darbo valandų.</w:t>
            </w:r>
          </w:p>
        </w:tc>
      </w:tr>
      <w:tr>
        <w:trPr>
          <w:trHeight w:val="699" w:hRule="atLeast"/>
        </w:trPr>
        <w:tc>
          <w:tcPr>
            <w:tcW w:w="9900" w:type="dxa"/>
            <w:tcBorders>
              <w:left w:val="single" w:sz="8" w:space="0" w:color="00000A"/>
              <w:bottom w:val="single" w:sz="8" w:space="0" w:color="00000A"/>
              <w:right w:val="single" w:sz="8" w:space="0" w:color="00000A"/>
            </w:tcBorders>
          </w:tcPr>
          <w:p>
            <w:pPr>
              <w:pStyle w:val="Standard"/>
              <w:jc w:val="both"/>
              <w:rPr/>
            </w:pPr>
            <w:r>
              <w:rPr>
                <w:color w:val="000000"/>
                <w:sz w:val="22"/>
                <w:szCs w:val="22"/>
                <w:lang w:eastAsia="en-US"/>
              </w:rPr>
              <w:t>Reakcijos laikas nuo pranešimo išsiuntimo - ne ilgiau kaip 2</w:t>
            </w:r>
            <w:r>
              <w:rPr>
                <w:color w:val="FF0000"/>
                <w:sz w:val="22"/>
                <w:szCs w:val="22"/>
                <w:lang w:eastAsia="en-US"/>
              </w:rPr>
              <w:t xml:space="preserve"> </w:t>
            </w:r>
            <w:r>
              <w:rPr>
                <w:color w:val="000000"/>
                <w:sz w:val="22"/>
                <w:szCs w:val="22"/>
                <w:lang w:eastAsia="en-US"/>
              </w:rPr>
              <w:t>darbo valandos. Reakcijos laikas pradedamas skaičiuoti nuo automatinio pranešimo išsiuntimo laiko arba Nuomininko pranešimo (nuo pirmojo pranešimo, nepriklausomai nuo pranešimo rūšies).</w:t>
            </w:r>
          </w:p>
        </w:tc>
      </w:tr>
      <w:tr>
        <w:trPr>
          <w:trHeight w:val="699" w:hRule="atLeast"/>
        </w:trPr>
        <w:tc>
          <w:tcPr>
            <w:tcW w:w="9900" w:type="dxa"/>
            <w:tcBorders>
              <w:left w:val="single" w:sz="8" w:space="0" w:color="00000A"/>
              <w:bottom w:val="single" w:sz="8" w:space="0" w:color="00000A"/>
              <w:right w:val="single" w:sz="8" w:space="0" w:color="00000A"/>
            </w:tcBorders>
          </w:tcPr>
          <w:p>
            <w:pPr>
              <w:pStyle w:val="Standard"/>
              <w:jc w:val="both"/>
              <w:rPr>
                <w:lang w:val="en-GB"/>
              </w:rPr>
            </w:pPr>
            <w:r>
              <w:rPr>
                <w:color w:val="000000"/>
                <w:sz w:val="22"/>
                <w:szCs w:val="22"/>
                <w:lang w:eastAsia="en-US"/>
              </w:rPr>
              <w:t>Eksploatacinės medžiagos tiekiamos ne ilgiau nei per 12 darbo valandų nuo automatinio pranešimo išsiuntimo laiko. Eksploatacinių medžiagų tiekimas atliekamas Nuomininko darbo metu.</w:t>
            </w:r>
          </w:p>
        </w:tc>
      </w:tr>
      <w:tr>
        <w:trPr>
          <w:trHeight w:val="699" w:hRule="atLeast"/>
        </w:trPr>
        <w:tc>
          <w:tcPr>
            <w:tcW w:w="9900" w:type="dxa"/>
            <w:tcBorders>
              <w:left w:val="single" w:sz="8" w:space="0" w:color="00000A"/>
              <w:bottom w:val="single" w:sz="8" w:space="0" w:color="00000A"/>
              <w:right w:val="single" w:sz="8" w:space="0" w:color="00000A"/>
            </w:tcBorders>
          </w:tcPr>
          <w:p>
            <w:pPr>
              <w:pStyle w:val="Standard"/>
              <w:jc w:val="both"/>
              <w:rPr>
                <w:lang w:val="en-US" w:eastAsia="en-US"/>
              </w:rPr>
            </w:pPr>
            <w:r>
              <w:rPr>
                <w:sz w:val="22"/>
                <w:szCs w:val="22"/>
                <w:lang w:eastAsia="en-US"/>
              </w:rPr>
              <w:t>Nuomotojas Paslaugoms valdyti ir kokybei užtikrinti paskiria atsakingą asmenį, taip pat paskiria jį pavaduojantį asmenį, kurie bus atsakingi už bendravimą su Nuomininko atstovais, paslaugų koordinavimą, paslaugų teikimo proceso priežiūrą ir pakeitimus, optimizavimo ir plėtros projektų inicijavimą, ataskaitų teikimą:</w:t>
            </w:r>
          </w:p>
          <w:p>
            <w:pPr>
              <w:pStyle w:val="Standard"/>
              <w:jc w:val="both"/>
              <w:rPr>
                <w:b/>
                <w:b/>
                <w:sz w:val="22"/>
                <w:szCs w:val="22"/>
                <w:lang w:val="pt-BR" w:eastAsia="en-US"/>
              </w:rPr>
            </w:pPr>
            <w:r>
              <w:rPr>
                <w:b/>
                <w:sz w:val="22"/>
                <w:szCs w:val="22"/>
                <w:lang w:eastAsia="en-US"/>
              </w:rPr>
              <w:t xml:space="preserve">Serviso vadovas Rimvydas Brunius </w:t>
            </w:r>
            <w:hyperlink r:id="rId2">
              <w:r>
                <w:rPr>
                  <w:rStyle w:val="InternetLink"/>
                  <w:b/>
                  <w:sz w:val="22"/>
                  <w:szCs w:val="22"/>
                  <w:lang w:eastAsia="en-US"/>
                </w:rPr>
                <w:t>rimvydas</w:t>
              </w:r>
              <w:r>
                <w:rPr>
                  <w:rStyle w:val="InternetLink"/>
                  <w:b/>
                  <w:sz w:val="22"/>
                  <w:szCs w:val="22"/>
                  <w:lang w:val="pt-BR" w:eastAsia="en-US"/>
                </w:rPr>
                <w:t>@novakopa.lt</w:t>
              </w:r>
            </w:hyperlink>
            <w:r>
              <w:rPr>
                <w:b/>
                <w:sz w:val="22"/>
                <w:szCs w:val="22"/>
                <w:lang w:val="pt-BR" w:eastAsia="en-US"/>
              </w:rPr>
              <w:t xml:space="preserve"> +370 655 60169;</w:t>
            </w:r>
          </w:p>
          <w:p>
            <w:pPr>
              <w:pStyle w:val="Standard"/>
              <w:jc w:val="both"/>
              <w:rPr>
                <w:b/>
                <w:b/>
                <w:sz w:val="22"/>
                <w:szCs w:val="22"/>
                <w:lang w:val="pt-BR" w:eastAsia="en-US"/>
              </w:rPr>
            </w:pPr>
            <w:r>
              <w:rPr>
                <w:b/>
                <w:sz w:val="22"/>
                <w:szCs w:val="22"/>
                <w:lang w:val="pt-BR" w:eastAsia="en-US"/>
              </w:rPr>
              <w:t xml:space="preserve">IT projektų vadovas Mantas Vaitonis </w:t>
            </w:r>
            <w:hyperlink r:id="rId3">
              <w:r>
                <w:rPr>
                  <w:rStyle w:val="InternetLink"/>
                  <w:b/>
                  <w:sz w:val="22"/>
                  <w:szCs w:val="22"/>
                  <w:lang w:val="pt-BR" w:eastAsia="en-US"/>
                </w:rPr>
                <w:t>itprojektai@novakopa.lt</w:t>
              </w:r>
            </w:hyperlink>
            <w:r>
              <w:rPr>
                <w:b/>
                <w:sz w:val="22"/>
                <w:szCs w:val="22"/>
                <w:lang w:val="pt-BR" w:eastAsia="en-US"/>
              </w:rPr>
              <w:t xml:space="preserve"> +370 609 96114.</w:t>
            </w:r>
          </w:p>
          <w:p>
            <w:pPr>
              <w:pStyle w:val="Standard"/>
              <w:jc w:val="both"/>
              <w:rPr>
                <w:bCs/>
                <w:sz w:val="22"/>
                <w:szCs w:val="22"/>
                <w:lang w:val="pt-BR" w:eastAsia="en-US"/>
              </w:rPr>
            </w:pPr>
            <w:r>
              <w:rPr>
                <w:bCs/>
                <w:sz w:val="22"/>
                <w:szCs w:val="22"/>
                <w:lang w:val="pt-BR" w:eastAsia="en-US"/>
              </w:rPr>
              <w:t xml:space="preserve">Iš Nuomininko pusės už sutarties vykdymą atsakingas asmuo – direktoriaus pavaduotojas </w:t>
            </w:r>
            <w:r>
              <w:rPr>
                <w:bCs/>
                <w:sz w:val="22"/>
                <w:szCs w:val="22"/>
                <w:lang w:eastAsia="en-US"/>
              </w:rPr>
              <w:t xml:space="preserve">Robertas Poškas </w:t>
            </w:r>
            <w:hyperlink r:id="rId4">
              <w:r>
                <w:rPr>
                  <w:rStyle w:val="InternetLink"/>
                  <w:bCs/>
                  <w:sz w:val="22"/>
                  <w:szCs w:val="22"/>
                  <w:lang w:eastAsia="en-US"/>
                </w:rPr>
                <w:t>robertas.poskas</w:t>
              </w:r>
              <w:r>
                <w:rPr>
                  <w:rStyle w:val="InternetLink"/>
                  <w:bCs/>
                  <w:sz w:val="22"/>
                  <w:szCs w:val="22"/>
                  <w:lang w:val="pt-BR" w:eastAsia="en-US"/>
                </w:rPr>
                <w:t>@lei.lt</w:t>
              </w:r>
            </w:hyperlink>
            <w:r>
              <w:rPr>
                <w:bCs/>
                <w:sz w:val="22"/>
                <w:szCs w:val="22"/>
                <w:lang w:val="pt-BR" w:eastAsia="en-US"/>
              </w:rPr>
              <w:t xml:space="preserve">, tel. </w:t>
            </w:r>
            <w:r>
              <w:rPr>
                <w:bCs/>
                <w:sz w:val="22"/>
                <w:szCs w:val="22"/>
                <w:lang w:val="en-US" w:eastAsia="en-US"/>
              </w:rPr>
              <w:t xml:space="preserve">+370 37 40 18 93. </w:t>
            </w:r>
          </w:p>
          <w:p>
            <w:pPr>
              <w:pStyle w:val="Standard"/>
              <w:jc w:val="both"/>
              <w:rPr>
                <w:bCs/>
                <w:sz w:val="22"/>
                <w:szCs w:val="22"/>
                <w:lang w:val="pt-BR" w:eastAsia="en-US"/>
              </w:rPr>
            </w:pPr>
            <w:r>
              <w:rPr>
                <w:bCs/>
                <w:sz w:val="22"/>
                <w:szCs w:val="22"/>
                <w:lang w:val="pt-BR" w:eastAsia="en-US"/>
              </w:rPr>
            </w:r>
          </w:p>
        </w:tc>
      </w:tr>
      <w:tr>
        <w:trPr>
          <w:trHeight w:val="2037" w:hRule="atLeast"/>
        </w:trPr>
        <w:tc>
          <w:tcPr>
            <w:tcW w:w="9900" w:type="dxa"/>
            <w:tcBorders>
              <w:left w:val="single" w:sz="8" w:space="0" w:color="00000A"/>
              <w:bottom w:val="single" w:sz="8" w:space="0" w:color="00000A"/>
              <w:right w:val="single" w:sz="8" w:space="0" w:color="00000A"/>
            </w:tcBorders>
          </w:tcPr>
          <w:p>
            <w:pPr>
              <w:pStyle w:val="Standard"/>
              <w:jc w:val="both"/>
              <w:rPr>
                <w:rFonts w:ascii="Liberation Serif;Times New Roman" w:hAnsi="Liberation Serif;Times New Roman" w:eastAsia="Calibri" w:cs="Times New Roman"/>
                <w:lang w:val="pt-BR"/>
              </w:rPr>
            </w:pPr>
            <w:r>
              <w:rPr>
                <w:sz w:val="22"/>
                <w:szCs w:val="22"/>
                <w:lang w:eastAsia="en-US"/>
              </w:rPr>
              <w:t>Nuomotojas turi pagalbos tarnybos sistemą</w:t>
            </w:r>
            <w:r>
              <w:rPr>
                <w:b/>
                <w:bCs/>
                <w:sz w:val="22"/>
                <w:szCs w:val="22"/>
                <w:lang w:eastAsia="en-US"/>
              </w:rPr>
              <w:t xml:space="preserve"> (</w:t>
            </w:r>
            <w:r>
              <w:rPr>
                <w:b/>
                <w:bCs/>
                <w:i/>
                <w:iCs/>
                <w:sz w:val="22"/>
                <w:szCs w:val="22"/>
                <w:lang w:eastAsia="en-US"/>
              </w:rPr>
              <w:t>Service Desk</w:t>
            </w:r>
            <w:r>
              <w:rPr>
                <w:b/>
                <w:bCs/>
                <w:sz w:val="22"/>
                <w:szCs w:val="22"/>
                <w:lang w:eastAsia="en-US"/>
              </w:rPr>
              <w:t xml:space="preserve">), </w:t>
            </w:r>
            <w:r>
              <w:rPr>
                <w:sz w:val="22"/>
                <w:szCs w:val="22"/>
                <w:lang w:eastAsia="en-US"/>
              </w:rPr>
              <w:t xml:space="preserve">prieinamą Nuomininkui internetu (web), kuri turi vartotojo portalą, kuriame matoma informacija apie visų registruotų užklausų, susijusių su teikiamomis Paslaugomis, eigą ir būseną tikruoju laiku (on-line). </w:t>
            </w:r>
          </w:p>
          <w:p>
            <w:pPr>
              <w:pStyle w:val="Standard"/>
              <w:jc w:val="both"/>
              <w:rPr/>
            </w:pPr>
            <w:r>
              <w:rPr>
                <w:sz w:val="22"/>
                <w:szCs w:val="22"/>
                <w:lang w:eastAsia="en-US"/>
              </w:rPr>
              <w:t xml:space="preserve">Nuomininkas turi galimybę apie </w:t>
            </w:r>
            <w:r>
              <w:rPr/>
              <w:t>spausdinimo įrangos</w:t>
            </w:r>
            <w:r>
              <w:rPr>
                <w:sz w:val="22"/>
                <w:szCs w:val="22"/>
                <w:lang w:eastAsia="en-US"/>
              </w:rPr>
              <w:t xml:space="preserve"> ir Sistemos sutrikimus pranešti Nuomotojui centralizuotos pagalbos tarnybos užklausų registravimo sistemos vartotojo portale (web), Nuomotojo nurodytu telefono numeriu arba elektroniniu paštu.</w:t>
            </w:r>
          </w:p>
          <w:p>
            <w:pPr>
              <w:pStyle w:val="Standard"/>
              <w:jc w:val="both"/>
              <w:rPr/>
            </w:pPr>
            <w:r>
              <w:rPr>
                <w:b/>
                <w:sz w:val="22"/>
                <w:szCs w:val="22"/>
                <w:lang w:eastAsia="en-US"/>
              </w:rPr>
              <w:t xml:space="preserve">HELP desk užklausų registracija:  </w:t>
            </w:r>
            <w:hyperlink r:id="rId5">
              <w:r>
                <w:rPr>
                  <w:rStyle w:val="InternetLink"/>
                  <w:b/>
                  <w:sz w:val="22"/>
                  <w:szCs w:val="22"/>
                  <w:lang w:eastAsia="en-US"/>
                </w:rPr>
                <w:t>pagalba@novakopa.lt</w:t>
              </w:r>
            </w:hyperlink>
            <w:r>
              <w:rPr>
                <w:b/>
                <w:sz w:val="22"/>
                <w:szCs w:val="22"/>
                <w:lang w:eastAsia="en-US"/>
              </w:rPr>
              <w:t xml:space="preserve"> arba pagalba.novakopa.lt </w:t>
            </w:r>
          </w:p>
          <w:p>
            <w:pPr>
              <w:pStyle w:val="Standard"/>
              <w:jc w:val="both"/>
              <w:rPr>
                <w:sz w:val="22"/>
                <w:szCs w:val="22"/>
                <w:lang w:val="en-US" w:eastAsia="en-US"/>
              </w:rPr>
            </w:pPr>
            <w:r>
              <w:rPr>
                <w:b/>
                <w:sz w:val="22"/>
                <w:szCs w:val="22"/>
                <w:lang w:val="en-US" w:eastAsia="en-US"/>
              </w:rPr>
              <w:t xml:space="preserve">Tel.: +370 37 200896 </w:t>
            </w:r>
          </w:p>
        </w:tc>
      </w:tr>
      <w:tr>
        <w:trPr>
          <w:trHeight w:val="699" w:hRule="atLeast"/>
        </w:trPr>
        <w:tc>
          <w:tcPr>
            <w:tcW w:w="9900" w:type="dxa"/>
            <w:tcBorders>
              <w:left w:val="single" w:sz="8" w:space="0" w:color="00000A"/>
              <w:bottom w:val="single" w:sz="8" w:space="0" w:color="00000A"/>
              <w:right w:val="single" w:sz="8" w:space="0" w:color="00000A"/>
            </w:tcBorders>
          </w:tcPr>
          <w:p>
            <w:pPr>
              <w:pStyle w:val="Standard"/>
              <w:jc w:val="both"/>
              <w:rPr>
                <w:lang w:val="en-GB"/>
              </w:rPr>
            </w:pPr>
            <w:r>
              <w:rPr>
                <w:sz w:val="22"/>
                <w:szCs w:val="22"/>
                <w:lang w:eastAsia="en-US"/>
              </w:rPr>
              <w:t xml:space="preserve">Nuomotojas visą pirkimo sutarties galiojimo laikotarpį teikia garantinę Sistemos priežiūrą (Sistemos programinės ir techninės įrangos ir jų priedų sutrikimų, klaidų šalinimas, jeigu reikia, daugiafunkcinių spausdintuvų programinės įrangos atnaujinimų diegimas (angl. </w:t>
            </w:r>
            <w:r>
              <w:rPr>
                <w:i/>
                <w:iCs/>
                <w:sz w:val="22"/>
                <w:szCs w:val="22"/>
                <w:lang w:eastAsia="en-US"/>
              </w:rPr>
              <w:t>firmware</w:t>
            </w:r>
            <w:r>
              <w:rPr>
                <w:sz w:val="22"/>
                <w:szCs w:val="22"/>
                <w:lang w:eastAsia="en-US"/>
              </w:rPr>
              <w:t>), rekomendacijos ir konsultacijos Sistemos plėtros, optimizavimo bei funkcionalumo didinimo klausimais).</w:t>
            </w:r>
          </w:p>
        </w:tc>
      </w:tr>
      <w:tr>
        <w:trPr>
          <w:trHeight w:val="699" w:hRule="atLeast"/>
        </w:trPr>
        <w:tc>
          <w:tcPr>
            <w:tcW w:w="9900" w:type="dxa"/>
            <w:tcBorders>
              <w:left w:val="single" w:sz="8" w:space="0" w:color="00000A"/>
              <w:bottom w:val="single" w:sz="8" w:space="0" w:color="00000A"/>
              <w:right w:val="single" w:sz="8" w:space="0" w:color="00000A"/>
            </w:tcBorders>
          </w:tcPr>
          <w:p>
            <w:pPr>
              <w:pStyle w:val="Standard"/>
              <w:jc w:val="both"/>
              <w:rPr/>
            </w:pPr>
            <w:r>
              <w:rPr>
                <w:sz w:val="22"/>
                <w:szCs w:val="22"/>
                <w:lang w:eastAsia="en-US"/>
              </w:rPr>
              <w:t>Nuomotojas įsipareigoja suteikti lygiavertę pakaitinę įrangą darbingumui atkurti, kai nėra įmanoma gedimo ar sutrikimo pašalinti per numatytą 12 darbo valandų laiką.</w:t>
            </w:r>
          </w:p>
        </w:tc>
      </w:tr>
      <w:tr>
        <w:trPr>
          <w:trHeight w:val="358" w:hRule="atLeast"/>
        </w:trPr>
        <w:tc>
          <w:tcPr>
            <w:tcW w:w="9900" w:type="dxa"/>
            <w:tcBorders>
              <w:left w:val="single" w:sz="8" w:space="0" w:color="00000A"/>
              <w:bottom w:val="single" w:sz="8" w:space="0" w:color="00000A"/>
              <w:right w:val="single" w:sz="8" w:space="0" w:color="00000A"/>
            </w:tcBorders>
          </w:tcPr>
          <w:p>
            <w:pPr>
              <w:pStyle w:val="Standard"/>
              <w:jc w:val="both"/>
              <w:rPr>
                <w:sz w:val="22"/>
                <w:szCs w:val="22"/>
                <w:lang w:eastAsia="en-US"/>
              </w:rPr>
            </w:pPr>
            <w:r>
              <w:rPr>
                <w:sz w:val="22"/>
                <w:szCs w:val="22"/>
                <w:lang w:eastAsia="en-US"/>
              </w:rPr>
              <w:t xml:space="preserve">Nuomotojo atsakingi asmenys, gavę pranešimą apie stebimos sistemos sutrikimus, atvyksta į Nuomininko patalpas pašalinti sutrikimo.  </w:t>
            </w:r>
          </w:p>
        </w:tc>
      </w:tr>
      <w:tr>
        <w:trPr>
          <w:trHeight w:val="699" w:hRule="atLeast"/>
        </w:trPr>
        <w:tc>
          <w:tcPr>
            <w:tcW w:w="9900" w:type="dxa"/>
            <w:tcBorders>
              <w:left w:val="single" w:sz="8" w:space="0" w:color="00000A"/>
              <w:bottom w:val="single" w:sz="8" w:space="0" w:color="00000A"/>
              <w:right w:val="single" w:sz="8" w:space="0" w:color="00000A"/>
            </w:tcBorders>
          </w:tcPr>
          <w:p>
            <w:pPr>
              <w:pStyle w:val="Standard"/>
              <w:jc w:val="both"/>
              <w:rPr/>
            </w:pPr>
            <w:r>
              <w:rPr>
                <w:sz w:val="22"/>
                <w:szCs w:val="22"/>
                <w:lang w:eastAsia="en-US"/>
              </w:rPr>
              <w:t>Nuomininkas turi teisę keisti daugiafunkcinių spausdintuvų išdėstymą ir perkelti juos į kitus padalinius ar vietas. Daugiafunkcinių spausdintuvų (spausdintuvų) perkėlimas nemokamas.</w:t>
            </w:r>
          </w:p>
        </w:tc>
      </w:tr>
    </w:tbl>
    <w:p>
      <w:pPr>
        <w:pStyle w:val="Standard"/>
        <w:jc w:val="both"/>
        <w:rPr/>
      </w:pPr>
      <w:r>
        <w:rPr/>
      </w:r>
    </w:p>
    <w:p>
      <w:pPr>
        <w:pStyle w:val="Standard"/>
        <w:jc w:val="both"/>
        <w:rPr/>
      </w:pPr>
      <w:r>
        <w:rPr/>
        <w:t>2.1.6 Laiku keisti visas susidėvėjusias ar sugedusias detales. Visos, naudojamos remontui bei techninei priežiūrai detalės, yra Nuomuotojo nuosavybė. Visa tai atliekama už mėnesinę nuomos ir kopijos kainas, išskyrus:</w:t>
      </w:r>
    </w:p>
    <w:p>
      <w:pPr>
        <w:pStyle w:val="Standard"/>
        <w:ind w:left="720" w:hanging="0"/>
        <w:jc w:val="both"/>
        <w:rPr/>
      </w:pPr>
      <w:r>
        <w:rPr/>
        <w:t>2.1.6.1 remontą, kurio priežastis buvo: eksploatacinių medžiagų, įsigytų ne iš Nuomotojo, naudojimas, nekokybiško popieriaus naudojimas ar operatoriaus klaidos, nelaimingas atsitikimas arba bet kuri kita priežastis, kada spausdinimo įranga buvo naudojama ne pagal nustatytus techninius reikalavimus.  Tokiu atveju už visų gedimų pašalinimą Nuomininkas apmoka Nuomotojui atskirai;</w:t>
      </w:r>
    </w:p>
    <w:p>
      <w:pPr>
        <w:pStyle w:val="Standard"/>
        <w:ind w:left="720" w:hanging="0"/>
        <w:jc w:val="both"/>
        <w:rPr/>
      </w:pPr>
      <w:r>
        <w:rPr/>
        <w:t>2.1.6.2. bet koks spausdinimo įrangos remontas, priežiūra, derinimas, Nuomininkui iškvietus ne oficialiomis darbo  valandomis, apmokamas remiantis atskiru susitarimu;</w:t>
      </w:r>
    </w:p>
    <w:p>
      <w:pPr>
        <w:pStyle w:val="Standard"/>
        <w:ind w:left="720" w:hanging="0"/>
        <w:jc w:val="both"/>
        <w:rPr/>
      </w:pPr>
      <w:r>
        <w:rPr/>
        <w:t>2.1.6.3 tuo atveju, jeigu spausdinimo įrangos remontas, priežiūra, derinimas buvo atliktas ne įgaliotų Nuomotojo atstovų, Nuomotojas pasilieka teisę neremontuoti ir neprižiūrėti  spausdinimo įrangos, o sutarties galiojimas sustabdomas iki tol, kol spausdinimo įranga bus atstatyta Nuomininko lėšomis. Tuo pat metu Nuomininkas moka visus privalomus mokėjimus pagal šią sutartį.</w:t>
      </w:r>
    </w:p>
    <w:p>
      <w:pPr>
        <w:pStyle w:val="Textbody1"/>
        <w:rPr/>
      </w:pPr>
      <w:r>
        <w:rPr/>
        <w:t>2.1.7. Nuomininkas, be papildomų išlygų per mėnesį laiko nuo sutarties pasirašymo dienos, gali nutraukti sutartį, jei Nuomotojas nevykdo įsipareigojimų.</w:t>
      </w:r>
    </w:p>
    <w:p>
      <w:pPr>
        <w:pStyle w:val="Standard"/>
        <w:jc w:val="both"/>
        <w:rPr>
          <w:i/>
          <w:i/>
        </w:rPr>
      </w:pPr>
      <w:r>
        <w:rPr>
          <w:i/>
        </w:rPr>
      </w:r>
    </w:p>
    <w:p>
      <w:pPr>
        <w:pStyle w:val="Standard"/>
        <w:jc w:val="both"/>
        <w:rPr>
          <w:i/>
          <w:i/>
        </w:rPr>
      </w:pPr>
      <w:r>
        <w:rPr>
          <w:i/>
        </w:rPr>
        <w:t>2.2 Nuomininko įsipareigojimai:</w:t>
      </w:r>
    </w:p>
    <w:p>
      <w:pPr>
        <w:pStyle w:val="Standard"/>
        <w:jc w:val="both"/>
        <w:rPr/>
      </w:pPr>
      <w:r>
        <w:rPr/>
        <w:t>2.2.1. Priimti spausdinimo įrangą ir pasirašyti priėmimo - perdavimo aktą.</w:t>
      </w:r>
    </w:p>
    <w:p>
      <w:pPr>
        <w:pStyle w:val="Standard"/>
        <w:jc w:val="both"/>
        <w:rPr/>
      </w:pPr>
      <w:r>
        <w:rPr/>
        <w:t>2.2.2. Atlikus techninį aptarnavimą ar remontą, pasirašyti  techninės priežiūros protokolą. Serviso inžinieriaus pagamintos testinės kopijos neskaičiuojamos ir už jas Nuomininkas nemoka.</w:t>
      </w:r>
    </w:p>
    <w:p>
      <w:pPr>
        <w:pStyle w:val="Standard"/>
        <w:jc w:val="both"/>
        <w:rPr/>
      </w:pPr>
      <w:r>
        <w:rPr/>
        <w:t>2.2.3. Įrengti spausdinimo įrangos pajungimo vietą bei įvesti interneto prieigą,  elektros maitinimą ir įžeminimą.</w:t>
      </w:r>
    </w:p>
    <w:p>
      <w:pPr>
        <w:pStyle w:val="Standard"/>
        <w:jc w:val="both"/>
        <w:rPr/>
      </w:pPr>
      <w:r>
        <w:rPr/>
        <w:t>2.2.4. Paskirti du savo asmenis, atsakingus už spausdinimo įrangos eksploatavimą. Nuomotojas nemokamai juos apmoko pirmo vizito po sutarties pasirašymo metu. Jei atsakingi asmenys pasikeičia arba reikia apmokyti naujus darbuotojus, Nuomotojas apmoko juos savo sąskaita.</w:t>
      </w:r>
    </w:p>
    <w:p>
      <w:pPr>
        <w:pStyle w:val="Standard"/>
        <w:jc w:val="both"/>
        <w:rPr/>
      </w:pPr>
      <w:r>
        <w:rPr/>
        <w:t>2.2.6. Naudoti tik kopijavimo aparato techninėse sąlygose rekomenduojama popieriaus svorį – kasetėje/duplekse/ 60-163g/m2,  iš rankinio padavimo – 60-220g/m2.</w:t>
      </w:r>
    </w:p>
    <w:p>
      <w:pPr>
        <w:pStyle w:val="Standard"/>
        <w:jc w:val="both"/>
        <w:rPr/>
      </w:pPr>
      <w:r>
        <w:rPr/>
        <w:t>2.2.7. Netrukdyti atlikti techninę priežiūrą bei fiksuoti kopijavimo aparatų skaitiklio parodymus.</w:t>
      </w:r>
    </w:p>
    <w:p>
      <w:pPr>
        <w:pStyle w:val="Standard"/>
        <w:jc w:val="both"/>
        <w:rPr/>
      </w:pPr>
      <w:r>
        <w:rPr/>
        <w:t>2.2.8. Naudoti eksploatacines medžiagas (išskyrus tas, už kurias mokama atskirai) tik šioje sutartyje numatytiems aparatams. Jei pas Nuomininką yra daugiau kopijavimo aparatų, kuriems gali būti naudojamos tos pačios eksploatacinės medžiagos, už jas apmokama atskirai.</w:t>
      </w:r>
    </w:p>
    <w:p>
      <w:pPr>
        <w:pStyle w:val="Standard"/>
        <w:jc w:val="both"/>
        <w:rPr/>
      </w:pPr>
      <w:r>
        <w:rPr/>
        <w:t>2.2.9. Nedaryti išsinuomotoje įrangoje jokių pakeitimų ir neleisti (neperduoti) naudotis ja tretiesiems asmenims.</w:t>
      </w:r>
    </w:p>
    <w:p>
      <w:pPr>
        <w:pStyle w:val="Standard"/>
        <w:jc w:val="both"/>
        <w:rPr/>
      </w:pPr>
      <w:r>
        <w:rPr/>
        <w:t>2.2.9 Jei Nuomininkas nori pakeisti spausdinimo įrangos instaliavimo vietą, jis privalo informuoti Nuomotoją, kad šis už papildomą mokestį, jei tai yra reikalinga, užtikrintų technines saugumo priemones, būtinas perkeliant aparatą.</w:t>
      </w:r>
    </w:p>
    <w:p>
      <w:pPr>
        <w:pStyle w:val="Standard"/>
        <w:jc w:val="both"/>
        <w:rPr>
          <w:rFonts w:eastAsia="Times New Roman" w:cs="Times New Roman"/>
        </w:rPr>
      </w:pPr>
      <w:r>
        <w:rPr>
          <w:rFonts w:eastAsia="Times New Roman" w:cs="Times New Roman"/>
        </w:rPr>
        <w:t xml:space="preserve">  </w:t>
      </w:r>
    </w:p>
    <w:p>
      <w:pPr>
        <w:pStyle w:val="Standard"/>
        <w:jc w:val="both"/>
        <w:rPr/>
      </w:pPr>
      <w:r>
        <w:rPr/>
      </w:r>
    </w:p>
    <w:p>
      <w:pPr>
        <w:pStyle w:val="Standard"/>
        <w:jc w:val="both"/>
        <w:rPr>
          <w:b/>
          <w:b/>
          <w:caps/>
        </w:rPr>
      </w:pPr>
      <w:r>
        <w:rPr>
          <w:b/>
          <w:caps/>
        </w:rPr>
        <w:t>3. nuomos ir apmokėjimo sąlygos</w:t>
      </w:r>
    </w:p>
    <w:p>
      <w:pPr>
        <w:pStyle w:val="Standard"/>
        <w:jc w:val="both"/>
        <w:rPr>
          <w:b/>
          <w:b/>
          <w:caps/>
        </w:rPr>
      </w:pPr>
      <w:r>
        <w:rPr>
          <w:b/>
          <w:caps/>
        </w:rPr>
      </w:r>
    </w:p>
    <w:p>
      <w:pPr>
        <w:pStyle w:val="Standard"/>
        <w:jc w:val="both"/>
        <w:rPr/>
      </w:pPr>
      <w:r>
        <w:rPr/>
        <w:t>3.1 Nuomojami įrenginiai ir nuomos kaina:</w:t>
      </w:r>
    </w:p>
    <w:p>
      <w:pPr>
        <w:pStyle w:val="Standard"/>
        <w:jc w:val="both"/>
        <w:rPr/>
      </w:pPr>
      <w:r>
        <w:rPr/>
      </w:r>
    </w:p>
    <w:tbl>
      <w:tblPr>
        <w:tblW w:w="9312" w:type="dxa"/>
        <w:jc w:val="center"/>
        <w:tblInd w:w="0" w:type="dxa"/>
        <w:tblLayout w:type="fixed"/>
        <w:tblCellMar>
          <w:top w:w="0" w:type="dxa"/>
          <w:left w:w="108" w:type="dxa"/>
          <w:bottom w:w="0" w:type="dxa"/>
          <w:right w:w="108" w:type="dxa"/>
        </w:tblCellMar>
      </w:tblPr>
      <w:tblGrid>
        <w:gridCol w:w="2746"/>
        <w:gridCol w:w="1506"/>
        <w:gridCol w:w="1187"/>
        <w:gridCol w:w="3873"/>
      </w:tblGrid>
      <w:tr>
        <w:trPr/>
        <w:tc>
          <w:tcPr>
            <w:tcW w:w="2746" w:type="dxa"/>
            <w:tcBorders>
              <w:top w:val="single" w:sz="4" w:space="0" w:color="000000"/>
              <w:left w:val="single" w:sz="4" w:space="0" w:color="000000"/>
              <w:bottom w:val="single" w:sz="4" w:space="0" w:color="000000"/>
            </w:tcBorders>
          </w:tcPr>
          <w:p>
            <w:pPr>
              <w:pStyle w:val="Standard"/>
              <w:snapToGrid w:val="false"/>
              <w:jc w:val="center"/>
              <w:rPr>
                <w:b/>
                <w:b/>
              </w:rPr>
            </w:pPr>
            <w:r>
              <w:rPr>
                <w:b/>
              </w:rPr>
              <w:t>Tipas</w:t>
            </w:r>
          </w:p>
        </w:tc>
        <w:tc>
          <w:tcPr>
            <w:tcW w:w="1506" w:type="dxa"/>
            <w:tcBorders>
              <w:top w:val="single" w:sz="4" w:space="0" w:color="000000"/>
              <w:left w:val="single" w:sz="4" w:space="0" w:color="000000"/>
              <w:bottom w:val="single" w:sz="4" w:space="0" w:color="000000"/>
            </w:tcBorders>
          </w:tcPr>
          <w:p>
            <w:pPr>
              <w:pStyle w:val="Standard"/>
              <w:snapToGrid w:val="false"/>
              <w:jc w:val="center"/>
              <w:rPr>
                <w:b/>
                <w:b/>
              </w:rPr>
            </w:pPr>
            <w:r>
              <w:rPr>
                <w:b/>
              </w:rPr>
              <w:t>Reagavimo laikas (val.)</w:t>
            </w:r>
          </w:p>
        </w:tc>
        <w:tc>
          <w:tcPr>
            <w:tcW w:w="1187" w:type="dxa"/>
            <w:tcBorders>
              <w:top w:val="single" w:sz="4" w:space="0" w:color="000000"/>
              <w:left w:val="single" w:sz="4" w:space="0" w:color="000000"/>
              <w:bottom w:val="single" w:sz="4" w:space="0" w:color="000000"/>
            </w:tcBorders>
          </w:tcPr>
          <w:p>
            <w:pPr>
              <w:pStyle w:val="Standard"/>
              <w:snapToGrid w:val="false"/>
              <w:jc w:val="center"/>
              <w:rPr>
                <w:b/>
                <w:b/>
              </w:rPr>
            </w:pPr>
            <w:r>
              <w:rPr>
                <w:b/>
              </w:rPr>
              <w:t>Kiekis</w:t>
            </w:r>
          </w:p>
        </w:tc>
        <w:tc>
          <w:tcPr>
            <w:tcW w:w="387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Standard"/>
              <w:snapToGrid w:val="false"/>
              <w:jc w:val="center"/>
              <w:rPr>
                <w:b/>
                <w:b/>
              </w:rPr>
            </w:pPr>
            <w:r>
              <w:rPr>
                <w:b/>
              </w:rPr>
              <w:t>Mėnesio (1 vnt) abonentinis mokestis</w:t>
            </w:r>
          </w:p>
          <w:p>
            <w:pPr>
              <w:pStyle w:val="Standard"/>
              <w:snapToGrid w:val="false"/>
              <w:jc w:val="center"/>
              <w:rPr/>
            </w:pPr>
            <w:r>
              <w:rPr>
                <w:b/>
              </w:rPr>
              <w:t>EUR be PVM</w:t>
            </w:r>
          </w:p>
        </w:tc>
      </w:tr>
      <w:tr>
        <w:trPr>
          <w:trHeight w:val="345" w:hRule="atLeast"/>
        </w:trPr>
        <w:tc>
          <w:tcPr>
            <w:tcW w:w="2746" w:type="dxa"/>
            <w:tcBorders>
              <w:top w:val="single" w:sz="4" w:space="0" w:color="000000"/>
              <w:left w:val="single" w:sz="4" w:space="0" w:color="000000"/>
              <w:bottom w:val="single" w:sz="4" w:space="0" w:color="000000"/>
            </w:tcBorders>
          </w:tcPr>
          <w:p>
            <w:pPr>
              <w:pStyle w:val="Standard"/>
              <w:jc w:val="center"/>
              <w:rPr/>
            </w:pPr>
            <w:r>
              <w:rPr>
                <w:rFonts w:cs="Calibri" w:ascii="Calibri" w:hAnsi="Calibri"/>
              </w:rPr>
              <w:t>Triumph- Adler 4006ci</w:t>
            </w:r>
          </w:p>
        </w:tc>
        <w:tc>
          <w:tcPr>
            <w:tcW w:w="1506" w:type="dxa"/>
            <w:tcBorders>
              <w:top w:val="single" w:sz="4" w:space="0" w:color="000000"/>
              <w:left w:val="single" w:sz="4" w:space="0" w:color="000000"/>
              <w:bottom w:val="single" w:sz="4" w:space="0" w:color="000000"/>
            </w:tcBorders>
          </w:tcPr>
          <w:p>
            <w:pPr>
              <w:pStyle w:val="Standard"/>
              <w:snapToGrid w:val="false"/>
              <w:jc w:val="center"/>
              <w:rPr/>
            </w:pPr>
            <w:r>
              <w:rPr/>
              <w:t>4 val.</w:t>
            </w:r>
          </w:p>
        </w:tc>
        <w:tc>
          <w:tcPr>
            <w:tcW w:w="1187" w:type="dxa"/>
            <w:tcBorders>
              <w:top w:val="single" w:sz="4" w:space="0" w:color="000000"/>
              <w:left w:val="single" w:sz="4" w:space="0" w:color="000000"/>
              <w:bottom w:val="single" w:sz="4" w:space="0" w:color="000000"/>
            </w:tcBorders>
          </w:tcPr>
          <w:p>
            <w:pPr>
              <w:pStyle w:val="Standard"/>
              <w:snapToGrid w:val="false"/>
              <w:jc w:val="center"/>
              <w:rPr/>
            </w:pPr>
            <w:r>
              <w:rPr/>
              <w:t>2</w:t>
            </w:r>
          </w:p>
        </w:tc>
        <w:tc>
          <w:tcPr>
            <w:tcW w:w="387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Standard"/>
              <w:snapToGrid w:val="false"/>
              <w:jc w:val="center"/>
              <w:rPr/>
            </w:pPr>
            <w:r>
              <w:rPr/>
              <w:t>40,00</w:t>
            </w:r>
          </w:p>
        </w:tc>
      </w:tr>
      <w:tr>
        <w:trPr>
          <w:trHeight w:val="345" w:hRule="atLeast"/>
        </w:trPr>
        <w:tc>
          <w:tcPr>
            <w:tcW w:w="2746" w:type="dxa"/>
            <w:tcBorders>
              <w:top w:val="single" w:sz="4" w:space="0" w:color="000000"/>
              <w:left w:val="single" w:sz="4" w:space="0" w:color="000000"/>
              <w:bottom w:val="single" w:sz="4" w:space="0" w:color="000000"/>
            </w:tcBorders>
          </w:tcPr>
          <w:p>
            <w:pPr>
              <w:pStyle w:val="Standard"/>
              <w:snapToGrid w:val="false"/>
              <w:jc w:val="center"/>
              <w:rPr>
                <w:rFonts w:ascii="Calibri" w:hAnsi="Calibri" w:cs="Calibri"/>
              </w:rPr>
            </w:pPr>
            <w:r>
              <w:rPr>
                <w:rFonts w:cs="Calibri" w:ascii="Calibri" w:hAnsi="Calibri"/>
                <w:lang w:val="en-US"/>
              </w:rPr>
              <w:t>Aqrate Bussines PRO</w:t>
            </w:r>
          </w:p>
        </w:tc>
        <w:tc>
          <w:tcPr>
            <w:tcW w:w="1506" w:type="dxa"/>
            <w:tcBorders>
              <w:top w:val="single" w:sz="4" w:space="0" w:color="000000"/>
              <w:left w:val="single" w:sz="4" w:space="0" w:color="000000"/>
              <w:bottom w:val="single" w:sz="4" w:space="0" w:color="000000"/>
            </w:tcBorders>
          </w:tcPr>
          <w:p>
            <w:pPr>
              <w:pStyle w:val="Standard"/>
              <w:snapToGrid w:val="false"/>
              <w:jc w:val="center"/>
              <w:rPr/>
            </w:pPr>
            <w:r>
              <w:rPr/>
              <w:t>2 val.</w:t>
            </w:r>
          </w:p>
        </w:tc>
        <w:tc>
          <w:tcPr>
            <w:tcW w:w="1187" w:type="dxa"/>
            <w:tcBorders>
              <w:top w:val="single" w:sz="4" w:space="0" w:color="000000"/>
              <w:left w:val="single" w:sz="4" w:space="0" w:color="000000"/>
              <w:bottom w:val="single" w:sz="4" w:space="0" w:color="000000"/>
            </w:tcBorders>
          </w:tcPr>
          <w:p>
            <w:pPr>
              <w:pStyle w:val="Standard"/>
              <w:snapToGrid w:val="false"/>
              <w:jc w:val="center"/>
              <w:rPr/>
            </w:pPr>
            <w:r>
              <w:rPr/>
              <w:t>2</w:t>
            </w:r>
          </w:p>
        </w:tc>
        <w:tc>
          <w:tcPr>
            <w:tcW w:w="3873"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Standard"/>
              <w:snapToGrid w:val="false"/>
              <w:jc w:val="center"/>
              <w:rPr/>
            </w:pPr>
            <w:r>
              <w:rPr/>
              <w:t>18,00</w:t>
            </w:r>
          </w:p>
        </w:tc>
      </w:tr>
    </w:tbl>
    <w:p>
      <w:pPr>
        <w:pStyle w:val="Standard"/>
        <w:jc w:val="both"/>
        <w:rPr/>
      </w:pPr>
      <w:r>
        <w:rPr/>
      </w:r>
    </w:p>
    <w:p>
      <w:pPr>
        <w:pStyle w:val="Standard"/>
        <w:jc w:val="both"/>
        <w:rPr/>
      </w:pPr>
      <w:r>
        <w:rPr/>
        <w:t>Pastabos:</w:t>
      </w:r>
    </w:p>
    <w:p>
      <w:pPr>
        <w:pStyle w:val="Standard"/>
        <w:tabs>
          <w:tab w:val="clear" w:pos="709"/>
          <w:tab w:val="left" w:pos="360" w:leader="none"/>
        </w:tabs>
        <w:jc w:val="both"/>
        <w:rPr/>
      </w:pPr>
      <w:r>
        <w:rPr/>
      </w:r>
    </w:p>
    <w:p>
      <w:pPr>
        <w:pStyle w:val="Standard"/>
        <w:numPr>
          <w:ilvl w:val="0"/>
          <w:numId w:val="5"/>
        </w:numPr>
        <w:jc w:val="both"/>
        <w:rPr/>
      </w:pPr>
      <w:r>
        <w:rPr/>
        <w:t>Nuomininkas įsipareigoja mokėti Nuomotojui mėnesinį mokestį pagal 3.1 punktą. Mokestis pradedamas skaičiuoti nuo sutarties pasirašymo datos.</w:t>
      </w:r>
    </w:p>
    <w:p>
      <w:pPr>
        <w:pStyle w:val="Standard"/>
        <w:numPr>
          <w:ilvl w:val="0"/>
          <w:numId w:val="3"/>
        </w:numPr>
        <w:jc w:val="both"/>
        <w:rPr/>
      </w:pPr>
      <w:r>
        <w:rPr/>
        <w:t>Kainos pagal kopijų tipus:</w:t>
      </w:r>
    </w:p>
    <w:p>
      <w:pPr>
        <w:pStyle w:val="Standard"/>
        <w:numPr>
          <w:ilvl w:val="0"/>
          <w:numId w:val="3"/>
        </w:numPr>
        <w:jc w:val="both"/>
        <w:rPr>
          <w:b/>
          <w:b/>
          <w:bCs/>
        </w:rPr>
      </w:pPr>
      <w:r>
        <w:rPr>
          <w:b/>
          <w:bCs/>
        </w:rPr>
        <w:t>Juodai balta (JB):</w:t>
      </w:r>
    </w:p>
    <w:p>
      <w:pPr>
        <w:pStyle w:val="Standard"/>
        <w:numPr>
          <w:ilvl w:val="0"/>
          <w:numId w:val="3"/>
        </w:numPr>
        <w:jc w:val="both"/>
        <w:rPr/>
      </w:pPr>
      <w:r>
        <w:rPr/>
        <w:t>A4 vienpusė JB: 0,0075 € be PVM</w:t>
      </w:r>
    </w:p>
    <w:p>
      <w:pPr>
        <w:pStyle w:val="Standard"/>
        <w:numPr>
          <w:ilvl w:val="0"/>
          <w:numId w:val="3"/>
        </w:numPr>
        <w:jc w:val="both"/>
        <w:rPr/>
      </w:pPr>
      <w:r>
        <w:rPr/>
        <w:t>A4 dvipusė JB = 2 × 0,0075 € = 0,015 € be PVM</w:t>
      </w:r>
    </w:p>
    <w:p>
      <w:pPr>
        <w:pStyle w:val="Standard"/>
        <w:numPr>
          <w:ilvl w:val="0"/>
          <w:numId w:val="3"/>
        </w:numPr>
        <w:jc w:val="both"/>
        <w:rPr/>
      </w:pPr>
      <w:r>
        <w:rPr/>
        <w:t>A3 vienpusė JB = 2 × 0,0075 € = 0,015 € be PVM</w:t>
      </w:r>
    </w:p>
    <w:p>
      <w:pPr>
        <w:pStyle w:val="Standard"/>
        <w:numPr>
          <w:ilvl w:val="0"/>
          <w:numId w:val="3"/>
        </w:numPr>
        <w:jc w:val="both"/>
        <w:rPr/>
      </w:pPr>
      <w:r>
        <w:rPr/>
        <w:t>A3 dvipusė JB = 4 × 0,0075 € = 0,03 € be PVM</w:t>
      </w:r>
    </w:p>
    <w:p>
      <w:pPr>
        <w:pStyle w:val="Standard"/>
        <w:numPr>
          <w:ilvl w:val="0"/>
          <w:numId w:val="3"/>
        </w:numPr>
        <w:jc w:val="both"/>
        <w:rPr>
          <w:b/>
          <w:b/>
          <w:bCs/>
        </w:rPr>
      </w:pPr>
      <w:r>
        <w:rPr>
          <w:b/>
          <w:bCs/>
        </w:rPr>
        <w:t>Spalvota (SP):</w:t>
      </w:r>
    </w:p>
    <w:p>
      <w:pPr>
        <w:pStyle w:val="Standard"/>
        <w:numPr>
          <w:ilvl w:val="0"/>
          <w:numId w:val="3"/>
        </w:numPr>
        <w:jc w:val="both"/>
        <w:rPr/>
      </w:pPr>
      <w:r>
        <w:rPr/>
        <w:t xml:space="preserve">A4 vienpusė SP: 0,04 € be PVM </w:t>
      </w:r>
    </w:p>
    <w:p>
      <w:pPr>
        <w:pStyle w:val="Standard"/>
        <w:numPr>
          <w:ilvl w:val="0"/>
          <w:numId w:val="3"/>
        </w:numPr>
        <w:jc w:val="both"/>
        <w:rPr/>
      </w:pPr>
      <w:r>
        <w:rPr/>
        <w:t>A4 dvipusė SP = 2 × 0,04 € = 0,08 € be PVM</w:t>
      </w:r>
    </w:p>
    <w:p>
      <w:pPr>
        <w:pStyle w:val="Standard"/>
        <w:numPr>
          <w:ilvl w:val="0"/>
          <w:numId w:val="3"/>
        </w:numPr>
        <w:jc w:val="both"/>
        <w:rPr/>
      </w:pPr>
      <w:r>
        <w:rPr/>
        <w:t>A3 vienpusė SP = 2 × 0,04 € = 0,08 € be PVM</w:t>
      </w:r>
    </w:p>
    <w:p>
      <w:pPr>
        <w:pStyle w:val="Standard"/>
        <w:numPr>
          <w:ilvl w:val="0"/>
          <w:numId w:val="3"/>
        </w:numPr>
        <w:jc w:val="both"/>
        <w:rPr/>
      </w:pPr>
      <w:r>
        <w:rPr/>
        <w:t>A3 dvipusė SP = 4 × 0,04 € = 0,16 € be PVM</w:t>
      </w:r>
    </w:p>
    <w:p>
      <w:pPr>
        <w:pStyle w:val="Standard"/>
        <w:numPr>
          <w:ilvl w:val="0"/>
          <w:numId w:val="3"/>
        </w:numPr>
        <w:jc w:val="both"/>
        <w:rPr/>
      </w:pPr>
      <w:r>
        <w:rPr/>
        <w:t>A3 formato kopija yra lygi 2 A4 formato kopijoms, dvipusė A4 formato kopija yra lygi 2 A4 formato kopijoms, dvipusė A3 formato kopija yra lygi 4 A4 formato kopijoms.</w:t>
      </w:r>
    </w:p>
    <w:p>
      <w:pPr>
        <w:pStyle w:val="Standard"/>
        <w:numPr>
          <w:ilvl w:val="0"/>
          <w:numId w:val="3"/>
        </w:numPr>
        <w:jc w:val="both"/>
        <w:rPr/>
      </w:pPr>
      <w:r>
        <w:rPr/>
        <w:t>Sąskaita už spaudus pateikiama pasibaigus mėnesiui per SABIS sistemą. Pateiktos sąskaitos turi būti apmokėtos per 30 dienų nuo jų išrašymo datos.</w:t>
      </w:r>
    </w:p>
    <w:p>
      <w:pPr>
        <w:pStyle w:val="Standard"/>
        <w:jc w:val="both"/>
        <w:rPr/>
      </w:pPr>
      <w:r>
        <w:rPr/>
        <w:t>3.2 Spaudo kainą sudaro išlaidos, reikalingos prižiūrint spausdinimo įrangą, remiantis  Triumph-adler techniniais reikalavimais t.y.:</w:t>
      </w:r>
    </w:p>
    <w:p>
      <w:pPr>
        <w:pStyle w:val="Standard"/>
        <w:numPr>
          <w:ilvl w:val="0"/>
          <w:numId w:val="1"/>
        </w:numPr>
        <w:ind w:left="360" w:hanging="360"/>
        <w:jc w:val="both"/>
        <w:rPr/>
      </w:pPr>
      <w:r>
        <w:rPr/>
        <w:t>eksploatacinių medžiagų kaina;</w:t>
      </w:r>
    </w:p>
    <w:p>
      <w:pPr>
        <w:pStyle w:val="Standard"/>
        <w:numPr>
          <w:ilvl w:val="0"/>
          <w:numId w:val="1"/>
        </w:numPr>
        <w:ind w:left="360" w:hanging="360"/>
        <w:jc w:val="both"/>
        <w:rPr/>
      </w:pPr>
      <w:r>
        <w:rPr/>
        <w:t>apmokėjimas už  darbą, atliktą serviso specialisto – planinę kopijavimo aparato priežiūrą bei remontą, Nuomininkui iškvietus;</w:t>
      </w:r>
    </w:p>
    <w:p>
      <w:pPr>
        <w:pStyle w:val="Standard"/>
        <w:numPr>
          <w:ilvl w:val="0"/>
          <w:numId w:val="1"/>
        </w:numPr>
        <w:ind w:left="360" w:hanging="360"/>
        <w:jc w:val="both"/>
        <w:rPr/>
      </w:pPr>
      <w:r>
        <w:rPr/>
        <w:t>transporto ir kelionės išlaidos;</w:t>
      </w:r>
    </w:p>
    <w:p>
      <w:pPr>
        <w:pStyle w:val="Standard"/>
        <w:numPr>
          <w:ilvl w:val="0"/>
          <w:numId w:val="1"/>
        </w:numPr>
        <w:ind w:left="360" w:hanging="360"/>
        <w:jc w:val="both"/>
        <w:rPr/>
      </w:pPr>
      <w:r>
        <w:rPr/>
        <w:t>atsarginių detalių pristatymas ir jų pakeitimas, išskyrus atvejus, nurodytus 2.1.6.1, 2.1.6.2, 2.1.6.3 punktuose;</w:t>
      </w:r>
    </w:p>
    <w:p>
      <w:pPr>
        <w:pStyle w:val="Standard"/>
        <w:jc w:val="both"/>
        <w:rPr/>
      </w:pPr>
      <w:r>
        <w:rPr/>
        <w:t xml:space="preserve">3.3 Nuomininko pradedamų nuomoti įrenginių vertė yra 7000,00 EUR be PVM.  </w:t>
      </w:r>
    </w:p>
    <w:p>
      <w:pPr>
        <w:pStyle w:val="Standard"/>
        <w:jc w:val="both"/>
        <w:rPr/>
      </w:pPr>
      <w:r>
        <w:rPr/>
      </w:r>
    </w:p>
    <w:p>
      <w:pPr>
        <w:pStyle w:val="Standard"/>
        <w:jc w:val="both"/>
        <w:rPr>
          <w:b/>
          <w:b/>
          <w:caps/>
        </w:rPr>
      </w:pPr>
      <w:r>
        <w:rPr>
          <w:b/>
          <w:caps/>
        </w:rPr>
        <w:t>4. Sutarties galiojimas</w:t>
      </w:r>
    </w:p>
    <w:p>
      <w:pPr>
        <w:pStyle w:val="Standard"/>
        <w:jc w:val="both"/>
        <w:rPr>
          <w:b/>
          <w:b/>
          <w:caps/>
        </w:rPr>
      </w:pPr>
      <w:r>
        <w:rPr>
          <w:b/>
          <w:caps/>
        </w:rPr>
      </w:r>
    </w:p>
    <w:p>
      <w:pPr>
        <w:pStyle w:val="Textbody1"/>
        <w:rPr/>
      </w:pPr>
      <w:r>
        <w:rPr/>
        <w:t>4.1 Sutartis įsigalioja nuo jos pasirašymo dienos ir galioja 12 mėnesių.</w:t>
      </w:r>
    </w:p>
    <w:p>
      <w:pPr>
        <w:pStyle w:val="Standard"/>
        <w:jc w:val="both"/>
        <w:rPr/>
      </w:pPr>
      <w:r>
        <w:rPr/>
        <w:t>4.2 Nuomotojas pasilieka  teisę sustabdyti sutarties vykdymą, jei Nuomininkas nevisiškai įvykdė arba visai neįvykdė savo mokėjimų įsipareigojimų.</w:t>
      </w:r>
    </w:p>
    <w:p>
      <w:pPr>
        <w:pStyle w:val="Standard"/>
        <w:jc w:val="both"/>
        <w:rPr/>
      </w:pPr>
      <w:r>
        <w:rPr/>
        <w:t xml:space="preserve">4.3 Siekiant daryti kuo mažesnį neigiamą poveikį aplinkai, sutartis pasirašome el. parašu (vienas elektroninis dokumentas). </w:t>
      </w:r>
    </w:p>
    <w:p>
      <w:pPr>
        <w:pStyle w:val="Standard"/>
        <w:jc w:val="both"/>
        <w:rPr/>
      </w:pPr>
      <w:r>
        <w:rPr/>
        <w:t xml:space="preserve">4.4. Nuomininkas norėdamas nutraukti sutarti, turi sumokėti netesybų mokestį. Nuomotojas išrašys sąskaitą už kopijų kiekį, kuris buvo didžiausias per paskutinį 3 mėnesių laikotarpį,. </w:t>
      </w:r>
    </w:p>
    <w:p>
      <w:pPr>
        <w:pStyle w:val="Standard"/>
        <w:jc w:val="both"/>
        <w:rPr>
          <w:b/>
          <w:b/>
        </w:rPr>
      </w:pPr>
      <w:r>
        <w:rPr>
          <w:b/>
        </w:rPr>
      </w:r>
    </w:p>
    <w:p>
      <w:pPr>
        <w:pStyle w:val="Standard"/>
        <w:jc w:val="both"/>
        <w:rPr>
          <w:b/>
          <w:b/>
          <w:caps/>
        </w:rPr>
      </w:pPr>
      <w:r>
        <w:rPr>
          <w:b/>
          <w:caps/>
        </w:rPr>
        <w:t>5. Šalių atsakomybė ir ginčų sprendimas</w:t>
      </w:r>
    </w:p>
    <w:p>
      <w:pPr>
        <w:pStyle w:val="Standard"/>
        <w:jc w:val="both"/>
        <w:rPr>
          <w:b/>
          <w:b/>
          <w:caps/>
        </w:rPr>
      </w:pPr>
      <w:r>
        <w:rPr>
          <w:b/>
          <w:caps/>
        </w:rPr>
      </w:r>
    </w:p>
    <w:p>
      <w:pPr>
        <w:pStyle w:val="Standard"/>
        <w:jc w:val="both"/>
        <w:rPr/>
      </w:pPr>
      <w:r>
        <w:rPr/>
        <w:t>5.1. Už sutarties nevykdymą ar netinkamą vykdymą šalys atsako Lietuvos Respublikos įstatymų numatyta tvarka.</w:t>
      </w:r>
    </w:p>
    <w:p>
      <w:pPr>
        <w:pStyle w:val="Standard"/>
        <w:jc w:val="both"/>
        <w:rPr/>
      </w:pPr>
      <w:r>
        <w:rPr/>
        <w:t>5.2. Už pavėluotą savo įsipareigojimų vykdymą Nuomininkas, Nuomotojui pareikalavus, moka 0,02 % delspinigių nuo nesumokėtos sumos už kiekvieną uždelstą dieną.</w:t>
      </w:r>
    </w:p>
    <w:p>
      <w:pPr>
        <w:pStyle w:val="Standard"/>
        <w:jc w:val="both"/>
        <w:rPr/>
      </w:pPr>
      <w:r>
        <w:rPr/>
        <w:t>5.3. Jei nuomuotojas per 8 darbo valandas neatstato įrenginio ir nesuteikia pakaitinio, jam gali būti skaičiuojamas baudos mokestis, kuris yra 10 EUR+PVM už kiekvieną pradelstą darbo valandą.</w:t>
      </w:r>
    </w:p>
    <w:p>
      <w:pPr>
        <w:pStyle w:val="Standard"/>
        <w:jc w:val="both"/>
        <w:rPr/>
      </w:pPr>
      <w:r>
        <w:rPr/>
        <w:t>5.4. Uždelsus apmokėti daugiau nei 30 kalendorinių dienų, Nuomotojas savo nuožiūra gali nutraukti šią sutartį ir atsiimti spausdinimo įrangą. Nuomininkas privalo atsiskaityti už padarytas kopijas.</w:t>
      </w:r>
    </w:p>
    <w:p>
      <w:pPr>
        <w:pStyle w:val="Standard"/>
        <w:jc w:val="both"/>
        <w:rPr/>
      </w:pPr>
      <w:r>
        <w:rPr/>
        <w:t>5.5. Nuomininkas yra pilnai atsakingas už tinkamą spausdinimo įrangą, plombų neliečiamumą bei aparato praradimą ar sugadinimą nepriklausomai nuo priežasčių.</w:t>
      </w:r>
    </w:p>
    <w:p>
      <w:pPr>
        <w:pStyle w:val="Standard"/>
        <w:jc w:val="both"/>
        <w:rPr/>
      </w:pPr>
      <w:r>
        <w:rPr/>
        <w:t>5.6. Visi nesutarimai, iškilę tarp šalių vykdant šią sutartį, reguliuojami šalių tarpusavio susitarimu.</w:t>
      </w:r>
    </w:p>
    <w:p>
      <w:pPr>
        <w:pStyle w:val="Standard"/>
        <w:jc w:val="both"/>
        <w:rPr/>
      </w:pPr>
      <w:r>
        <w:rPr/>
        <w:t>5.7. Šalims nesutarus, ginčai sprendžiami Lietuvos Respublikos įstatymų nustatyta tvarka.</w:t>
      </w:r>
    </w:p>
    <w:p>
      <w:pPr>
        <w:pStyle w:val="Standard"/>
        <w:jc w:val="both"/>
        <w:rPr/>
      </w:pPr>
      <w:r>
        <w:rPr/>
        <w:t>5.8. Nuomininkas yra visiškai materialiai atsakingas už išsinuomotą spausdinimo įrangą. Nuostoliai, atsiradę dėl aplinkybių, kurių Nuomotojas negali kontroliuoti, pvz.: gaisras, žaibas, potvynis, vagystė ir t.t,  dengiami iš Nuomininko lėšų. Sunaikinus, sužalojus ar sugadinus spausdinimo įrangą Nuomininkas, pagal Nuomotojo reikalavimą, įsipareigoja  atlyginti Nuomotojui aparato vertę, atsižvelgiant į jo nusidėvėjimą.</w:t>
      </w:r>
    </w:p>
    <w:p>
      <w:pPr>
        <w:pStyle w:val="Standard"/>
        <w:jc w:val="both"/>
        <w:rPr/>
      </w:pPr>
      <w:r>
        <w:rPr/>
      </w:r>
    </w:p>
    <w:p>
      <w:pPr>
        <w:pStyle w:val="Standard"/>
        <w:jc w:val="both"/>
        <w:rPr>
          <w:b/>
          <w:b/>
          <w:caps/>
        </w:rPr>
      </w:pPr>
      <w:r>
        <w:rPr>
          <w:b/>
          <w:caps/>
        </w:rPr>
        <w:t>6. Kitos sąlygos</w:t>
      </w:r>
    </w:p>
    <w:p>
      <w:pPr>
        <w:pStyle w:val="Standard"/>
        <w:jc w:val="both"/>
        <w:rPr>
          <w:b/>
          <w:b/>
          <w:caps/>
        </w:rPr>
      </w:pPr>
      <w:r>
        <w:rPr>
          <w:b/>
          <w:caps/>
        </w:rPr>
      </w:r>
    </w:p>
    <w:p>
      <w:pPr>
        <w:pStyle w:val="Standard"/>
        <w:jc w:val="both"/>
        <w:rPr/>
      </w:pPr>
      <w:r>
        <w:rPr/>
        <w:t>6.1 Jeigu Nuomininkas nevykdo eksploatacijos taisyklių reikalavimų, Nuomotojas turi teisę nutraukti techninės priežiūros darbus ir surašyti pažeidimų aktą. Nuomininkui pašalinus eksploatacijos taisyklių pažeidimus, Nuomotojas tęsia darbą (techninę priežiūrą).</w:t>
      </w:r>
    </w:p>
    <w:p>
      <w:pPr>
        <w:pStyle w:val="Standard"/>
        <w:jc w:val="both"/>
        <w:rPr/>
      </w:pPr>
      <w:r>
        <w:rPr/>
        <w:t>6.2 Tuo atveju, kai komplektuojančių detalių ir medžiagų tiekimas sutriko dėl nuo Nuomotojo nepriklausančių priežasčių (pvz., stichinės nelaimės, avarijos ir pan.) ir dėl to aparato darbingumo atstatymas pagal sutartyje numatytus terminus yra neįmanomas ir nepriklauso nuo Nuomotojo, tada įforminamas defektinis aktas ir patikslinamas apmokėjimas pagal sutartį.</w:t>
      </w:r>
    </w:p>
    <w:p>
      <w:pPr>
        <w:pStyle w:val="Standard"/>
        <w:jc w:val="both"/>
        <w:rPr>
          <w:b/>
          <w:b/>
        </w:rPr>
      </w:pPr>
      <w:r>
        <w:rPr>
          <w:rFonts w:eastAsia="Times New Roman" w:cs="Times New Roman"/>
          <w:b/>
        </w:rPr>
        <w:t xml:space="preserve">                                           </w:t>
      </w:r>
    </w:p>
    <w:p>
      <w:pPr>
        <w:pStyle w:val="Standard"/>
        <w:jc w:val="both"/>
        <w:rPr/>
      </w:pPr>
      <w:r>
        <w:rPr>
          <w:rFonts w:eastAsia="Times New Roman" w:cs="Times New Roman"/>
        </w:rPr>
        <w:t xml:space="preserve">      </w:t>
      </w:r>
      <w:r>
        <w:rPr/>
        <w:t>6.3. Aparatų instaliavimo vieta: Breslaujos g. 3, 44403, Kaunas.</w:t>
      </w:r>
    </w:p>
    <w:p>
      <w:pPr>
        <w:pStyle w:val="Standard"/>
        <w:jc w:val="both"/>
        <w:rPr>
          <w:rFonts w:eastAsia="Times New Roman" w:cs="Times New Roman"/>
        </w:rPr>
      </w:pPr>
      <w:r>
        <w:rPr>
          <w:rFonts w:eastAsia="Times New Roman" w:cs="Times New Roman"/>
        </w:rPr>
        <w:t xml:space="preserve">   </w:t>
      </w:r>
    </w:p>
    <w:p>
      <w:pPr>
        <w:pStyle w:val="Standard"/>
        <w:jc w:val="both"/>
        <w:rPr>
          <w:b/>
          <w:b/>
          <w:caps/>
        </w:rPr>
      </w:pPr>
      <w:r>
        <w:rPr>
          <w:b/>
          <w:caps/>
        </w:rPr>
        <w:t>7. Šalių juridiniai adresai</w:t>
      </w:r>
    </w:p>
    <w:p>
      <w:pPr>
        <w:pStyle w:val="Standard"/>
        <w:jc w:val="both"/>
        <w:rPr>
          <w:b/>
          <w:b/>
          <w:caps/>
        </w:rPr>
      </w:pPr>
      <w:r>
        <w:rPr>
          <w:b/>
          <w:caps/>
        </w:rPr>
      </w:r>
    </w:p>
    <w:p>
      <w:pPr>
        <w:pStyle w:val="Standard"/>
        <w:jc w:val="both"/>
        <w:rPr/>
      </w:pPr>
      <w:r>
        <w:rPr/>
        <w:t>7.1 Nuomotojo:</w:t>
      </w:r>
    </w:p>
    <w:p>
      <w:pPr>
        <w:pStyle w:val="Standard"/>
        <w:jc w:val="both"/>
        <w:rPr>
          <w:b/>
          <w:b/>
        </w:rPr>
      </w:pPr>
      <w:r>
        <w:rPr>
          <w:b/>
        </w:rPr>
        <w:t>UAB “NOVAKOPA”</w:t>
        <w:tab/>
        <w:tab/>
        <w:tab/>
        <w:tab/>
      </w:r>
    </w:p>
    <w:p>
      <w:pPr>
        <w:pStyle w:val="Standard"/>
        <w:jc w:val="both"/>
        <w:rPr/>
      </w:pPr>
      <w:r>
        <w:rPr/>
        <w:t>Įmonės kodas: 1355 92370</w:t>
        <w:tab/>
        <w:tab/>
        <w:tab/>
      </w:r>
    </w:p>
    <w:p>
      <w:pPr>
        <w:pStyle w:val="Standard"/>
        <w:jc w:val="both"/>
        <w:rPr/>
      </w:pPr>
      <w:r>
        <w:rPr/>
        <w:t>PVM mokėtojo kodas: LT355923716</w:t>
        <w:tab/>
        <w:tab/>
      </w:r>
    </w:p>
    <w:p>
      <w:pPr>
        <w:pStyle w:val="Standard"/>
        <w:jc w:val="both"/>
        <w:rPr/>
      </w:pPr>
      <w:r>
        <w:rPr/>
        <w:t>Adresas: Juozapavičiaus pr. 7, Kaunas LT-45251</w:t>
        <w:tab/>
      </w:r>
    </w:p>
    <w:p>
      <w:pPr>
        <w:pStyle w:val="Standard"/>
        <w:jc w:val="both"/>
        <w:rPr/>
      </w:pPr>
      <w:r>
        <w:rPr/>
        <w:t>Tel.: +370 37 200896</w:t>
      </w:r>
    </w:p>
    <w:p>
      <w:pPr>
        <w:pStyle w:val="Standard"/>
        <w:jc w:val="both"/>
        <w:rPr/>
      </w:pPr>
      <w:r>
        <w:rPr/>
        <w:t>El.p.: info</w:t>
      </w:r>
      <w:r>
        <w:rPr>
          <w:lang w:val="pt-BR"/>
        </w:rPr>
        <w:t>@novakopa.lt</w:t>
      </w:r>
      <w:r>
        <w:rPr/>
        <w:tab/>
        <w:tab/>
      </w:r>
    </w:p>
    <w:p>
      <w:pPr>
        <w:pStyle w:val="Standard"/>
        <w:jc w:val="both"/>
        <w:rPr/>
      </w:pPr>
      <w:r>
        <w:rPr/>
        <w:t>Bankas: AS „Citadele banka" Lietuvos filialas</w:t>
      </w:r>
    </w:p>
    <w:p>
      <w:pPr>
        <w:pStyle w:val="Standard"/>
        <w:jc w:val="both"/>
        <w:rPr/>
      </w:pPr>
      <w:r>
        <w:rPr/>
        <w:t>Banko kodas: 72900</w:t>
      </w:r>
    </w:p>
    <w:p>
      <w:pPr>
        <w:pStyle w:val="Standard"/>
        <w:jc w:val="both"/>
        <w:rPr/>
      </w:pPr>
      <w:r>
        <w:rPr/>
        <w:t>Atsiskaitomoji sąskaita: LT507290099066915184</w:t>
      </w:r>
    </w:p>
    <w:p>
      <w:pPr>
        <w:pStyle w:val="Standard"/>
        <w:jc w:val="both"/>
        <w:rPr/>
      </w:pPr>
      <w:r>
        <w:rPr/>
      </w:r>
    </w:p>
    <w:p>
      <w:pPr>
        <w:pStyle w:val="Standard"/>
        <w:jc w:val="both"/>
        <w:rPr/>
      </w:pPr>
      <w:r>
        <w:rPr/>
        <w:t>7.2 Nuomininko:</w:t>
      </w:r>
    </w:p>
    <w:p>
      <w:pPr>
        <w:pStyle w:val="Normal"/>
        <w:jc w:val="both"/>
        <w:rPr/>
      </w:pPr>
      <w:r>
        <w:rPr>
          <w:rFonts w:cs="Times" w:ascii="Times" w:hAnsi="Times"/>
          <w:b/>
          <w:sz w:val="24"/>
          <w:szCs w:val="24"/>
          <w:lang w:val="pt-BR"/>
        </w:rPr>
        <w:t>VšĮ Lietuvos energetikos institutas</w:t>
      </w:r>
      <w:r>
        <w:rPr>
          <w:rFonts w:cs="Times New Roman" w:ascii="Times" w:hAnsi="Times"/>
          <w:sz w:val="24"/>
          <w:szCs w:val="24"/>
          <w:lang w:val="lt-LT"/>
        </w:rPr>
        <w:t xml:space="preserve"> </w:t>
      </w:r>
    </w:p>
    <w:p>
      <w:pPr>
        <w:pStyle w:val="Normal"/>
        <w:jc w:val="both"/>
        <w:rPr>
          <w:rFonts w:ascii="Times" w:hAnsi="Times" w:eastAsia="Times New Roman" w:cs="Times New Roman"/>
          <w:color w:val="000000"/>
          <w:sz w:val="24"/>
          <w:szCs w:val="24"/>
          <w:lang w:val="lt-LT"/>
        </w:rPr>
      </w:pPr>
      <w:r>
        <w:rPr>
          <w:rFonts w:cs="Times New Roman" w:ascii="Times" w:hAnsi="Times"/>
          <w:sz w:val="24"/>
          <w:szCs w:val="24"/>
          <w:lang w:val="lt-LT"/>
        </w:rPr>
        <w:t xml:space="preserve">Įmonės kodas: </w:t>
      </w:r>
      <w:r>
        <w:rPr>
          <w:rFonts w:eastAsia="SimSun;宋体" w:cs="Times New Roman" w:ascii="Times" w:hAnsi="Times"/>
          <w:kern w:val="2"/>
          <w:sz w:val="24"/>
          <w:szCs w:val="24"/>
          <w:lang w:val="lt-LT" w:eastAsia="zh-CN" w:bidi="hi-IN"/>
        </w:rPr>
        <w:t xml:space="preserve"> 111955219</w:t>
      </w:r>
    </w:p>
    <w:p>
      <w:pPr>
        <w:pStyle w:val="Normal"/>
        <w:jc w:val="both"/>
        <w:rPr>
          <w:rFonts w:ascii="Times" w:hAnsi="Times" w:eastAsia="Times New Roman" w:cs="Times New Roman"/>
          <w:color w:val="000000"/>
          <w:sz w:val="24"/>
          <w:szCs w:val="24"/>
          <w:lang w:val="lt-LT"/>
        </w:rPr>
      </w:pPr>
      <w:r>
        <w:rPr>
          <w:rFonts w:cs="Times New Roman" w:ascii="Times" w:hAnsi="Times"/>
          <w:sz w:val="24"/>
          <w:szCs w:val="24"/>
          <w:lang w:val="lt-LT"/>
        </w:rPr>
        <w:t>PVM mokėtojo kodas: LT119552113</w:t>
      </w:r>
    </w:p>
    <w:p>
      <w:pPr>
        <w:pStyle w:val="Standard"/>
        <w:jc w:val="both"/>
        <w:rPr>
          <w:rFonts w:ascii="Times" w:hAnsi="Times" w:cs="Times New Roman"/>
        </w:rPr>
      </w:pPr>
      <w:r>
        <w:rPr>
          <w:rFonts w:cs="Times New Roman" w:ascii="Times" w:hAnsi="Times"/>
        </w:rPr>
        <w:t>Adresas:  Breslaujos g. 3, 44403, Kaunas</w:t>
      </w:r>
    </w:p>
    <w:p>
      <w:pPr>
        <w:pStyle w:val="Standard"/>
        <w:jc w:val="both"/>
        <w:rPr>
          <w:rFonts w:ascii="Times" w:hAnsi="Times" w:cs="Times New Roman"/>
        </w:rPr>
      </w:pPr>
      <w:r>
        <w:rPr>
          <w:rFonts w:cs="Times New Roman" w:ascii="Times" w:hAnsi="Times"/>
        </w:rPr>
        <w:t>Tel.:  +370 37 401 801</w:t>
      </w:r>
    </w:p>
    <w:p>
      <w:pPr>
        <w:pStyle w:val="Standard"/>
        <w:jc w:val="both"/>
        <w:rPr>
          <w:rFonts w:eastAsia="Times New Roman" w:cs="Times New Roman"/>
        </w:rPr>
      </w:pPr>
      <w:r>
        <w:rPr>
          <w:rFonts w:eastAsia="Times New Roman" w:cs="Times New Roman"/>
        </w:rPr>
        <w:t xml:space="preserve">        </w:t>
      </w:r>
    </w:p>
    <w:p>
      <w:pPr>
        <w:pStyle w:val="Standard"/>
        <w:jc w:val="both"/>
        <w:rPr/>
      </w:pPr>
      <w:r>
        <w:rPr/>
      </w:r>
    </w:p>
    <w:tbl>
      <w:tblPr>
        <w:tblW w:w="9640" w:type="dxa"/>
        <w:jc w:val="left"/>
        <w:tblInd w:w="-250" w:type="dxa"/>
        <w:tblLayout w:type="fixed"/>
        <w:tblCellMar>
          <w:top w:w="0" w:type="dxa"/>
          <w:left w:w="108" w:type="dxa"/>
          <w:bottom w:w="0" w:type="dxa"/>
          <w:right w:w="108" w:type="dxa"/>
        </w:tblCellMar>
      </w:tblPr>
      <w:tblGrid>
        <w:gridCol w:w="4462"/>
        <w:gridCol w:w="5178"/>
      </w:tblGrid>
      <w:tr>
        <w:trPr/>
        <w:tc>
          <w:tcPr>
            <w:tcW w:w="4462" w:type="dxa"/>
            <w:tcBorders/>
          </w:tcPr>
          <w:p>
            <w:pPr>
              <w:pStyle w:val="Standard"/>
              <w:snapToGrid w:val="false"/>
              <w:jc w:val="both"/>
              <w:rPr>
                <w:b/>
                <w:b/>
              </w:rPr>
            </w:pPr>
            <w:r>
              <w:rPr>
                <w:b/>
              </w:rPr>
              <w:t>UAB “Novakopa”</w:t>
            </w:r>
          </w:p>
        </w:tc>
        <w:tc>
          <w:tcPr>
            <w:tcW w:w="5178" w:type="dxa"/>
            <w:tcBorders/>
          </w:tcPr>
          <w:p>
            <w:pPr>
              <w:pStyle w:val="Standard"/>
              <w:tabs>
                <w:tab w:val="clear" w:pos="709"/>
                <w:tab w:val="left" w:pos="1755" w:leader="none"/>
              </w:tabs>
              <w:snapToGrid w:val="false"/>
              <w:jc w:val="both"/>
              <w:rPr>
                <w:b/>
                <w:b/>
              </w:rPr>
            </w:pPr>
            <w:r>
              <w:rPr>
                <w:b/>
              </w:rPr>
              <w:t>VšĮ Lietuvos energetikos institutas</w:t>
            </w:r>
          </w:p>
        </w:tc>
      </w:tr>
      <w:tr>
        <w:trPr>
          <w:trHeight w:val="80" w:hRule="atLeast"/>
        </w:trPr>
        <w:tc>
          <w:tcPr>
            <w:tcW w:w="4462" w:type="dxa"/>
            <w:tcBorders/>
          </w:tcPr>
          <w:p>
            <w:pPr>
              <w:pStyle w:val="Standard"/>
              <w:snapToGrid w:val="false"/>
              <w:jc w:val="both"/>
              <w:rPr/>
            </w:pPr>
            <w:r>
              <w:rPr>
                <w:rFonts w:eastAsia="Times New Roman" w:cs="Times New Roman"/>
              </w:rPr>
              <w:t xml:space="preserve"> </w:t>
            </w:r>
            <w:r>
              <w:rPr/>
              <w:t>Serviso vadovas</w:t>
            </w:r>
          </w:p>
          <w:p>
            <w:pPr>
              <w:pStyle w:val="Standard"/>
              <w:jc w:val="both"/>
              <w:rPr/>
            </w:pPr>
            <w:r>
              <w:rPr>
                <w:rFonts w:eastAsia="Times New Roman" w:cs="Times New Roman"/>
              </w:rPr>
              <w:t xml:space="preserve"> </w:t>
            </w:r>
            <w:r>
              <w:rPr/>
              <w:t>Rimvydas Brunius</w:t>
            </w:r>
          </w:p>
        </w:tc>
        <w:tc>
          <w:tcPr>
            <w:tcW w:w="5178" w:type="dxa"/>
            <w:tcBorders/>
          </w:tcPr>
          <w:p>
            <w:pPr>
              <w:pStyle w:val="Standard"/>
              <w:snapToGrid w:val="false"/>
              <w:jc w:val="both"/>
              <w:rPr/>
            </w:pPr>
            <w:r>
              <w:rPr/>
              <w:t>Direktorius</w:t>
            </w:r>
          </w:p>
          <w:p>
            <w:pPr>
              <w:pStyle w:val="Standard"/>
              <w:jc w:val="both"/>
              <w:rPr/>
            </w:pPr>
            <w:r>
              <w:rPr/>
              <w:t>Saulius Gudžius</w:t>
            </w:r>
          </w:p>
        </w:tc>
      </w:tr>
      <w:tr>
        <w:trPr/>
        <w:tc>
          <w:tcPr>
            <w:tcW w:w="4462" w:type="dxa"/>
            <w:tcBorders/>
          </w:tcPr>
          <w:p>
            <w:pPr>
              <w:pStyle w:val="Standard"/>
              <w:snapToGrid w:val="false"/>
              <w:jc w:val="both"/>
              <w:rPr/>
            </w:pPr>
            <w:r>
              <w:rPr/>
              <w:t>___________________________________</w:t>
            </w:r>
          </w:p>
        </w:tc>
        <w:tc>
          <w:tcPr>
            <w:tcW w:w="5178" w:type="dxa"/>
            <w:tcBorders/>
          </w:tcPr>
          <w:p>
            <w:pPr>
              <w:pStyle w:val="Standard"/>
              <w:snapToGrid w:val="false"/>
              <w:jc w:val="both"/>
              <w:rPr/>
            </w:pPr>
            <w:r>
              <w:rPr/>
              <w:t>__________________________</w:t>
            </w:r>
          </w:p>
        </w:tc>
      </w:tr>
      <w:tr>
        <w:trPr/>
        <w:tc>
          <w:tcPr>
            <w:tcW w:w="4462" w:type="dxa"/>
            <w:tcBorders/>
          </w:tcPr>
          <w:p>
            <w:pPr>
              <w:pStyle w:val="Standard"/>
              <w:snapToGrid w:val="false"/>
              <w:jc w:val="both"/>
              <w:rPr/>
            </w:pPr>
            <w:r>
              <w:rPr/>
            </w:r>
          </w:p>
        </w:tc>
        <w:tc>
          <w:tcPr>
            <w:tcW w:w="5178" w:type="dxa"/>
            <w:tcBorders/>
          </w:tcPr>
          <w:p>
            <w:pPr>
              <w:pStyle w:val="Standard"/>
              <w:snapToGrid w:val="false"/>
              <w:jc w:val="both"/>
              <w:rPr/>
            </w:pPr>
            <w:r>
              <w:rPr/>
            </w:r>
          </w:p>
        </w:tc>
      </w:tr>
    </w:tbl>
    <w:p>
      <w:pPr>
        <w:pStyle w:val="Standard"/>
        <w:jc w:val="both"/>
        <w:rPr/>
      </w:pPr>
      <w:r>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0"/>
    <w:family w:val="swiss"/>
    <w:pitch w:val="variable"/>
  </w:font>
  <w:font w:name="MT Symbol">
    <w:altName w:val="Symbol"/>
    <w:charset w:val="02"/>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Times">
    <w:altName w:val="Times New Roman"/>
    <w:charset w:val="00"/>
    <w:family w:val="roman"/>
    <w:pitch w:val="variable"/>
  </w:font>
  <w:font w:name="Courier New">
    <w:charset w:val="00"/>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0" w:hanging="0"/>
      </w:pPr>
      <w:rPr>
        <w:rFonts w:ascii="MT Symbol" w:hAnsi="MT Symbol" w:cs="MT Symbol" w:hint="default"/>
      </w:rPr>
    </w:lvl>
    <w:lvl w:ilvl="1">
      <w:start w:val="1"/>
      <w:numFmt w:val="decimal"/>
      <w:lvlText w:val="%2."/>
      <w:lvlJc w:val="left"/>
      <w:pPr>
        <w:tabs>
          <w:tab w:val="num" w:pos="0"/>
        </w:tabs>
        <w:ind w:left="0" w:hanging="0"/>
      </w:pPr>
    </w:lvl>
    <w:lvl w:ilvl="2">
      <w:start w:val="1"/>
      <w:numFmt w:val="decimal"/>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decimal"/>
      <w:lvlText w:val="%5."/>
      <w:lvlJc w:val="left"/>
      <w:pPr>
        <w:tabs>
          <w:tab w:val="num" w:pos="0"/>
        </w:tabs>
        <w:ind w:left="0" w:hanging="0"/>
      </w:pPr>
    </w:lvl>
    <w:lvl w:ilvl="5">
      <w:start w:val="1"/>
      <w:numFmt w:val="decimal"/>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decimal"/>
      <w:lvlText w:val="%8."/>
      <w:lvlJc w:val="left"/>
      <w:pPr>
        <w:tabs>
          <w:tab w:val="num" w:pos="0"/>
        </w:tabs>
        <w:ind w:left="0" w:hanging="0"/>
      </w:pPr>
    </w:lvl>
    <w:lvl w:ilvl="8">
      <w:start w:val="1"/>
      <w:numFmt w:val="decimal"/>
      <w:lvlText w:val="%9."/>
      <w:lvlJc w:val="left"/>
      <w:pPr>
        <w:tabs>
          <w:tab w:val="num" w:pos="0"/>
        </w:tabs>
        <w:ind w:left="0" w:hanging="0"/>
      </w:pPr>
    </w:lvl>
  </w:abstractNum>
  <w:abstractNum w:abstractNumId="2">
    <w:lvl w:ilvl="0">
      <w:numFmt w:val="bullet"/>
      <w:lvlText w:val=""/>
      <w:lvlJc w:val="left"/>
      <w:pPr>
        <w:tabs>
          <w:tab w:val="num" w:pos="0"/>
        </w:tabs>
        <w:ind w:left="0" w:hanging="0"/>
      </w:pPr>
      <w:rPr>
        <w:rFonts w:ascii="Symbol" w:hAnsi="Symbol" w:cs="Symbol" w:hint="default"/>
      </w:rPr>
    </w:lvl>
    <w:lvl w:ilvl="1">
      <w:start w:val="0"/>
      <w:numFmt w:val="bullet"/>
      <w:lvlText w:val="o"/>
      <w:lvlJc w:val="left"/>
      <w:pPr>
        <w:tabs>
          <w:tab w:val="num" w:pos="0"/>
        </w:tabs>
        <w:ind w:left="0" w:hanging="0"/>
      </w:pPr>
      <w:rPr>
        <w:rFonts w:ascii="Courier New" w:hAnsi="Courier New" w:cs="Courier New" w:hint="default"/>
      </w:rPr>
    </w:lvl>
    <w:lvl w:ilvl="2">
      <w:start w:val="0"/>
      <w:numFmt w:val="bullet"/>
      <w:lvlText w:val=""/>
      <w:lvlJc w:val="left"/>
      <w:pPr>
        <w:tabs>
          <w:tab w:val="num" w:pos="0"/>
        </w:tabs>
        <w:ind w:left="0" w:hanging="0"/>
      </w:pPr>
      <w:rPr>
        <w:rFonts w:ascii="Wingdings" w:hAnsi="Wingdings" w:cs="Wingdings" w:hint="default"/>
      </w:rPr>
    </w:lvl>
    <w:lvl w:ilvl="3">
      <w:start w:val="0"/>
      <w:numFmt w:val="bullet"/>
      <w:lvlText w:val=""/>
      <w:lvlJc w:val="left"/>
      <w:pPr>
        <w:tabs>
          <w:tab w:val="num" w:pos="0"/>
        </w:tabs>
        <w:ind w:left="0" w:hanging="0"/>
      </w:pPr>
      <w:rPr>
        <w:rFonts w:ascii="Symbol" w:hAnsi="Symbol" w:cs="Symbol" w:hint="default"/>
      </w:rPr>
    </w:lvl>
    <w:lvl w:ilvl="4">
      <w:start w:val="0"/>
      <w:numFmt w:val="bullet"/>
      <w:lvlText w:val="o"/>
      <w:lvlJc w:val="left"/>
      <w:pPr>
        <w:tabs>
          <w:tab w:val="num" w:pos="0"/>
        </w:tabs>
        <w:ind w:left="0" w:hanging="0"/>
      </w:pPr>
      <w:rPr>
        <w:rFonts w:ascii="Courier New" w:hAnsi="Courier New" w:cs="Courier New" w:hint="default"/>
      </w:rPr>
    </w:lvl>
    <w:lvl w:ilvl="5">
      <w:start w:val="0"/>
      <w:numFmt w:val="bullet"/>
      <w:lvlText w:val=""/>
      <w:lvlJc w:val="left"/>
      <w:pPr>
        <w:tabs>
          <w:tab w:val="num" w:pos="0"/>
        </w:tabs>
        <w:ind w:left="0" w:hanging="0"/>
      </w:pPr>
      <w:rPr>
        <w:rFonts w:ascii="Wingdings" w:hAnsi="Wingdings" w:cs="Wingdings" w:hint="default"/>
      </w:rPr>
    </w:lvl>
    <w:lvl w:ilvl="6">
      <w:start w:val="0"/>
      <w:numFmt w:val="bullet"/>
      <w:lvlText w:val=""/>
      <w:lvlJc w:val="left"/>
      <w:pPr>
        <w:tabs>
          <w:tab w:val="num" w:pos="0"/>
        </w:tabs>
        <w:ind w:left="0" w:hanging="0"/>
      </w:pPr>
      <w:rPr>
        <w:rFonts w:ascii="Symbol" w:hAnsi="Symbol" w:cs="Symbol" w:hint="default"/>
      </w:rPr>
    </w:lvl>
    <w:lvl w:ilvl="7">
      <w:start w:val="0"/>
      <w:numFmt w:val="bullet"/>
      <w:lvlText w:val="o"/>
      <w:lvlJc w:val="left"/>
      <w:pPr>
        <w:tabs>
          <w:tab w:val="num" w:pos="0"/>
        </w:tabs>
        <w:ind w:left="0" w:hanging="0"/>
      </w:pPr>
      <w:rPr>
        <w:rFonts w:ascii="Courier New" w:hAnsi="Courier New" w:cs="Courier New" w:hint="default"/>
      </w:rPr>
    </w:lvl>
    <w:lvl w:ilvl="8">
      <w:start w:val="0"/>
      <w:numFmt w:val="bullet"/>
      <w:lvlText w:val=""/>
      <w:lvlJc w:val="left"/>
      <w:pPr>
        <w:tabs>
          <w:tab w:val="num" w:pos="0"/>
        </w:tabs>
        <w:ind w:left="0" w:hanging="0"/>
      </w:pPr>
      <w:rPr>
        <w:rFonts w:ascii="Wingdings" w:hAnsi="Wingdings" w:cs="Wingdings" w:hint="default"/>
      </w:rPr>
    </w:lvl>
  </w:abstractNum>
  <w:abstractNum w:abstractNumId="3">
    <w:lvl w:ilvl="0">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0"/>
        </w:tabs>
        <w:ind w:left="0" w:hanging="0"/>
      </w:pPr>
    </w:lvl>
    <w:lvl w:ilvl="2">
      <w:start w:val="1"/>
      <w:numFmt w:val="decimal"/>
      <w:lvlText w:val="%3."/>
      <w:lvlJc w:val="left"/>
      <w:pPr>
        <w:tabs>
          <w:tab w:val="num" w:pos="0"/>
        </w:tabs>
        <w:ind w:left="0" w:hanging="0"/>
      </w:pPr>
    </w:lvl>
    <w:lvl w:ilvl="3">
      <w:start w:val="1"/>
      <w:numFmt w:val="decimal"/>
      <w:lvlText w:val="%4."/>
      <w:lvlJc w:val="left"/>
      <w:pPr>
        <w:tabs>
          <w:tab w:val="num" w:pos="0"/>
        </w:tabs>
        <w:ind w:left="0" w:hanging="0"/>
      </w:pPr>
    </w:lvl>
    <w:lvl w:ilvl="4">
      <w:start w:val="1"/>
      <w:numFmt w:val="decimal"/>
      <w:lvlText w:val="%5."/>
      <w:lvlJc w:val="left"/>
      <w:pPr>
        <w:tabs>
          <w:tab w:val="num" w:pos="0"/>
        </w:tabs>
        <w:ind w:left="0" w:hanging="0"/>
      </w:pPr>
    </w:lvl>
    <w:lvl w:ilvl="5">
      <w:start w:val="1"/>
      <w:numFmt w:val="decimal"/>
      <w:lvlText w:val="%6."/>
      <w:lvlJc w:val="left"/>
      <w:pPr>
        <w:tabs>
          <w:tab w:val="num" w:pos="0"/>
        </w:tabs>
        <w:ind w:left="0" w:hanging="0"/>
      </w:pPr>
    </w:lvl>
    <w:lvl w:ilvl="6">
      <w:start w:val="1"/>
      <w:numFmt w:val="decimal"/>
      <w:lvlText w:val="%7."/>
      <w:lvlJc w:val="left"/>
      <w:pPr>
        <w:tabs>
          <w:tab w:val="num" w:pos="0"/>
        </w:tabs>
        <w:ind w:left="0" w:hanging="0"/>
      </w:pPr>
    </w:lvl>
    <w:lvl w:ilvl="7">
      <w:start w:val="1"/>
      <w:numFmt w:val="decimal"/>
      <w:lvlText w:val="%8."/>
      <w:lvlJc w:val="left"/>
      <w:pPr>
        <w:tabs>
          <w:tab w:val="num" w:pos="0"/>
        </w:tabs>
        <w:ind w:left="0" w:hanging="0"/>
      </w:pPr>
    </w:lvl>
    <w:lvl w:ilvl="8">
      <w:start w:val="1"/>
      <w:numFmt w:val="decimal"/>
      <w:lvlText w:val="%9."/>
      <w:lvlJc w:val="left"/>
      <w:pPr>
        <w:tabs>
          <w:tab w:val="num" w:pos="0"/>
        </w:tabs>
        <w:ind w:left="0" w:hanging="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2"/>
    <w:lvlOverride w:ilvl="0">
      <w:startOverride w:val="0"/>
    </w:lvlOverride>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lt-LT" w:eastAsia="zh-CN" w:bidi="hi-IN"/>
      </w:rPr>
    </w:rPrDefault>
    <w:pPrDefault>
      <w:pPr>
        <w:suppressAutoHyphens w:val="true"/>
      </w:pPr>
    </w:pPrDefault>
  </w:docDefaults>
  <w:style w:type="paragraph" w:styleId="Normal">
    <w:name w:val="Normal"/>
    <w:qFormat/>
    <w:pPr>
      <w:widowControl/>
      <w:suppressAutoHyphens w:val="false"/>
      <w:bidi w:val="0"/>
    </w:pPr>
    <w:rPr>
      <w:rFonts w:ascii="Calibri" w:hAnsi="Calibri" w:eastAsia="Calibri" w:cs="Calibri"/>
      <w:color w:val="auto"/>
      <w:sz w:val="22"/>
      <w:szCs w:val="22"/>
      <w:lang w:val="en-US" w:bidi="ar-SA" w:eastAsia="zh-CN"/>
    </w:rPr>
  </w:style>
  <w:style w:type="character" w:styleId="WW8Num1z0">
    <w:name w:val="WW8Num1z0"/>
    <w:qFormat/>
    <w:rPr>
      <w:rFonts w:ascii="MT Symbol;Symbol" w:hAnsi="MT Symbol;Symbol" w:cs="MT Symbol;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DefaultParagraphFont">
    <w:name w:val="Default Paragraph Font"/>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St4z0">
    <w:name w:val="WW8NumSt4z0"/>
    <w:qFormat/>
    <w:rPr>
      <w:rFonts w:ascii="Symbol" w:hAnsi="Symbol" w:cs="Symbol"/>
    </w:rPr>
  </w:style>
  <w:style w:type="character" w:styleId="WW8NumSt1z0">
    <w:name w:val="WW8NumSt1z0"/>
    <w:qFormat/>
    <w:rPr>
      <w:rFonts w:ascii="MT Symbol;Symbol" w:hAnsi="MT Symbol;Symbol" w:cs="MT Symbol;Symbol"/>
    </w:rPr>
  </w:style>
  <w:style w:type="character" w:styleId="InternetLink">
    <w:name w:val="Hyperlink"/>
    <w:rPr>
      <w:color w:val="0000FF"/>
      <w:u w:val="single"/>
    </w:rPr>
  </w:style>
  <w:style w:type="character" w:styleId="CommentReference">
    <w:name w:val="Comment Reference"/>
    <w:qFormat/>
    <w:rPr>
      <w:sz w:val="16"/>
      <w:szCs w:val="16"/>
    </w:rPr>
  </w:style>
  <w:style w:type="character" w:styleId="CommentTextChar">
    <w:name w:val="Comment Text Char"/>
    <w:qFormat/>
    <w:rPr>
      <w:rFonts w:ascii="Calibri" w:hAnsi="Calibri" w:eastAsia="Calibri" w:cs="Calibri"/>
    </w:rPr>
  </w:style>
  <w:style w:type="character" w:styleId="CommentSubjectChar">
    <w:name w:val="Comment Subject Char"/>
    <w:qFormat/>
    <w:rPr>
      <w:rFonts w:ascii="Calibri" w:hAnsi="Calibri" w:eastAsia="Calibri" w:cs="Calibri"/>
      <w:b/>
      <w:bCs/>
    </w:rPr>
  </w:style>
  <w:style w:type="character" w:styleId="BalloonTextChar">
    <w:name w:val="Balloon Text Char"/>
    <w:qFormat/>
    <w:rPr>
      <w:rFonts w:ascii="Tahoma" w:hAnsi="Tahoma" w:eastAsia="Calibri" w:cs="Tahoma"/>
      <w:sz w:val="16"/>
      <w:szCs w:val="16"/>
    </w:rPr>
  </w:style>
  <w:style w:type="character" w:styleId="UnresolvedMention">
    <w:name w:val="Unresolved Mention"/>
    <w:qFormat/>
    <w:rPr>
      <w:color w:val="605E5C"/>
      <w:shd w:fill="E1DFDD" w:val="clear"/>
    </w:rPr>
  </w:style>
  <w:style w:type="character" w:styleId="HeaderChar">
    <w:name w:val="Header Char"/>
    <w:qFormat/>
    <w:rPr>
      <w:rFonts w:ascii="Calibri" w:hAnsi="Calibri" w:eastAsia="Calibri" w:cs="Calibri"/>
      <w:sz w:val="22"/>
      <w:szCs w:val="22"/>
      <w:lang w:val="en-US"/>
    </w:rPr>
  </w:style>
  <w:style w:type="character" w:styleId="FooterChar">
    <w:name w:val="Footer Char"/>
    <w:qFormat/>
    <w:rPr>
      <w:rFonts w:ascii="Calibri" w:hAnsi="Calibri" w:eastAsia="Calibri" w:cs="Calibri"/>
      <w:sz w:val="22"/>
      <w:szCs w:val="22"/>
      <w:lang w:val="en-US"/>
    </w:rPr>
  </w:style>
  <w:style w:type="paragraph" w:styleId="Heading">
    <w:name w:val="Heading"/>
    <w:basedOn w:val="Standard"/>
    <w:next w:val="Textbody1"/>
    <w:qFormat/>
    <w:pPr>
      <w:keepNext w:val="true"/>
      <w:spacing w:before="240" w:after="120"/>
    </w:pPr>
    <w:rPr>
      <w:rFonts w:ascii="Arial" w:hAnsi="Arial"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1"/>
    <w:pPr/>
    <w:rPr>
      <w:rFonts w:cs="Mangal"/>
    </w:rPr>
  </w:style>
  <w:style w:type="paragraph" w:styleId="Caption">
    <w:name w:val="Caption"/>
    <w:basedOn w:val="Standard"/>
    <w:qFormat/>
    <w:pPr>
      <w:suppressLineNumbers/>
      <w:spacing w:before="120" w:after="120"/>
    </w:pPr>
    <w:rPr>
      <w:rFonts w:cs="Mangal"/>
      <w:i/>
      <w:iCs/>
      <w:sz w:val="24"/>
      <w:szCs w:val="24"/>
    </w:rPr>
  </w:style>
  <w:style w:type="paragraph" w:styleId="Index">
    <w:name w:val="Index"/>
    <w:basedOn w:val="Standard"/>
    <w:qFormat/>
    <w:pPr>
      <w:suppressLineNumbers/>
    </w:pPr>
    <w:rPr>
      <w:rFonts w:cs="Mangal"/>
    </w:rPr>
  </w:style>
  <w:style w:type="paragraph" w:styleId="Standard">
    <w:name w:val="Standard"/>
    <w:qFormat/>
    <w:pPr>
      <w:widowControl w:val="false"/>
      <w:suppressAutoHyphens w:val="true"/>
      <w:bidi w:val="0"/>
      <w:textAlignment w:val="baseline"/>
    </w:pPr>
    <w:rPr>
      <w:rFonts w:ascii="Times New Roman" w:hAnsi="Times New Roman" w:eastAsia="SimSun;宋体" w:cs="Mangal"/>
      <w:color w:val="auto"/>
      <w:kern w:val="2"/>
      <w:sz w:val="24"/>
      <w:szCs w:val="24"/>
      <w:lang w:val="lt-LT" w:eastAsia="zh-CN" w:bidi="hi-IN"/>
    </w:rPr>
  </w:style>
  <w:style w:type="paragraph" w:styleId="Textbody1">
    <w:name w:val="Text body"/>
    <w:basedOn w:val="Standard"/>
    <w:qFormat/>
    <w:pPr>
      <w:spacing w:before="0" w:after="120"/>
    </w:pPr>
    <w:rPr/>
  </w:style>
  <w:style w:type="paragraph" w:styleId="TableContents">
    <w:name w:val="Table Contents"/>
    <w:basedOn w:val="Standard"/>
    <w:qFormat/>
    <w:pPr>
      <w:suppressLineNumber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513" w:leader="none"/>
        <w:tab w:val="right" w:pos="9026" w:leader="none"/>
      </w:tabs>
    </w:pPr>
    <w:rPr/>
  </w:style>
  <w:style w:type="paragraph" w:styleId="Footer">
    <w:name w:val="Footer"/>
    <w:basedOn w:val="Normal"/>
    <w:pPr>
      <w:tabs>
        <w:tab w:val="clear" w:pos="709"/>
        <w:tab w:val="center" w:pos="4513" w:leader="none"/>
        <w:tab w:val="right" w:pos="9026" w:leader="none"/>
      </w:tabs>
    </w:pPr>
    <w:rPr/>
  </w:style>
  <w:style w:type="paragraph" w:styleId="Revision">
    <w:name w:val="Revision"/>
    <w:qFormat/>
    <w:pPr>
      <w:widowControl/>
      <w:bidi w:val="0"/>
    </w:pPr>
    <w:rPr>
      <w:rFonts w:ascii="Calibri" w:hAnsi="Calibri" w:eastAsia="Calibri" w:cs="Calibri"/>
      <w:color w:val="auto"/>
      <w:sz w:val="22"/>
      <w:szCs w:val="22"/>
      <w:lang w:val="en-US" w:bidi="ar-SA" w:eastAsia="zh-CN"/>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imvydas@novakopa.lt" TargetMode="External"/><Relationship Id="rId3" Type="http://schemas.openxmlformats.org/officeDocument/2006/relationships/hyperlink" Target="mailto:itprojektai@novakopa.lt" TargetMode="External"/><Relationship Id="rId4" Type="http://schemas.openxmlformats.org/officeDocument/2006/relationships/hyperlink" Target="mailto:robertas.poskas@lei.lt" TargetMode="External"/><Relationship Id="rId5" Type="http://schemas.openxmlformats.org/officeDocument/2006/relationships/hyperlink" Target="mailto:pagalba@novakopa.l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20</TotalTime>
  <Application>LibreOffice/7.3.4.2$Windows_x86 LibreOffice_project/728fec16bd5f605073805c3c9e7c4212a0120dc5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2025-05-16T13:21:00Z</dcterms:created>
  <dc:creator>Darius</dc:creator>
  <dc:description/>
  <cp:keywords/>
  <dc:language>lt-LT</dc:language>
  <cp:lastModifiedBy>Lina Mockienė</cp:lastModifiedBy>
  <cp:lastPrinted>2022-03-29T08:44:00Z</cp:lastPrinted>
  <dcterms:modified xsi:type="dcterms:W3CDTF">2025-05-20T14:33:00Z</dcterms:modified>
  <cp:revision>6</cp:revision>
  <dc:subject/>
  <dc:title/>
</cp:coreProperties>
</file>