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752F" w14:textId="77777777" w:rsidR="00D329CC" w:rsidRDefault="00000000">
      <w:pPr>
        <w:widowControl w:val="0"/>
        <w:autoSpaceDE w:val="0"/>
        <w:spacing w:after="0"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lt-LT"/>
        </w:rPr>
        <w:t>ELEKTROS ENERGIJOS KAUPIKLIŲ OPTIMALIOS GALIOS IR TALPOS PARINKIMO KAUNO RAJONO SAVIVALDYBĖS ŠVIETIMO IR UGDYMO ĮSTAIGOMS</w:t>
      </w:r>
      <w: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lt-LT"/>
        </w:rPr>
        <w:t xml:space="preserve">STUDIJA (TECHNINIAI SKAIČIAVIMAI IR ANALIZĖ) </w:t>
      </w:r>
    </w:p>
    <w:p w14:paraId="47134A6A" w14:textId="77777777" w:rsidR="00D329CC" w:rsidRDefault="00D329CC">
      <w:pPr>
        <w:widowControl w:val="0"/>
        <w:autoSpaceDE w:val="0"/>
        <w:spacing w:after="0" w:line="240" w:lineRule="auto"/>
        <w:ind w:left="3169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4A1AA324" w14:textId="77777777" w:rsidR="00D329CC" w:rsidRDefault="00D329CC">
      <w:pPr>
        <w:widowControl w:val="0"/>
        <w:autoSpaceDE w:val="0"/>
        <w:spacing w:after="0" w:line="240" w:lineRule="auto"/>
        <w:ind w:left="3169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7AF185B9" w14:textId="77777777" w:rsidR="00D329CC" w:rsidRDefault="00000000">
      <w:pPr>
        <w:widowControl w:val="0"/>
        <w:autoSpaceDE w:val="0"/>
        <w:spacing w:after="0" w:line="240" w:lineRule="auto"/>
        <w:ind w:left="3169"/>
        <w:outlineLvl w:val="0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TECHNINĖ</w:t>
      </w:r>
      <w:r>
        <w:rPr>
          <w:rFonts w:ascii="Times New Roman" w:eastAsia="Times New Roman" w:hAnsi="Times New Roman"/>
          <w:b/>
          <w:bCs/>
          <w:spacing w:val="-5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</w:rPr>
        <w:t>SPECIFIKACIJA</w:t>
      </w:r>
    </w:p>
    <w:p w14:paraId="4D9E1BD8" w14:textId="77777777" w:rsidR="00D329CC" w:rsidRDefault="00D329CC">
      <w:pPr>
        <w:widowControl w:val="0"/>
        <w:autoSpaceDE w:val="0"/>
        <w:spacing w:after="0" w:line="240" w:lineRule="auto"/>
        <w:ind w:right="119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14:paraId="459F0D4D" w14:textId="77777777" w:rsidR="00D329CC" w:rsidRDefault="00000000">
      <w:pPr>
        <w:widowControl w:val="0"/>
        <w:autoSpaceDE w:val="0"/>
        <w:spacing w:after="0" w:line="240" w:lineRule="auto"/>
        <w:ind w:right="119"/>
        <w:jc w:val="both"/>
      </w:pPr>
      <w:r>
        <w:rPr>
          <w:rFonts w:ascii="Times New Roman" w:eastAsia="Times New Roman" w:hAnsi="Times New Roman"/>
          <w:b/>
          <w:kern w:val="0"/>
          <w:sz w:val="24"/>
        </w:rPr>
        <w:t>OBJEKTAS: KAUNO RAJONO SAVIVALDYBĖS ŠVIETIMO IR UGDYMO ĮSTAIGOS</w:t>
      </w:r>
    </w:p>
    <w:p w14:paraId="01CE2907" w14:textId="77777777" w:rsidR="00D329CC" w:rsidRDefault="00D329C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</w:rPr>
      </w:pPr>
    </w:p>
    <w:p w14:paraId="31F4285E" w14:textId="77777777" w:rsidR="00D329CC" w:rsidRDefault="00000000">
      <w:pPr>
        <w:widowControl w:val="0"/>
        <w:autoSpaceDE w:val="0"/>
        <w:spacing w:after="0" w:line="240" w:lineRule="auto"/>
        <w:ind w:left="106"/>
        <w:outlineLvl w:val="0"/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MOKSLINIO TYRIMO</w:t>
      </w:r>
      <w:r>
        <w:rPr>
          <w:rFonts w:ascii="Times New Roman" w:eastAsia="Times New Roman" w:hAnsi="Times New Roman"/>
          <w:b/>
          <w:bCs/>
          <w:spacing w:val="-4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</w:rPr>
        <w:t>UŽDAVINIAI</w:t>
      </w:r>
    </w:p>
    <w:p w14:paraId="7EBD73B7" w14:textId="77777777" w:rsidR="00D329CC" w:rsidRDefault="00D329CC">
      <w:pPr>
        <w:widowControl w:val="0"/>
        <w:autoSpaceDE w:val="0"/>
        <w:spacing w:after="0" w:line="240" w:lineRule="auto"/>
        <w:ind w:left="106"/>
        <w:outlineLvl w:val="0"/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</w:rPr>
      </w:pPr>
    </w:p>
    <w:p w14:paraId="450D1DF4" w14:textId="77777777" w:rsidR="00D329CC" w:rsidRDefault="00000000">
      <w:pPr>
        <w:widowControl w:val="0"/>
        <w:numPr>
          <w:ilvl w:val="0"/>
          <w:numId w:val="1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b/>
          <w:bCs/>
          <w:spacing w:val="-3"/>
          <w:kern w:val="0"/>
          <w:sz w:val="24"/>
          <w:szCs w:val="24"/>
        </w:rPr>
        <w:t xml:space="preserve">Atlikti švietimo ir ugdymo įstaigų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>elektros ūkio analizę</w:t>
      </w:r>
      <w:r>
        <w:rPr>
          <w:rFonts w:ascii="Times New Roman" w:eastAsia="Times New Roman" w:hAnsi="Times New Roman"/>
          <w:b/>
          <w:bCs/>
          <w:spacing w:val="-2"/>
          <w:kern w:val="0"/>
          <w:sz w:val="24"/>
          <w:szCs w:val="24"/>
        </w:rPr>
        <w:t>:</w:t>
      </w:r>
    </w:p>
    <w:p w14:paraId="2342F7D4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kern w:val="0"/>
          <w:sz w:val="24"/>
          <w:szCs w:val="24"/>
        </w:rPr>
        <w:t>Išnagrinėti bendrą mokymo įstaigų suvartojamą elektros kieko poreikį, įvertinant turimų saulės elektrinių pajėgumus bei elektros įvadų leistinas ribas;</w:t>
      </w:r>
    </w:p>
    <w:p w14:paraId="5B2A3FDA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Išnagrinėti galimų elektros energijos kaupiklių tipus, funkcionalumą;</w:t>
      </w:r>
    </w:p>
    <w:p w14:paraId="7EE0851A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Išnagrinėti elektros energijos kaupiklio pajungimą į vidaus tinklą;</w:t>
      </w:r>
    </w:p>
    <w:p w14:paraId="065F40C4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Išnagrinėti elektros energijos kaupiklio galimybę dalyvauti balansavimo paslaugų teikime.</w:t>
      </w:r>
    </w:p>
    <w:p w14:paraId="0F445EAC" w14:textId="77777777" w:rsidR="00D329CC" w:rsidRDefault="00D329CC">
      <w:pPr>
        <w:widowControl w:val="0"/>
        <w:autoSpaceDE w:val="0"/>
        <w:spacing w:after="0" w:line="240" w:lineRule="auto"/>
        <w:ind w:left="106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4CF09A31" w14:textId="77777777" w:rsidR="00D329CC" w:rsidRDefault="00000000">
      <w:pPr>
        <w:widowControl w:val="0"/>
        <w:numPr>
          <w:ilvl w:val="0"/>
          <w:numId w:val="1"/>
        </w:numPr>
        <w:autoSpaceDE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</w:rPr>
        <w:t xml:space="preserve">Atlikti elektros energijos kaupiklio ekonominį vertinimą: </w:t>
      </w:r>
    </w:p>
    <w:p w14:paraId="45581BFF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kern w:val="0"/>
          <w:sz w:val="24"/>
          <w:szCs w:val="24"/>
        </w:rPr>
        <w:t xml:space="preserve"> Paskaičiuoti optimalų elektros kaupiklių galingumą;</w:t>
      </w:r>
    </w:p>
    <w:p w14:paraId="6036E971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kern w:val="0"/>
          <w:sz w:val="24"/>
          <w:szCs w:val="24"/>
        </w:rPr>
        <w:t>Atlikti</w:t>
      </w:r>
      <w:r>
        <w:rPr>
          <w:rFonts w:ascii="Times New Roman" w:eastAsia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finansinių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sąnaudų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analizė</w:t>
      </w:r>
      <w:r>
        <w:rPr>
          <w:rFonts w:ascii="Times New Roman" w:eastAsia="Times New Roman" w:hAnsi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ir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nustatyti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investicijos</w:t>
      </w:r>
      <w:r>
        <w:rPr>
          <w:rFonts w:ascii="Times New Roman" w:eastAsia="Times New Roman" w:hAnsi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</w:rPr>
        <w:t>atsipirkimo</w:t>
      </w:r>
      <w:r>
        <w:rPr>
          <w:rFonts w:ascii="Times New Roman" w:eastAsia="Times New Roman" w:hAnsi="Times New Roman"/>
          <w:spacing w:val="-2"/>
          <w:kern w:val="0"/>
          <w:sz w:val="24"/>
          <w:szCs w:val="24"/>
        </w:rPr>
        <w:t xml:space="preserve"> laiką.</w:t>
      </w:r>
    </w:p>
    <w:p w14:paraId="35A66BCB" w14:textId="77777777" w:rsidR="00D329CC" w:rsidRDefault="00D329CC">
      <w:pPr>
        <w:widowControl w:val="0"/>
        <w:autoSpaceDE w:val="0"/>
        <w:spacing w:after="0" w:line="240" w:lineRule="auto"/>
        <w:ind w:left="106"/>
        <w:outlineLvl w:val="0"/>
        <w:rPr>
          <w:rFonts w:ascii="Times New Roman" w:eastAsia="Times New Roman" w:hAnsi="Times New Roman"/>
          <w:kern w:val="0"/>
          <w:sz w:val="24"/>
          <w:szCs w:val="24"/>
        </w:rPr>
      </w:pPr>
    </w:p>
    <w:p w14:paraId="4C82191F" w14:textId="77777777" w:rsidR="00D329CC" w:rsidRDefault="00000000">
      <w:pPr>
        <w:widowControl w:val="0"/>
        <w:numPr>
          <w:ilvl w:val="0"/>
          <w:numId w:val="1"/>
        </w:numPr>
        <w:tabs>
          <w:tab w:val="left" w:pos="-1172"/>
        </w:tabs>
        <w:autoSpaceDE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>Išanalizuoti finansavimo pritraukimo galimybės (aptarti finansavimo šaltinius ir paramos lėšų pritraukimo galimybės):</w:t>
      </w:r>
    </w:p>
    <w:p w14:paraId="360A93F4" w14:textId="77777777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kern w:val="0"/>
          <w:sz w:val="24"/>
          <w:szCs w:val="24"/>
        </w:rPr>
        <w:t>Įvertinti ES paramos finansavimo galimybes;</w:t>
      </w:r>
    </w:p>
    <w:p w14:paraId="4EDABB60" w14:textId="75F65BCF" w:rsidR="00D329CC" w:rsidRDefault="00000000">
      <w:pPr>
        <w:widowControl w:val="0"/>
        <w:numPr>
          <w:ilvl w:val="0"/>
          <w:numId w:val="2"/>
        </w:numPr>
        <w:autoSpaceDE w:val="0"/>
        <w:spacing w:after="0" w:line="240" w:lineRule="auto"/>
      </w:pPr>
      <w:r>
        <w:rPr>
          <w:rFonts w:ascii="Times New Roman" w:eastAsia="Times New Roman" w:hAnsi="Times New Roman"/>
          <w:kern w:val="0"/>
          <w:sz w:val="24"/>
          <w:szCs w:val="24"/>
        </w:rPr>
        <w:t>Įvertinti Invegos/ILTE fina</w:t>
      </w:r>
      <w:r w:rsidR="003C6A72">
        <w:rPr>
          <w:rFonts w:ascii="Times New Roman" w:eastAsia="Times New Roman" w:hAnsi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/>
          <w:kern w:val="0"/>
          <w:sz w:val="24"/>
          <w:szCs w:val="24"/>
        </w:rPr>
        <w:t>savimo galimybes.</w:t>
      </w:r>
    </w:p>
    <w:p w14:paraId="38533382" w14:textId="77777777" w:rsidR="00D329CC" w:rsidRDefault="00D329CC">
      <w:pPr>
        <w:widowControl w:val="0"/>
        <w:tabs>
          <w:tab w:val="left" w:pos="2132"/>
        </w:tabs>
        <w:autoSpaceDE w:val="0"/>
        <w:spacing w:after="0" w:line="240" w:lineRule="auto"/>
        <w:ind w:right="116"/>
        <w:rPr>
          <w:rFonts w:ascii="Times New Roman" w:eastAsia="Times New Roman" w:hAnsi="Times New Roman"/>
          <w:b/>
          <w:bCs/>
          <w:kern w:val="0"/>
          <w:sz w:val="24"/>
        </w:rPr>
      </w:pPr>
    </w:p>
    <w:p w14:paraId="6AEBCFB3" w14:textId="77777777" w:rsidR="00D329CC" w:rsidRDefault="00000000">
      <w:pPr>
        <w:widowControl w:val="0"/>
        <w:numPr>
          <w:ilvl w:val="0"/>
          <w:numId w:val="1"/>
        </w:numPr>
        <w:tabs>
          <w:tab w:val="left" w:pos="-1172"/>
        </w:tabs>
        <w:autoSpaceDE w:val="0"/>
        <w:spacing w:after="0" w:line="240" w:lineRule="auto"/>
        <w:ind w:right="116"/>
        <w:jc w:val="both"/>
        <w:rPr>
          <w:rFonts w:ascii="Times New Roman" w:eastAsia="Times New Roman" w:hAnsi="Times New Roman"/>
          <w:b/>
          <w:bCs/>
          <w:kern w:val="0"/>
          <w:sz w:val="24"/>
        </w:rPr>
      </w:pPr>
      <w:r>
        <w:rPr>
          <w:rFonts w:ascii="Times New Roman" w:eastAsia="Times New Roman" w:hAnsi="Times New Roman"/>
          <w:b/>
          <w:bCs/>
          <w:kern w:val="0"/>
          <w:sz w:val="24"/>
        </w:rPr>
        <w:t xml:space="preserve">Pateikti išvadas. </w:t>
      </w:r>
    </w:p>
    <w:p w14:paraId="738BFF2F" w14:textId="77777777" w:rsidR="00D329CC" w:rsidRDefault="00D329CC"/>
    <w:sectPr w:rsidR="00D329CC" w:rsidSect="00893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1CE8F" w14:textId="77777777" w:rsidR="00D14F17" w:rsidRDefault="00D14F17">
      <w:pPr>
        <w:spacing w:after="0" w:line="240" w:lineRule="auto"/>
      </w:pPr>
      <w:r>
        <w:separator/>
      </w:r>
    </w:p>
  </w:endnote>
  <w:endnote w:type="continuationSeparator" w:id="0">
    <w:p w14:paraId="00D35FB1" w14:textId="77777777" w:rsidR="00D14F17" w:rsidRDefault="00D1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77397" w14:textId="77777777" w:rsidR="00785D5D" w:rsidRDefault="00785D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B8E1" w14:textId="77777777" w:rsidR="00785D5D" w:rsidRDefault="00785D5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C7605" w14:textId="77777777" w:rsidR="00785D5D" w:rsidRDefault="00785D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1949B" w14:textId="77777777" w:rsidR="00D14F17" w:rsidRDefault="00D14F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930C24" w14:textId="77777777" w:rsidR="00D14F17" w:rsidRDefault="00D1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4212" w14:textId="77777777" w:rsidR="00785D5D" w:rsidRDefault="00785D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864D5" w14:textId="082845A1" w:rsidR="00F25D90" w:rsidRPr="00F25D90" w:rsidRDefault="00F25D90" w:rsidP="00F25D90">
    <w:pPr>
      <w:pStyle w:val="Antrats"/>
      <w:jc w:val="right"/>
      <w:rPr>
        <w:rFonts w:asciiTheme="majorBidi" w:hAnsiTheme="majorBidi" w:cstheme="majorBidi"/>
      </w:rPr>
    </w:pPr>
    <w:r w:rsidRPr="00F25D90">
      <w:rPr>
        <w:rFonts w:asciiTheme="majorBidi" w:hAnsiTheme="majorBidi" w:cstheme="majorBidi"/>
      </w:rPr>
      <w:t>Techninė specifikacija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387EE" w14:textId="77777777" w:rsidR="00785D5D" w:rsidRDefault="00785D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86A68"/>
    <w:multiLevelType w:val="multilevel"/>
    <w:tmpl w:val="DC8EB0FE"/>
    <w:lvl w:ilvl="0">
      <w:start w:val="1"/>
      <w:numFmt w:val="decimal"/>
      <w:lvlText w:val="%1."/>
      <w:lvlJc w:val="left"/>
      <w:pPr>
        <w:ind w:left="826" w:hanging="360"/>
      </w:pPr>
    </w:lvl>
    <w:lvl w:ilvl="1">
      <w:start w:val="1"/>
      <w:numFmt w:val="lowerLetter"/>
      <w:lvlText w:val="%2."/>
      <w:lvlJc w:val="left"/>
      <w:pPr>
        <w:ind w:left="1546" w:hanging="360"/>
      </w:pPr>
    </w:lvl>
    <w:lvl w:ilvl="2">
      <w:start w:val="1"/>
      <w:numFmt w:val="lowerRoman"/>
      <w:lvlText w:val="%3."/>
      <w:lvlJc w:val="right"/>
      <w:pPr>
        <w:ind w:left="2266" w:hanging="180"/>
      </w:pPr>
    </w:lvl>
    <w:lvl w:ilvl="3">
      <w:start w:val="1"/>
      <w:numFmt w:val="decimal"/>
      <w:lvlText w:val="%4."/>
      <w:lvlJc w:val="left"/>
      <w:pPr>
        <w:ind w:left="2986" w:hanging="360"/>
      </w:pPr>
    </w:lvl>
    <w:lvl w:ilvl="4">
      <w:start w:val="1"/>
      <w:numFmt w:val="lowerLetter"/>
      <w:lvlText w:val="%5."/>
      <w:lvlJc w:val="left"/>
      <w:pPr>
        <w:ind w:left="3706" w:hanging="360"/>
      </w:pPr>
    </w:lvl>
    <w:lvl w:ilvl="5">
      <w:start w:val="1"/>
      <w:numFmt w:val="lowerRoman"/>
      <w:lvlText w:val="%6."/>
      <w:lvlJc w:val="right"/>
      <w:pPr>
        <w:ind w:left="4426" w:hanging="180"/>
      </w:pPr>
    </w:lvl>
    <w:lvl w:ilvl="6">
      <w:start w:val="1"/>
      <w:numFmt w:val="decimal"/>
      <w:lvlText w:val="%7."/>
      <w:lvlJc w:val="left"/>
      <w:pPr>
        <w:ind w:left="5146" w:hanging="360"/>
      </w:pPr>
    </w:lvl>
    <w:lvl w:ilvl="7">
      <w:start w:val="1"/>
      <w:numFmt w:val="lowerLetter"/>
      <w:lvlText w:val="%8."/>
      <w:lvlJc w:val="left"/>
      <w:pPr>
        <w:ind w:left="5866" w:hanging="360"/>
      </w:pPr>
    </w:lvl>
    <w:lvl w:ilvl="8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69262E55"/>
    <w:multiLevelType w:val="multilevel"/>
    <w:tmpl w:val="6CA2F730"/>
    <w:lvl w:ilvl="0">
      <w:numFmt w:val="bullet"/>
      <w:lvlText w:val=""/>
      <w:lvlJc w:val="left"/>
      <w:pPr>
        <w:ind w:left="22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26" w:hanging="360"/>
      </w:pPr>
      <w:rPr>
        <w:rFonts w:ascii="Wingdings" w:hAnsi="Wingdings"/>
      </w:rPr>
    </w:lvl>
  </w:abstractNum>
  <w:num w:numId="1" w16cid:durableId="1220049054">
    <w:abstractNumId w:val="0"/>
  </w:num>
  <w:num w:numId="2" w16cid:durableId="102802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CC"/>
    <w:rsid w:val="00076274"/>
    <w:rsid w:val="001D7C7A"/>
    <w:rsid w:val="003C6A72"/>
    <w:rsid w:val="004D4193"/>
    <w:rsid w:val="005475FB"/>
    <w:rsid w:val="005D425F"/>
    <w:rsid w:val="00785D5D"/>
    <w:rsid w:val="00893D72"/>
    <w:rsid w:val="00991911"/>
    <w:rsid w:val="00D14F17"/>
    <w:rsid w:val="00D329CC"/>
    <w:rsid w:val="00DA27CC"/>
    <w:rsid w:val="00F2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514B"/>
  <w15:docId w15:val="{94C8B75D-342F-4ECE-8F93-C23FC87B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25D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5D90"/>
  </w:style>
  <w:style w:type="paragraph" w:styleId="Porat">
    <w:name w:val="footer"/>
    <w:basedOn w:val="prastasis"/>
    <w:link w:val="PoratDiagrama"/>
    <w:uiPriority w:val="99"/>
    <w:unhideWhenUsed/>
    <w:rsid w:val="00F25D9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Pupalė</dc:creator>
  <dc:description/>
  <cp:lastModifiedBy>Deimantė Mažeikaitė</cp:lastModifiedBy>
  <cp:revision>2</cp:revision>
  <dcterms:created xsi:type="dcterms:W3CDTF">2024-11-04T07:18:00Z</dcterms:created>
  <dcterms:modified xsi:type="dcterms:W3CDTF">2024-11-04T07:18:00Z</dcterms:modified>
</cp:coreProperties>
</file>