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0" w:leader="none"/>
        </w:tabs>
        <w:spacing w:lineRule="auto" w:line="276"/>
        <w:jc w:val="center"/>
        <w:rPr>
          <w:rFonts w:ascii="Calibri" w:hAnsi="Calibri" w:cs="Calibri"/>
        </w:rPr>
      </w:pPr>
      <w:r>
        <w:rPr>
          <w:rFonts w:cs="Calibri" w:ascii="Calibri" w:hAnsi="Calibri"/>
        </w:rPr>
      </w:r>
    </w:p>
    <w:p>
      <w:pPr>
        <w:pStyle w:val="Heading1"/>
        <w:tabs>
          <w:tab w:val="clear" w:pos="709"/>
          <w:tab w:val="left" w:pos="0" w:leader="none"/>
        </w:tabs>
        <w:spacing w:lineRule="auto" w:line="276"/>
        <w:jc w:val="center"/>
        <w:rPr>
          <w:rFonts w:ascii="Calibri" w:hAnsi="Calibri" w:cs="Calibri"/>
        </w:rPr>
      </w:pPr>
      <w:r>
        <w:rPr>
          <w:rFonts w:cs="Calibri" w:ascii="Calibri" w:hAnsi="Calibri"/>
          <w:b/>
        </w:rPr>
        <w:t>Skambučių valdymo sistemos paslaugų teikimo sutartis Nr.</w:t>
      </w:r>
    </w:p>
    <w:p>
      <w:pPr>
        <w:pStyle w:val="Normal"/>
        <w:spacing w:lineRule="auto" w:line="276"/>
        <w:jc w:val="center"/>
        <w:rPr>
          <w:rFonts w:ascii="Calibri" w:hAnsi="Calibri" w:cs="Calibri"/>
          <w:lang w:val="lt-LT"/>
        </w:rPr>
      </w:pPr>
      <w:r>
        <w:rPr>
          <w:rFonts w:cs="Calibri" w:ascii="Calibri" w:hAnsi="Calibri"/>
          <w:lang w:val="lt-LT"/>
        </w:rPr>
      </w:r>
    </w:p>
    <w:p>
      <w:pPr>
        <w:pStyle w:val="Normal"/>
        <w:spacing w:lineRule="auto" w:line="276"/>
        <w:jc w:val="center"/>
        <w:rPr>
          <w:rFonts w:ascii="Calibri" w:hAnsi="Calibri" w:cs="Calibri"/>
          <w:lang w:val="lt-LT"/>
        </w:rPr>
      </w:pPr>
      <w:r>
        <w:rPr>
          <w:rFonts w:cs="Calibri" w:ascii="Calibri" w:hAnsi="Calibri"/>
          <w:lang w:val="lt-LT"/>
        </w:rPr>
        <w:t>2025 m. balandžio     d. Nr.</w:t>
      </w:r>
    </w:p>
    <w:p>
      <w:pPr>
        <w:pStyle w:val="Normal"/>
        <w:spacing w:lineRule="auto" w:line="276"/>
        <w:jc w:val="center"/>
        <w:rPr>
          <w:rFonts w:ascii="Calibri" w:hAnsi="Calibri" w:cs="Calibri"/>
          <w:lang w:val="lt-LT"/>
        </w:rPr>
      </w:pPr>
      <w:r>
        <w:rPr>
          <w:rFonts w:cs="Calibri" w:ascii="Calibri" w:hAnsi="Calibri"/>
          <w:lang w:val="lt-LT"/>
        </w:rPr>
        <w:t>Vilnius</w:t>
      </w:r>
    </w:p>
    <w:p>
      <w:pPr>
        <w:pStyle w:val="Normal"/>
        <w:spacing w:lineRule="auto" w:line="276"/>
        <w:rPr>
          <w:rFonts w:ascii="Calibri" w:hAnsi="Calibri" w:cs="Calibri"/>
          <w:lang w:val="lt-LT"/>
        </w:rPr>
      </w:pPr>
      <w:r>
        <w:rPr>
          <w:rFonts w:cs="Calibri" w:ascii="Calibri" w:hAnsi="Calibri"/>
          <w:lang w:val="lt-LT"/>
        </w:rPr>
      </w:r>
    </w:p>
    <w:p>
      <w:pPr>
        <w:pStyle w:val="Normal"/>
        <w:spacing w:lineRule="auto" w:line="276"/>
        <w:jc w:val="both"/>
        <w:rPr>
          <w:rFonts w:ascii="Calibri" w:hAnsi="Calibri" w:cs="Calibri"/>
          <w:b/>
          <w:b/>
          <w:lang w:val="lt-LT"/>
        </w:rPr>
      </w:pPr>
      <w:r>
        <w:rPr>
          <w:rFonts w:cs="Calibri" w:ascii="Calibri" w:hAnsi="Calibri"/>
          <w:b/>
          <w:lang w:val="lt-LT"/>
        </w:rPr>
      </w:r>
    </w:p>
    <w:p>
      <w:pPr>
        <w:pStyle w:val="Normal"/>
        <w:spacing w:lineRule="auto" w:line="276"/>
        <w:jc w:val="both"/>
        <w:rPr>
          <w:rFonts w:ascii="Calibri" w:hAnsi="Calibri" w:cs="Calibri"/>
          <w:b/>
          <w:b/>
          <w:bCs/>
          <w:lang w:val="lt-LT"/>
        </w:rPr>
      </w:pPr>
      <w:r>
        <w:rPr>
          <w:rFonts w:cs="Calibri" w:ascii="Calibri" w:hAnsi="Calibri"/>
          <w:b/>
          <w:lang w:val="lt-LT"/>
        </w:rPr>
        <w:t xml:space="preserve">Lietuvos Respublikos teisingumo ministerija, </w:t>
      </w:r>
      <w:r>
        <w:rPr>
          <w:rFonts w:cs="Calibri" w:ascii="Calibri" w:hAnsi="Calibri"/>
          <w:lang w:val="lt-LT"/>
        </w:rPr>
        <w:t xml:space="preserve">atstovaujama Europos Sąjungos teisės grupės vadovo Karolio Dieninio, veikiančio pagal Lietuvos Respublikos teisingumo ministro 2025 m.  vasario 28 d. įsakymą Nr. 1R-63 „Dėl teisingumo viceministrų veiklos sričių, Lietuvos Respublikos teisingumo ministerijos kanclerio administravimo sričių sąrašo ir teisingumo viceministrų ir Lietuvos Respublikos teisingumo ministerijos kanclerio pavadavimo tvarkos aprašo patvirtinimo bei įgaliojimų suteikimo“, toliau vadinama Klientu, ir </w:t>
      </w:r>
      <w:r>
        <w:rPr>
          <w:rFonts w:cs="Calibri" w:ascii="Calibri" w:hAnsi="Calibri"/>
          <w:b/>
          <w:bCs/>
          <w:lang w:val="lt-LT"/>
        </w:rPr>
        <w:t>UAB „TELE2“</w:t>
      </w:r>
      <w:r>
        <w:rPr>
          <w:rFonts w:cs="Calibri" w:ascii="Calibri" w:hAnsi="Calibri"/>
          <w:lang w:val="lt-LT"/>
        </w:rPr>
        <w:t>, atstovaujama Viešojo sektoriaus projektų vadovės Giedrės Petkelienės, veikiančios pagal 2024 m. spalio 21 d. įgaliojimą Nr. IR-1713, toliau vadinama Tele2, toliau abi kartu – Šalys, sudarė šią sutartį, toliau vadinama Sutartimi:</w:t>
      </w:r>
    </w:p>
    <w:p>
      <w:pPr>
        <w:pStyle w:val="Normal"/>
        <w:spacing w:lineRule="auto" w:line="276"/>
        <w:jc w:val="both"/>
        <w:rPr>
          <w:rFonts w:ascii="Calibri" w:hAnsi="Calibri" w:cs="Calibri"/>
          <w:b/>
          <w:b/>
          <w:bCs/>
          <w:lang w:val="lt-LT"/>
        </w:rPr>
      </w:pPr>
      <w:r>
        <w:rPr>
          <w:rFonts w:cs="Calibri" w:ascii="Calibri" w:hAnsi="Calibri"/>
          <w:b/>
          <w:bCs/>
          <w:lang w:val="lt-LT"/>
        </w:rPr>
      </w:r>
    </w:p>
    <w:p>
      <w:pPr>
        <w:pStyle w:val="Normal"/>
        <w:spacing w:lineRule="auto" w:line="276"/>
        <w:jc w:val="both"/>
        <w:rPr/>
      </w:pPr>
      <w:r>
        <w:rPr>
          <w:rFonts w:cs="Calibri" w:ascii="Calibri" w:hAnsi="Calibri"/>
          <w:b/>
          <w:lang w:val="lt-LT"/>
        </w:rPr>
        <w:t>1. Sutarties dalykas</w:t>
      </w:r>
    </w:p>
    <w:p>
      <w:pPr>
        <w:pStyle w:val="Normal"/>
        <w:spacing w:lineRule="auto" w:line="276"/>
        <w:jc w:val="both"/>
        <w:rPr/>
      </w:pPr>
      <w:r>
        <w:rPr>
          <w:rFonts w:cs="Calibri" w:ascii="Calibri" w:hAnsi="Calibri"/>
          <w:lang w:val="lt-LT"/>
        </w:rPr>
        <w:t>1.1. Tele2 parduoda, o Klientas perka skambučių valdymo sistemos paslaugas (toliau – Paslaugas). Klientas už Paslaugas atsiskaito pagal Tele2 pateikiamas PVM sąskaitas-faktūras.</w:t>
      </w:r>
    </w:p>
    <w:p>
      <w:pPr>
        <w:pStyle w:val="Normal"/>
        <w:spacing w:lineRule="auto" w:line="276"/>
        <w:jc w:val="both"/>
        <w:rPr>
          <w:rFonts w:ascii="Calibri" w:hAnsi="Calibri" w:cs="Calibri"/>
          <w:b/>
          <w:b/>
          <w:lang w:val="lt-LT"/>
        </w:rPr>
      </w:pPr>
      <w:r>
        <w:rPr>
          <w:rFonts w:cs="Calibri" w:ascii="Calibri" w:hAnsi="Calibri"/>
          <w:b/>
          <w:lang w:val="lt-LT"/>
        </w:rPr>
      </w:r>
    </w:p>
    <w:p>
      <w:pPr>
        <w:pStyle w:val="Normal"/>
        <w:spacing w:lineRule="auto" w:line="276"/>
        <w:jc w:val="both"/>
        <w:rPr/>
      </w:pPr>
      <w:r>
        <w:rPr>
          <w:rFonts w:cs="Calibri" w:ascii="Calibri" w:hAnsi="Calibri"/>
          <w:b/>
          <w:lang w:val="lt-LT"/>
        </w:rPr>
        <w:t>2. Paslaugos</w:t>
      </w:r>
    </w:p>
    <w:p>
      <w:pPr>
        <w:pStyle w:val="Normal"/>
        <w:spacing w:lineRule="auto" w:line="276"/>
        <w:jc w:val="both"/>
        <w:rPr/>
      </w:pPr>
      <w:r>
        <w:rPr>
          <w:rFonts w:cs="Calibri" w:ascii="Calibri" w:hAnsi="Calibri"/>
          <w:lang w:val="lt-LT"/>
        </w:rPr>
        <w:t xml:space="preserve">2.1. Paslaugų techninė specifikacija pateikiama </w:t>
      </w:r>
      <w:bookmarkStart w:id="0" w:name="_Hlk187344764"/>
      <w:r>
        <w:rPr>
          <w:rFonts w:cs="Calibri" w:ascii="Calibri" w:hAnsi="Calibri"/>
          <w:lang w:val="lt-LT"/>
        </w:rPr>
        <w:t>Sutarties 1 priede</w:t>
      </w:r>
      <w:bookmarkEnd w:id="0"/>
      <w:r>
        <w:rPr>
          <w:rFonts w:cs="Calibri" w:ascii="Calibri" w:hAnsi="Calibri"/>
          <w:lang w:val="lt-LT"/>
        </w:rPr>
        <w:t xml:space="preserve">, o Paslaugų teikimo sąlygos – Sutarties 2 priede, kurie laikomi neatskiriama šios Sutarties dalimi. </w:t>
      </w:r>
    </w:p>
    <w:p>
      <w:pPr>
        <w:pStyle w:val="Normal"/>
        <w:spacing w:lineRule="auto" w:line="276"/>
        <w:jc w:val="both"/>
        <w:rPr>
          <w:rFonts w:ascii="Calibri" w:hAnsi="Calibri" w:cs="Calibri"/>
          <w:color w:val="000000"/>
          <w:lang w:val="lt-LT"/>
        </w:rPr>
      </w:pPr>
      <w:r>
        <w:rPr>
          <w:rFonts w:cs="Calibri" w:ascii="Calibri" w:hAnsi="Calibri"/>
          <w:color w:val="000000"/>
          <w:lang w:val="lt-LT"/>
        </w:rPr>
      </w:r>
    </w:p>
    <w:p>
      <w:pPr>
        <w:pStyle w:val="Normal"/>
        <w:spacing w:lineRule="auto" w:line="276"/>
        <w:jc w:val="both"/>
        <w:rPr/>
      </w:pPr>
      <w:r>
        <w:rPr>
          <w:rFonts w:cs="Calibri" w:ascii="Calibri" w:hAnsi="Calibri"/>
          <w:b/>
          <w:color w:val="000000"/>
          <w:lang w:val="lt-LT"/>
        </w:rPr>
        <w:t>3. Kainos ir nuolaidos</w:t>
      </w:r>
    </w:p>
    <w:p>
      <w:pPr>
        <w:pStyle w:val="Normal"/>
        <w:widowControl/>
        <w:tabs>
          <w:tab w:val="clear" w:pos="709"/>
          <w:tab w:val="left" w:pos="1418" w:leader="none"/>
        </w:tabs>
        <w:suppressAutoHyphens w:val="false"/>
        <w:spacing w:lineRule="auto" w:line="276"/>
        <w:jc w:val="both"/>
        <w:rPr>
          <w:rFonts w:ascii="Calibri" w:hAnsi="Calibri" w:cs="Calibri"/>
          <w:lang w:val="lt-LT"/>
        </w:rPr>
      </w:pPr>
      <w:r>
        <w:rPr>
          <w:rFonts w:cs="Calibri" w:ascii="Calibri" w:hAnsi="Calibri"/>
          <w:lang w:val="lt-LT"/>
        </w:rPr>
        <w:t xml:space="preserve">3.1. Maksimali sutarties kaina – 6000 Eur (šeši tūkstančiai eurų) su PVM. Mėnesinė Paslaugų kaina 1 abonentui – 3,50 Eur be Pridėtinės vertės mokesčio. </w:t>
      </w:r>
    </w:p>
    <w:p>
      <w:pPr>
        <w:pStyle w:val="Normal"/>
        <w:spacing w:lineRule="auto" w:line="276"/>
        <w:jc w:val="both"/>
        <w:rPr>
          <w:rFonts w:ascii="Calibri" w:hAnsi="Calibri" w:cs="Calibri"/>
          <w:color w:val="000000"/>
          <w:lang w:val="lt-LT"/>
        </w:rPr>
      </w:pPr>
      <w:r>
        <w:rPr>
          <w:rFonts w:cs="Calibri" w:ascii="Calibri" w:hAnsi="Calibri"/>
          <w:color w:val="000000"/>
          <w:lang w:val="lt-LT"/>
        </w:rPr>
        <w:t xml:space="preserve">3.2. Paslaugų įkainiai gali būti perskaičiuojami, kai pasikeičia pridėtinės vertės mokesčio, taikomo perkamoms paslaugoms, dydis ar įstatymais nustatomas kitas, paslaugų įkainį tiesiogiai įtakojantis mokestis. Įkainio pokyčio dydis yra proporcingas mokesčio pokyčio dydžiui. Perskaičiuotas įkainis taikomos toms paslaugoms, kurios bus suteiktos po įstatymo, keičiančio mokesčio dydį, įsigaliojimo, jeigu tame įstatyme nenumatyta kitaip. Perskaičiuoti Sutarties įkainiai įforminami Sutarties Šalių pasirašytu protokolu, kuris yra neatsiejama Sutarties dalis.  </w:t>
      </w:r>
    </w:p>
    <w:p>
      <w:pPr>
        <w:pStyle w:val="Normal"/>
        <w:spacing w:lineRule="auto" w:line="276"/>
        <w:jc w:val="both"/>
        <w:rPr>
          <w:rFonts w:ascii="Calibri" w:hAnsi="Calibri" w:cs="Calibri"/>
          <w:color w:val="000000"/>
          <w:lang w:val="lt-LT"/>
        </w:rPr>
      </w:pPr>
      <w:r>
        <w:rPr>
          <w:rFonts w:cs="Calibri" w:ascii="Calibri" w:hAnsi="Calibri"/>
          <w:color w:val="000000"/>
          <w:lang w:val="lt-LT"/>
        </w:rPr>
        <w:t xml:space="preserve">3.3. </w:t>
      </w:r>
      <w:r>
        <w:rPr>
          <w:rFonts w:cs="Calibri" w:ascii="Calibri" w:hAnsi="Calibri"/>
          <w:lang w:val="lt-LT"/>
        </w:rPr>
        <w:t xml:space="preserve">Bet kuri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papunktį dienos), jeigu paslaugų kainų pokytis (k), apskaičiuotas kaip nustatyta šiame papunktyje toliau pateikiamoje formulėje, viršija 10 procentų. Atlikdamos perskaičiavimą Šalys vadovaujasi Valstybės duomenų agentūros viešai oficialiosios statistikos portale paskelbtais rodiklių duomenų bazės duomenimis, iš kitos Šalies nereikalaudamos pateikti oficialaus šios agentūros ar kitos institucijos išduoto dokumento ar patvirtinimo. Sutarties įkainių perskaičiavimas įforminamas Šalių pasirašomu susitarimu, kuriame užfiksuojama perskaičiuota Sutarties kaina ir šio perskaičiavimo įsigaliojimo sąlygos. Šiame susitarime Šalys privalo nurodyti indekso reikšmę laikotarpio pradžioje ir jos nustatymo datą, indekso reikšmę laikotarpio pabaigoje ir jos nustatymo datą, kainų pokytį (k), perskaičiuotus įkainius ir perskaičiuotą pradinės Sutarties vertę. </w:t>
      </w:r>
      <w:r>
        <w:rPr>
          <w:rFonts w:cs="Calibri" w:ascii="Calibri" w:hAnsi="Calibri"/>
        </w:rPr>
        <w:t>Nauji įkainiai apskaičiuojami pagal formulę:</w:t>
      </w:r>
    </w:p>
    <w:p>
      <w:pPr>
        <w:pStyle w:val="Sraopastraipa"/>
        <w:tabs>
          <w:tab w:val="clear" w:pos="709"/>
          <w:tab w:val="left" w:pos="0" w:leader="none"/>
          <w:tab w:val="left" w:pos="1134" w:leader="none"/>
          <w:tab w:val="left" w:pos="1276" w:leader="none"/>
        </w:tabs>
        <w:spacing w:lineRule="auto" w:line="276"/>
        <w:ind w:left="0" w:firstLine="851"/>
        <w:jc w:val="both"/>
        <w:rPr/>
      </w:pPr>
      <w:r>
        <w:rPr>
          <w:rFonts w:cs="Cambria Math" w:ascii="Cambria Math" w:hAnsi="Cambria Math"/>
          <w:sz w:val="24"/>
          <w:szCs w:val="24"/>
        </w:rPr>
        <w:t>𝑎</w:t>
      </w:r>
      <w:r>
        <w:rPr>
          <w:rFonts w:cs="Calibri" w:ascii="Calibri" w:hAnsi="Calibri"/>
          <w:sz w:val="24"/>
          <w:szCs w:val="24"/>
        </w:rPr>
        <w:t>1=</w:t>
      </w:r>
      <w:r>
        <w:rPr>
          <w:rFonts w:cs="Cambria Math" w:ascii="Cambria Math" w:hAnsi="Cambria Math"/>
          <w:sz w:val="24"/>
          <w:szCs w:val="24"/>
        </w:rPr>
        <w:t>𝑎</w:t>
      </w:r>
      <w:r>
        <w:rPr>
          <w:rFonts w:cs="Calibri" w:ascii="Calibri" w:hAnsi="Calibri"/>
          <w:sz w:val="24"/>
          <w:szCs w:val="24"/>
        </w:rPr>
        <w:t>+(</w:t>
      </w:r>
      <w:r>
        <w:rPr>
          <w:rFonts w:cs="Cambria Math" w:ascii="Cambria Math" w:hAnsi="Cambria Math"/>
          <w:sz w:val="24"/>
          <w:szCs w:val="24"/>
        </w:rPr>
        <w:t>𝑘</w:t>
      </w:r>
      <w:r>
        <w:rPr>
          <w:rFonts w:cs="Calibri" w:ascii="Calibri" w:hAnsi="Calibri"/>
          <w:sz w:val="24"/>
          <w:szCs w:val="24"/>
        </w:rPr>
        <w:t>/100×</w:t>
      </w:r>
      <w:r>
        <w:rPr>
          <w:rFonts w:cs="Cambria Math" w:ascii="Cambria Math" w:hAnsi="Cambria Math"/>
          <w:sz w:val="24"/>
          <w:szCs w:val="24"/>
        </w:rPr>
        <w:t>𝑎</w:t>
      </w:r>
      <w:r>
        <w:rPr>
          <w:rFonts w:cs="Calibri" w:ascii="Calibri" w:hAnsi="Calibri"/>
          <w:sz w:val="24"/>
          <w:szCs w:val="24"/>
        </w:rPr>
        <w:t>), kur</w:t>
      </w:r>
    </w:p>
    <w:p>
      <w:pPr>
        <w:pStyle w:val="Sraopastraipa"/>
        <w:tabs>
          <w:tab w:val="clear" w:pos="709"/>
          <w:tab w:val="left" w:pos="0" w:leader="none"/>
          <w:tab w:val="left" w:pos="1134" w:leader="none"/>
          <w:tab w:val="left" w:pos="1276" w:leader="none"/>
        </w:tabs>
        <w:spacing w:lineRule="auto" w:line="276"/>
        <w:ind w:left="0" w:firstLine="851"/>
        <w:jc w:val="both"/>
        <w:rPr>
          <w:rFonts w:ascii="Calibri" w:hAnsi="Calibri" w:cs="Calibri"/>
          <w:sz w:val="24"/>
          <w:szCs w:val="24"/>
        </w:rPr>
      </w:pPr>
      <w:r>
        <w:rPr>
          <w:rFonts w:cs="Calibri" w:ascii="Calibri" w:hAnsi="Calibri"/>
          <w:sz w:val="24"/>
          <w:szCs w:val="24"/>
        </w:rPr>
        <w:t>a – įkainis (Eur be PVM)) (jei jis jau buvo perskaičiuotas, tai po paskutinio perskaičiavimo);</w:t>
      </w:r>
    </w:p>
    <w:p>
      <w:pPr>
        <w:pStyle w:val="Sraopastraipa"/>
        <w:tabs>
          <w:tab w:val="clear" w:pos="709"/>
          <w:tab w:val="left" w:pos="0" w:leader="none"/>
          <w:tab w:val="left" w:pos="1134" w:leader="none"/>
          <w:tab w:val="left" w:pos="1276" w:leader="none"/>
        </w:tabs>
        <w:spacing w:lineRule="auto" w:line="276"/>
        <w:ind w:left="0" w:firstLine="851"/>
        <w:jc w:val="both"/>
        <w:rPr>
          <w:rFonts w:ascii="Calibri" w:hAnsi="Calibri" w:cs="Calibri"/>
          <w:sz w:val="24"/>
          <w:szCs w:val="24"/>
        </w:rPr>
      </w:pPr>
      <w:r>
        <w:rPr>
          <w:rFonts w:cs="Calibri" w:ascii="Calibri" w:hAnsi="Calibri"/>
          <w:sz w:val="24"/>
          <w:szCs w:val="24"/>
        </w:rPr>
        <w:t>a1 – perskaičiuotas (pakeistas) įkainis (Eur be PVM);</w:t>
      </w:r>
    </w:p>
    <w:p>
      <w:pPr>
        <w:pStyle w:val="Sraopastraipa"/>
        <w:tabs>
          <w:tab w:val="clear" w:pos="709"/>
          <w:tab w:val="left" w:pos="0" w:leader="none"/>
          <w:tab w:val="left" w:pos="1134" w:leader="none"/>
          <w:tab w:val="left" w:pos="1276" w:leader="none"/>
        </w:tabs>
        <w:spacing w:lineRule="auto" w:line="276"/>
        <w:ind w:left="0" w:firstLine="851"/>
        <w:jc w:val="both"/>
        <w:rPr/>
      </w:pPr>
      <w:r>
        <w:rPr>
          <w:rFonts w:cs="Calibri" w:ascii="Calibri" w:hAnsi="Calibri"/>
          <w:sz w:val="24"/>
          <w:szCs w:val="24"/>
        </w:rPr>
        <w:t>k – pagal vartotojų kainų indeksą apskaičiuotas paslaugų kainų pokytis (padidėjimas arba sumažėjimas) (%). „k“ reikšmė skaičiuojama pagal formulę:</w:t>
      </w:r>
    </w:p>
    <w:p>
      <w:pPr>
        <w:pStyle w:val="Sraopastraipa"/>
        <w:tabs>
          <w:tab w:val="clear" w:pos="709"/>
          <w:tab w:val="left" w:pos="0" w:leader="none"/>
          <w:tab w:val="left" w:pos="1134" w:leader="none"/>
          <w:tab w:val="left" w:pos="1276" w:leader="none"/>
        </w:tabs>
        <w:spacing w:lineRule="auto" w:line="276"/>
        <w:ind w:left="0" w:firstLine="851"/>
        <w:jc w:val="both"/>
        <w:rPr/>
      </w:pPr>
      <w:r>
        <w:rPr>
          <w:rFonts w:cs="Cambria Math" w:ascii="Cambria Math" w:hAnsi="Cambria Math"/>
          <w:sz w:val="24"/>
          <w:szCs w:val="24"/>
        </w:rPr>
        <w:t>𝑘</w:t>
      </w:r>
      <w:r>
        <w:rPr>
          <w:rFonts w:eastAsia="Calibri" w:cs="Calibri" w:ascii="Calibri" w:hAnsi="Calibri"/>
          <w:sz w:val="24"/>
          <w:szCs w:val="24"/>
        </w:rPr>
        <w:t xml:space="preserve"> </w:t>
      </w:r>
      <w:r>
        <w:rPr>
          <w:rFonts w:cs="Calibri" w:ascii="Calibri" w:hAnsi="Calibri"/>
          <w:sz w:val="24"/>
          <w:szCs w:val="24"/>
        </w:rPr>
        <w:t xml:space="preserve">= </w:t>
      </w:r>
      <w:r>
        <w:fldChar w:fldCharType="begin"/>
      </w:r>
      <w:r>
        <w:rPr>
          <w:position w:val="-8"/>
          <w:sz w:val="24"/>
          <w:szCs w:val="24"/>
          <w:rFonts w:cs="Calibri" w:ascii="Calibri" w:hAnsi="Calibri"/>
        </w:rPr>
        <w:instrText xml:space="preserve"> QUOTE _x0001_ </w:instrText>
      </w:r>
      <w:r>
        <w:rPr>
          <w:rFonts w:cs="Calibri" w:ascii="Calibri" w:hAnsi="Calibri"/>
          <w:position w:val="-8"/>
          <w:sz w:val="24"/>
          <w:szCs w:val="24"/>
        </w:rPr>
      </w:r>
      <w:r>
        <w:rPr>
          <w:position w:val="-8"/>
          <w:sz w:val="24"/>
          <w:szCs w:val="24"/>
          <w:rFonts w:cs="Calibri" w:ascii="Calibri" w:hAnsi="Calibri"/>
        </w:rPr>
        <w:fldChar w:fldCharType="separate"/>
      </w:r>
      <w:r>
        <w:rPr>
          <w:rFonts w:cs="Calibri" w:ascii="Calibri" w:hAnsi="Calibri"/>
          <w:position w:val="-8"/>
          <w:sz w:val="24"/>
          <w:szCs w:val="24"/>
        </w:rPr>
      </w:r>
      <w:r>
        <w:rPr>
          <w:rFonts w:cs="Calibri" w:ascii="Calibri" w:hAnsi="Calibri"/>
          <w:position w:val="-8"/>
          <w:sz w:val="24"/>
          <w:szCs w:val="24"/>
        </w:rPr>
        <w:drawing>
          <wp:inline distT="0" distB="0" distL="0" distR="0">
            <wp:extent cx="847725" cy="2000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2" t="-180" r="-42" b="-180"/>
                    <a:stretch>
                      <a:fillRect/>
                    </a:stretch>
                  </pic:blipFill>
                  <pic:spPr bwMode="auto">
                    <a:xfrm>
                      <a:off x="0" y="0"/>
                      <a:ext cx="847725" cy="200025"/>
                    </a:xfrm>
                    <a:prstGeom prst="rect">
                      <a:avLst/>
                    </a:prstGeom>
                  </pic:spPr>
                </pic:pic>
              </a:graphicData>
            </a:graphic>
          </wp:inline>
        </w:drawing>
      </w:r>
      <w:r>
        <w:rPr>
          <w:rFonts w:cs="Calibri" w:ascii="Calibri" w:hAnsi="Calibri"/>
          <w:position w:val="-8"/>
          <w:sz w:val="24"/>
          <w:szCs w:val="24"/>
        </w:rPr>
      </w:r>
      <w:r>
        <w:rPr>
          <w:position w:val="-8"/>
          <w:sz w:val="24"/>
          <w:szCs w:val="24"/>
          <w:rFonts w:cs="Calibri" w:ascii="Calibri" w:hAnsi="Calibri"/>
        </w:rPr>
        <w:fldChar w:fldCharType="end"/>
      </w:r>
      <w:r>
        <w:rPr>
          <w:rFonts w:cs="Calibri" w:ascii="Calibri" w:hAnsi="Calibri"/>
          <w:sz w:val="24"/>
          <w:szCs w:val="24"/>
        </w:rPr>
        <w:t xml:space="preserve"> / </w:t>
      </w:r>
      <w:r>
        <w:fldChar w:fldCharType="begin"/>
      </w:r>
      <w:r>
        <w:rPr>
          <w:position w:val="-8"/>
          <w:sz w:val="24"/>
          <w:szCs w:val="24"/>
          <w:rFonts w:cs="Calibri" w:ascii="Calibri" w:hAnsi="Calibri"/>
        </w:rPr>
        <w:instrText xml:space="preserve"> QUOTE _x0001_ </w:instrText>
      </w:r>
      <w:r>
        <w:rPr>
          <w:rFonts w:cs="Calibri" w:ascii="Calibri" w:hAnsi="Calibri"/>
          <w:position w:val="-8"/>
          <w:sz w:val="24"/>
          <w:szCs w:val="24"/>
        </w:rPr>
      </w:r>
      <w:r>
        <w:rPr>
          <w:position w:val="-8"/>
          <w:sz w:val="24"/>
          <w:szCs w:val="24"/>
          <w:rFonts w:cs="Calibri" w:ascii="Calibri" w:hAnsi="Calibri"/>
        </w:rPr>
        <w:fldChar w:fldCharType="separate"/>
      </w:r>
      <w:r>
        <w:rPr>
          <w:rFonts w:cs="Calibri" w:ascii="Calibri" w:hAnsi="Calibri"/>
          <w:position w:val="-8"/>
          <w:sz w:val="24"/>
          <w:szCs w:val="24"/>
        </w:rPr>
      </w:r>
      <w:r>
        <w:rPr>
          <w:rFonts w:cs="Calibri" w:ascii="Calibri" w:hAnsi="Calibri"/>
          <w:position w:val="-8"/>
          <w:sz w:val="24"/>
          <w:szCs w:val="24"/>
        </w:rPr>
        <w:drawing>
          <wp:inline distT="0" distB="0" distL="0" distR="0">
            <wp:extent cx="657225" cy="2000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5" t="-180" r="-55" b="-180"/>
                    <a:stretch>
                      <a:fillRect/>
                    </a:stretch>
                  </pic:blipFill>
                  <pic:spPr bwMode="auto">
                    <a:xfrm>
                      <a:off x="0" y="0"/>
                      <a:ext cx="657225" cy="200025"/>
                    </a:xfrm>
                    <a:prstGeom prst="rect">
                      <a:avLst/>
                    </a:prstGeom>
                  </pic:spPr>
                </pic:pic>
              </a:graphicData>
            </a:graphic>
          </wp:inline>
        </w:drawing>
      </w:r>
      <w:r>
        <w:rPr>
          <w:rFonts w:cs="Calibri" w:ascii="Calibri" w:hAnsi="Calibri"/>
          <w:position w:val="-8"/>
          <w:sz w:val="24"/>
          <w:szCs w:val="24"/>
        </w:rPr>
      </w:r>
      <w:r>
        <w:rPr>
          <w:position w:val="-8"/>
          <w:sz w:val="24"/>
          <w:szCs w:val="24"/>
          <w:rFonts w:cs="Calibri" w:ascii="Calibri" w:hAnsi="Calibri"/>
        </w:rPr>
        <w:fldChar w:fldCharType="end"/>
      </w:r>
      <w:r>
        <w:rPr>
          <w:rFonts w:cs="Calibri" w:ascii="Calibri" w:hAnsi="Calibri"/>
          <w:sz w:val="24"/>
          <w:szCs w:val="24"/>
        </w:rPr>
        <w:t xml:space="preserve"> ×100−100 (proc.), kur</w:t>
      </w:r>
    </w:p>
    <w:p>
      <w:pPr>
        <w:pStyle w:val="Sraopastraipa"/>
        <w:tabs>
          <w:tab w:val="clear" w:pos="709"/>
          <w:tab w:val="left" w:pos="0" w:leader="none"/>
          <w:tab w:val="left" w:pos="1134" w:leader="none"/>
          <w:tab w:val="left" w:pos="1276" w:leader="none"/>
        </w:tabs>
        <w:spacing w:lineRule="auto" w:line="276"/>
        <w:ind w:left="0" w:firstLine="851"/>
        <w:jc w:val="both"/>
        <w:rPr/>
      </w:pPr>
      <w:r>
        <w:fldChar w:fldCharType="begin"/>
      </w:r>
      <w:r>
        <w:rPr>
          <w:position w:val="-8"/>
          <w:sz w:val="24"/>
          <w:szCs w:val="24"/>
          <w:rFonts w:cs="Calibri" w:ascii="Calibri" w:hAnsi="Calibri"/>
        </w:rPr>
        <w:instrText xml:space="preserve"> QUOTE _x0001_ </w:instrText>
      </w:r>
      <w:r>
        <w:rPr>
          <w:rFonts w:cs="Calibri" w:ascii="Calibri" w:hAnsi="Calibri"/>
          <w:position w:val="-8"/>
          <w:sz w:val="24"/>
          <w:szCs w:val="24"/>
        </w:rPr>
      </w:r>
      <w:r>
        <w:rPr>
          <w:position w:val="-8"/>
          <w:sz w:val="24"/>
          <w:szCs w:val="24"/>
          <w:rFonts w:cs="Calibri" w:ascii="Calibri" w:hAnsi="Calibri"/>
        </w:rPr>
        <w:fldChar w:fldCharType="separate"/>
      </w:r>
      <w:r>
        <w:rPr>
          <w:rFonts w:cs="Calibri" w:ascii="Calibri" w:hAnsi="Calibri"/>
          <w:position w:val="-8"/>
          <w:sz w:val="24"/>
          <w:szCs w:val="24"/>
        </w:rPr>
      </w:r>
      <w:r>
        <w:rPr>
          <w:rFonts w:cs="Calibri" w:ascii="Calibri" w:hAnsi="Calibri"/>
          <w:position w:val="-8"/>
          <w:sz w:val="24"/>
          <w:szCs w:val="24"/>
        </w:rPr>
        <w:drawing>
          <wp:inline distT="0" distB="0" distL="0" distR="0">
            <wp:extent cx="847725" cy="2000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2" t="-180" r="-42" b="-180"/>
                    <a:stretch>
                      <a:fillRect/>
                    </a:stretch>
                  </pic:blipFill>
                  <pic:spPr bwMode="auto">
                    <a:xfrm>
                      <a:off x="0" y="0"/>
                      <a:ext cx="847725" cy="200025"/>
                    </a:xfrm>
                    <a:prstGeom prst="rect">
                      <a:avLst/>
                    </a:prstGeom>
                  </pic:spPr>
                </pic:pic>
              </a:graphicData>
            </a:graphic>
          </wp:inline>
        </w:drawing>
      </w:r>
      <w:r>
        <w:rPr>
          <w:rFonts w:cs="Calibri" w:ascii="Calibri" w:hAnsi="Calibri"/>
          <w:position w:val="-8"/>
          <w:sz w:val="24"/>
          <w:szCs w:val="24"/>
        </w:rPr>
      </w:r>
      <w:r>
        <w:rPr>
          <w:position w:val="-8"/>
          <w:sz w:val="24"/>
          <w:szCs w:val="24"/>
          <w:rFonts w:cs="Calibri" w:ascii="Calibri" w:hAnsi="Calibri"/>
        </w:rPr>
        <w:fldChar w:fldCharType="end"/>
      </w:r>
      <w:r>
        <w:rPr>
          <w:rFonts w:cs="Calibri" w:ascii="Calibri" w:hAnsi="Calibri"/>
          <w:sz w:val="24"/>
          <w:szCs w:val="24"/>
        </w:rPr>
        <w:t>– kreipimosi dėl kainos perskaičiavimo išsiuntimo kitai Šaliai datą naujausias paskelbtas prekių indeksas;</w:t>
      </w:r>
    </w:p>
    <w:p>
      <w:pPr>
        <w:pStyle w:val="Sraopastraipa"/>
        <w:tabs>
          <w:tab w:val="clear" w:pos="709"/>
          <w:tab w:val="left" w:pos="0" w:leader="none"/>
          <w:tab w:val="left" w:pos="1134" w:leader="none"/>
          <w:tab w:val="left" w:pos="1276" w:leader="none"/>
        </w:tabs>
        <w:spacing w:lineRule="auto" w:line="276"/>
        <w:ind w:left="0" w:firstLine="851"/>
        <w:jc w:val="both"/>
        <w:rPr/>
      </w:pPr>
      <w:r>
        <w:fldChar w:fldCharType="begin"/>
      </w:r>
      <w:r>
        <w:rPr>
          <w:position w:val="-8"/>
          <w:sz w:val="24"/>
          <w:szCs w:val="24"/>
          <w:rFonts w:cs="Calibri" w:ascii="Calibri" w:hAnsi="Calibri"/>
        </w:rPr>
        <w:instrText xml:space="preserve"> QUOTE _x0001_ </w:instrText>
      </w:r>
      <w:r>
        <w:rPr>
          <w:rFonts w:cs="Calibri" w:ascii="Calibri" w:hAnsi="Calibri"/>
          <w:position w:val="-8"/>
          <w:sz w:val="24"/>
          <w:szCs w:val="24"/>
        </w:rPr>
      </w:r>
      <w:r>
        <w:rPr>
          <w:position w:val="-8"/>
          <w:sz w:val="24"/>
          <w:szCs w:val="24"/>
          <w:rFonts w:cs="Calibri" w:ascii="Calibri" w:hAnsi="Calibri"/>
        </w:rPr>
        <w:fldChar w:fldCharType="separate"/>
      </w:r>
      <w:r>
        <w:rPr>
          <w:rFonts w:cs="Calibri" w:ascii="Calibri" w:hAnsi="Calibri"/>
          <w:position w:val="-8"/>
          <w:sz w:val="24"/>
          <w:szCs w:val="24"/>
        </w:rPr>
      </w:r>
      <w:r>
        <w:rPr>
          <w:rFonts w:cs="Calibri" w:ascii="Calibri" w:hAnsi="Calibri"/>
          <w:position w:val="-8"/>
          <w:sz w:val="24"/>
          <w:szCs w:val="24"/>
        </w:rPr>
        <w:drawing>
          <wp:inline distT="0" distB="0" distL="0" distR="0">
            <wp:extent cx="657225" cy="20002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55" t="-180" r="-55" b="-180"/>
                    <a:stretch>
                      <a:fillRect/>
                    </a:stretch>
                  </pic:blipFill>
                  <pic:spPr bwMode="auto">
                    <a:xfrm>
                      <a:off x="0" y="0"/>
                      <a:ext cx="657225" cy="200025"/>
                    </a:xfrm>
                    <a:prstGeom prst="rect">
                      <a:avLst/>
                    </a:prstGeom>
                  </pic:spPr>
                </pic:pic>
              </a:graphicData>
            </a:graphic>
          </wp:inline>
        </w:drawing>
      </w:r>
      <w:r>
        <w:rPr>
          <w:rFonts w:cs="Calibri" w:ascii="Calibri" w:hAnsi="Calibri"/>
          <w:position w:val="-8"/>
          <w:sz w:val="24"/>
          <w:szCs w:val="24"/>
        </w:rPr>
      </w:r>
      <w:r>
        <w:rPr>
          <w:position w:val="-8"/>
          <w:sz w:val="24"/>
          <w:szCs w:val="24"/>
          <w:rFonts w:cs="Calibri" w:ascii="Calibri" w:hAnsi="Calibri"/>
        </w:rPr>
        <w:fldChar w:fldCharType="end"/>
      </w:r>
      <w:r>
        <w:rPr>
          <w:rFonts w:cs="Calibri" w:ascii="Calibri" w:hAnsi="Calibri"/>
          <w:sz w:val="24"/>
          <w:szCs w:val="24"/>
        </w:rPr>
        <w:t>– laikotarpio pradžios datos (mėnesio) prekių indeksas.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pPr>
        <w:pStyle w:val="Sraopastraipa"/>
        <w:tabs>
          <w:tab w:val="clear" w:pos="709"/>
          <w:tab w:val="left" w:pos="0" w:leader="none"/>
          <w:tab w:val="left" w:pos="1134" w:leader="none"/>
          <w:tab w:val="left" w:pos="1276" w:leader="none"/>
        </w:tabs>
        <w:spacing w:lineRule="auto" w:line="276"/>
        <w:ind w:left="0" w:firstLine="851"/>
        <w:jc w:val="both"/>
        <w:rPr/>
      </w:pPr>
      <w:r>
        <w:rPr>
          <w:rFonts w:cs="Calibri" w:ascii="Calibri" w:hAnsi="Calibri"/>
          <w:sz w:val="24"/>
          <w:szCs w:val="24"/>
        </w:rPr>
        <w:t xml:space="preserve">Atliekant skaičiavimus indeksų reikšmės imamos keturių skaitmenų po kablelio tikslumu. Apskaičiuotas pokytis (k), atliekant kitus skaičiavimus, naudojamas suapvalinus iki vieno skaitmens po kablelio, o apskaičiuotas įkainis „a“ suapvalinamas iki dviejų skaitmenų po kablelio. </w:t>
      </w:r>
    </w:p>
    <w:p>
      <w:pPr>
        <w:pStyle w:val="Sraopastraipa"/>
        <w:tabs>
          <w:tab w:val="clear" w:pos="709"/>
          <w:tab w:val="left" w:pos="0" w:leader="none"/>
          <w:tab w:val="left" w:pos="1134" w:leader="none"/>
          <w:tab w:val="left" w:pos="1276" w:leader="none"/>
        </w:tabs>
        <w:spacing w:lineRule="auto" w:line="276"/>
        <w:ind w:left="0" w:firstLine="851"/>
        <w:jc w:val="both"/>
        <w:rPr>
          <w:rFonts w:ascii="Calibri" w:hAnsi="Calibri" w:cs="Calibri"/>
          <w:sz w:val="24"/>
          <w:szCs w:val="24"/>
        </w:rPr>
      </w:pPr>
      <w:r>
        <w:rPr>
          <w:rFonts w:cs="Calibri" w:ascii="Calibri" w:hAnsi="Calibri"/>
          <w:sz w:val="24"/>
          <w:szCs w:val="24"/>
        </w:rPr>
        <w:t xml:space="preserve">Vėlesnis įkainių perskaičiavimas negali apimti to laikotarpio, kurio įkainių perskaičiavimas jau buvo atliktas. </w:t>
      </w:r>
    </w:p>
    <w:p>
      <w:pPr>
        <w:pStyle w:val="Normal"/>
        <w:spacing w:lineRule="auto" w:line="276"/>
        <w:jc w:val="both"/>
        <w:rPr>
          <w:rFonts w:ascii="Calibri" w:hAnsi="Calibri" w:cs="Calibri"/>
          <w:color w:val="000000"/>
          <w:sz w:val="24"/>
          <w:szCs w:val="24"/>
          <w:lang w:val="lt-LT"/>
        </w:rPr>
      </w:pPr>
      <w:r>
        <w:rPr>
          <w:rFonts w:cs="Calibri" w:ascii="Calibri" w:hAnsi="Calibri"/>
          <w:color w:val="000000"/>
          <w:sz w:val="24"/>
          <w:szCs w:val="24"/>
          <w:lang w:val="lt-LT"/>
        </w:rPr>
      </w:r>
    </w:p>
    <w:p>
      <w:pPr>
        <w:pStyle w:val="Normal"/>
        <w:spacing w:lineRule="auto" w:line="276"/>
        <w:jc w:val="both"/>
        <w:rPr>
          <w:rFonts w:ascii="Calibri" w:hAnsi="Calibri" w:cs="Calibri"/>
          <w:b/>
          <w:b/>
          <w:lang w:val="lt-LT"/>
        </w:rPr>
      </w:pPr>
      <w:r>
        <w:rPr>
          <w:rFonts w:cs="Calibri" w:ascii="Calibri" w:hAnsi="Calibri"/>
          <w:b/>
          <w:lang w:val="lt-LT"/>
        </w:rPr>
        <w:t>4. Tele2 įsipareigojimai ir teisės</w:t>
      </w:r>
    </w:p>
    <w:p>
      <w:pPr>
        <w:pStyle w:val="Normal"/>
        <w:spacing w:lineRule="auto" w:line="276"/>
        <w:jc w:val="both"/>
        <w:rPr>
          <w:rFonts w:ascii="Calibri" w:hAnsi="Calibri" w:cs="Calibri"/>
          <w:color w:val="000000"/>
          <w:lang w:val="lt-LT"/>
        </w:rPr>
      </w:pPr>
      <w:r>
        <w:rPr>
          <w:rFonts w:cs="Calibri" w:ascii="Calibri" w:hAnsi="Calibri"/>
          <w:lang w:val="lt-LT"/>
        </w:rPr>
        <w:t xml:space="preserve">4.1. Tele2 </w:t>
      </w:r>
      <w:r>
        <w:rPr>
          <w:rFonts w:cs="Calibri" w:ascii="Calibri" w:hAnsi="Calibri"/>
          <w:color w:val="000000"/>
          <w:lang w:val="lt-LT"/>
        </w:rPr>
        <w:t>įsipareigoja t</w:t>
      </w:r>
      <w:r>
        <w:rPr>
          <w:rFonts w:cs="Calibri" w:ascii="Calibri" w:hAnsi="Calibri"/>
          <w:lang w:val="lt-LT"/>
        </w:rPr>
        <w:t>eikti Klientui Paslaugas, atitinkančias tarptautinių standartų bei LR teisės aktų numatytus kokybės reikalavimus. Paslaugos pradedamos teikti per tris darbo dienas arba kitą Sutartyje numatytą terminą nuo šios Sutarties pasirašymo dienos, išskyrus atvejus, kuomet Klientas pateikė neteisingus duomenis.</w:t>
      </w:r>
    </w:p>
    <w:p>
      <w:pPr>
        <w:pStyle w:val="Normal"/>
        <w:spacing w:lineRule="auto" w:line="276"/>
        <w:jc w:val="both"/>
        <w:rPr/>
      </w:pPr>
      <w:r>
        <w:rPr>
          <w:rFonts w:cs="Calibri" w:ascii="Calibri" w:hAnsi="Calibri"/>
          <w:lang w:val="lt-LT"/>
        </w:rPr>
        <w:t>4.2. Tele2 turi teisę neteikti Paslaugų arba teikti Paslaugas ribota apimtimi ryšio tinklo profilaktikos ar remonto darbų laikotarpiu, tokia apimtimi, kuri reikalinga tokiems darbams atlikti. Tinklo profilaktikos ar remonto darbai, esant galimybėms, vykdomi mažiausiomis tinklo apkrovos valandomis.</w:t>
      </w:r>
    </w:p>
    <w:p>
      <w:pPr>
        <w:pStyle w:val="Normal"/>
        <w:spacing w:lineRule="auto" w:line="276"/>
        <w:jc w:val="both"/>
        <w:rPr>
          <w:rFonts w:ascii="Calibri" w:hAnsi="Calibri" w:cs="Calibri"/>
          <w:lang w:val="lt-LT"/>
        </w:rPr>
      </w:pPr>
      <w:r>
        <w:rPr>
          <w:rFonts w:cs="Calibri" w:ascii="Calibri" w:hAnsi="Calibri"/>
          <w:lang w:val="lt-LT"/>
        </w:rPr>
        <w:t>4.3. Tele2 įsipareigoja pašalinti atsiradusius telefono ryšio tinklo infrastruktūros gedimus ne vėliau kaip per dvi darbo dienas nuo informacijos apie šiuo gedimus gavimo dienos. Gedimai šalinami iki Tele2 bazinės stoties.</w:t>
      </w:r>
    </w:p>
    <w:p>
      <w:pPr>
        <w:pStyle w:val="Normal"/>
        <w:spacing w:lineRule="auto" w:line="276"/>
        <w:jc w:val="both"/>
        <w:rPr/>
      </w:pPr>
      <w:r>
        <w:rPr>
          <w:rFonts w:cs="Calibri" w:ascii="Calibri" w:hAnsi="Calibri"/>
          <w:lang w:val="lt-LT"/>
        </w:rPr>
        <w:t>4.4. Tele2 įsipareigoja užtikrinti judriojo ryšio slaptumą pagal Lietuvos Respublikos įstatymus.</w:t>
      </w:r>
    </w:p>
    <w:p>
      <w:pPr>
        <w:pStyle w:val="Normal"/>
        <w:spacing w:lineRule="auto" w:line="276"/>
        <w:jc w:val="both"/>
        <w:rPr/>
      </w:pPr>
      <w:r>
        <w:rPr>
          <w:rFonts w:cs="Calibri" w:ascii="Calibri" w:hAnsi="Calibri"/>
          <w:lang w:val="lt-LT"/>
        </w:rPr>
        <w:t>4.5. Tele2 pareiškia ir patvirtina, kad turi visus ir bet kokius Paslaugoms teikti reikalingus leidimus, licencijas, sutikimus ir kt., todėl teikiant Paslaugas nebus pažeistos jokios trečiųjų asmenų teisės ir (arba) teisėti interesai.</w:t>
      </w:r>
    </w:p>
    <w:p>
      <w:pPr>
        <w:pStyle w:val="Normal"/>
        <w:spacing w:lineRule="auto" w:line="276"/>
        <w:jc w:val="both"/>
        <w:rPr>
          <w:rFonts w:ascii="Calibri" w:hAnsi="Calibri" w:cs="Calibri"/>
          <w:lang w:val="lt-LT"/>
        </w:rPr>
      </w:pPr>
      <w:r>
        <w:rPr>
          <w:rFonts w:cs="Calibri" w:ascii="Calibri" w:hAnsi="Calibri"/>
          <w:lang w:val="lt-LT"/>
        </w:rPr>
      </w:r>
    </w:p>
    <w:p>
      <w:pPr>
        <w:pStyle w:val="Normal"/>
        <w:spacing w:lineRule="auto" w:line="276"/>
        <w:jc w:val="both"/>
        <w:rPr>
          <w:rFonts w:ascii="Calibri" w:hAnsi="Calibri" w:cs="Calibri"/>
          <w:b/>
          <w:b/>
          <w:lang w:val="lt-LT"/>
        </w:rPr>
      </w:pPr>
      <w:r>
        <w:rPr>
          <w:rFonts w:cs="Calibri" w:ascii="Calibri" w:hAnsi="Calibri"/>
          <w:b/>
          <w:lang w:val="lt-LT"/>
        </w:rPr>
        <w:t>5. Kliento įsipareigojimai ir teisės</w:t>
      </w:r>
    </w:p>
    <w:p>
      <w:pPr>
        <w:pStyle w:val="Normal"/>
        <w:spacing w:lineRule="auto" w:line="276"/>
        <w:jc w:val="both"/>
        <w:rPr>
          <w:rFonts w:ascii="Calibri" w:hAnsi="Calibri" w:cs="Calibri"/>
          <w:color w:val="000000"/>
          <w:lang w:val="lt-LT"/>
        </w:rPr>
      </w:pPr>
      <w:r>
        <w:rPr>
          <w:rFonts w:cs="Calibri" w:ascii="Calibri" w:hAnsi="Calibri"/>
          <w:lang w:val="lt-LT"/>
        </w:rPr>
        <w:t xml:space="preserve">5.1. Klientas </w:t>
      </w:r>
      <w:r>
        <w:rPr>
          <w:rFonts w:cs="Calibri" w:ascii="Calibri" w:hAnsi="Calibri"/>
          <w:color w:val="000000"/>
          <w:lang w:val="lt-LT"/>
        </w:rPr>
        <w:t>įsipareigoja laiku atsiskaityti už suteiktas paslaugas pagal Tele2 pateikiamas PVM sąskaitas-faktūras.</w:t>
      </w:r>
    </w:p>
    <w:p>
      <w:pPr>
        <w:pStyle w:val="Normal"/>
        <w:spacing w:lineRule="auto" w:line="276"/>
        <w:jc w:val="both"/>
        <w:rPr/>
      </w:pPr>
      <w:r>
        <w:rPr>
          <w:rFonts w:cs="Calibri" w:ascii="Calibri" w:hAnsi="Calibri"/>
          <w:lang w:val="lt-LT"/>
        </w:rPr>
        <w:t>5.2. Klientas turi teisę pareikšti pretenzijas dėl Paslaugų kokybės, jei ji neatitinka Tele2 pasiūlyme deklaruotos paslaugų kokybės.</w:t>
      </w:r>
    </w:p>
    <w:p>
      <w:pPr>
        <w:pStyle w:val="Normal"/>
        <w:widowControl/>
        <w:tabs>
          <w:tab w:val="clear" w:pos="709"/>
          <w:tab w:val="left" w:pos="360" w:leader="none"/>
        </w:tabs>
        <w:suppressAutoHyphens w:val="false"/>
        <w:spacing w:lineRule="auto" w:line="276"/>
        <w:ind w:right="-902" w:hanging="0"/>
        <w:jc w:val="both"/>
        <w:rPr>
          <w:rFonts w:ascii="Calibri" w:hAnsi="Calibri" w:cs="Calibri"/>
          <w:lang w:val="lt-LT"/>
        </w:rPr>
      </w:pPr>
      <w:r>
        <w:rPr>
          <w:rFonts w:cs="Calibri" w:ascii="Calibri" w:hAnsi="Calibri"/>
          <w:lang w:val="lt-LT"/>
        </w:rPr>
        <w:t>5.3. Klientas turi teisę papildomą mokestį gauti detalią informaciją apie apmokestinamas Paslaugas.</w:t>
      </w:r>
    </w:p>
    <w:p>
      <w:pPr>
        <w:pStyle w:val="Normal"/>
        <w:spacing w:lineRule="auto" w:line="276"/>
        <w:jc w:val="both"/>
        <w:rPr>
          <w:rFonts w:ascii="Calibri" w:hAnsi="Calibri" w:cs="Calibri"/>
          <w:lang w:val="lt-LT"/>
        </w:rPr>
      </w:pPr>
      <w:r>
        <w:rPr>
          <w:rFonts w:cs="Calibri" w:ascii="Calibri" w:hAnsi="Calibri"/>
          <w:lang w:val="lt-LT"/>
        </w:rPr>
        <w:t>5.4. Klientas įsipareigoja Tele2 tinkle naudoti tik techniškai tvarkingą ryšio paslaugų gavimo įrangą, laikytis įrangos naudojimo instrukcijų bei kitų reikalavimų, neatlikti veiksmų, kurie sukeltų pavojų ar darytų žalą Tele2 tinklui, SIM kortelei ar įrangai, naudotis Paslaugomis nepažeidžiant trečiųjų asmenų teisėtų interesų bei atsakyti už visus dėl šios pareigos pažeidimo atsiradusius nuostolius. Kliento naudojama ryšio paslaugų gavimo įranga turi atitikti Lietuvos Respublikoje galiojančius reikalavimus tokiai įrangai.</w:t>
      </w:r>
    </w:p>
    <w:p>
      <w:pPr>
        <w:pStyle w:val="Normal"/>
        <w:spacing w:lineRule="auto" w:line="276"/>
        <w:jc w:val="both"/>
        <w:rPr/>
      </w:pPr>
      <w:r>
        <w:rPr>
          <w:rFonts w:cs="Calibri" w:ascii="Calibri" w:hAnsi="Calibri"/>
          <w:lang w:val="lt-LT"/>
        </w:rPr>
        <w:t>5.5. Klientas turi nedelsiant raštu informuoti Tele2 apie įmonės pavadinimo, Sutartyje nurodytų adresų, elektroninio pašto adreso, telefono, fakso, banko sąskaitos duomenų, įmonės įgalioto asmens pakeitimus. Tele2 neatsako už Kliento patirtą žalą, susijusią su šios pareigos neįvykdymu.</w:t>
      </w:r>
    </w:p>
    <w:p>
      <w:pPr>
        <w:pStyle w:val="Normal"/>
        <w:spacing w:lineRule="auto" w:line="276"/>
        <w:jc w:val="both"/>
        <w:rPr/>
      </w:pPr>
      <w:r>
        <w:rPr>
          <w:rFonts w:cs="Calibri" w:ascii="Calibri" w:hAnsi="Calibri"/>
          <w:lang w:val="lt-LT"/>
        </w:rPr>
        <w:t xml:space="preserve">5.6. Klientas privalo nedelsiant informuoti Tele2 apie SIM kortelės praradimą, netekimą ar sugadinimą, įskaitant, bet neapsiribojant, tuos atvejus, kai SIM kortelė  buvo prarasta dėl vagystės, ir panašiais atvejais. Apie šiuos faktus Klientas privalo žodžiu pranešti Tele2 klientų aptarnavimo skyriui Sutartyje nurodytais telefono numeriais. Paslaugų teikimas sustabdomas per 1 valandą nuo Kliento žodinio pranešimo gavimo. Iki Tele2 informavimo Klientas atsako už bet kokią žalą ar nuostolius, susijusius su aukščiau minėtomis aplinkybėmis (pavyzdžiui, kai prarasta SIM kortele pasinaudoja tretysis asmuo ir pan). </w:t>
      </w:r>
    </w:p>
    <w:p>
      <w:pPr>
        <w:pStyle w:val="Normal"/>
        <w:spacing w:lineRule="auto" w:line="276"/>
        <w:jc w:val="both"/>
        <w:rPr>
          <w:rFonts w:ascii="Calibri" w:hAnsi="Calibri" w:cs="Calibri"/>
          <w:lang w:val="lt-LT"/>
        </w:rPr>
      </w:pPr>
      <w:r>
        <w:rPr>
          <w:rFonts w:cs="Calibri" w:ascii="Calibri" w:hAnsi="Calibri"/>
          <w:lang w:val="lt-LT"/>
        </w:rPr>
      </w:r>
    </w:p>
    <w:p>
      <w:pPr>
        <w:pStyle w:val="Normal"/>
        <w:spacing w:lineRule="auto" w:line="276"/>
        <w:jc w:val="both"/>
        <w:rPr/>
      </w:pPr>
      <w:r>
        <w:rPr>
          <w:rFonts w:cs="Calibri" w:ascii="Calibri" w:hAnsi="Calibri"/>
          <w:b/>
          <w:lang w:val="lt-LT"/>
        </w:rPr>
        <w:t>6. Atsiskaitymo tvarka</w:t>
      </w:r>
    </w:p>
    <w:p>
      <w:pPr>
        <w:pStyle w:val="Normal"/>
        <w:spacing w:lineRule="auto" w:line="276"/>
        <w:jc w:val="both"/>
        <w:rPr/>
      </w:pPr>
      <w:r>
        <w:rPr>
          <w:rFonts w:cs="Calibri" w:ascii="Calibri" w:hAnsi="Calibri"/>
          <w:lang w:val="lt-LT"/>
        </w:rPr>
        <w:t xml:space="preserve">6.1. Pasibaigus ataskaitiniam laikotarpiui – kalendoriniam mėnesiui, Tele2 per dešimt dienų pateikia Klientui sąskaitą naudojantis sąskaitų administravimo bendrąja informacine sistema (SABIS).  </w:t>
      </w:r>
    </w:p>
    <w:p>
      <w:pPr>
        <w:pStyle w:val="Normal"/>
        <w:spacing w:lineRule="auto" w:line="276"/>
        <w:jc w:val="both"/>
        <w:rPr/>
      </w:pPr>
      <w:r>
        <w:rPr>
          <w:rFonts w:cs="Calibri" w:ascii="Calibri" w:hAnsi="Calibri"/>
          <w:lang w:val="lt-LT"/>
        </w:rPr>
        <w:t xml:space="preserve">6.2. </w:t>
      </w:r>
      <w:r>
        <w:rPr>
          <w:rFonts w:cs="Calibri" w:ascii="Calibri" w:hAnsi="Calibri"/>
          <w:color w:val="000000"/>
          <w:lang w:val="lt-LT"/>
        </w:rPr>
        <w:t>Apmokėjimas atliekamas į Tele2 nurodytą banko sąskaitą pagal pateiktas sąskaitas-faktūras, per 30 dienų nuo sąskaitos-faktūros išrašymo dienos.</w:t>
      </w:r>
    </w:p>
    <w:p>
      <w:pPr>
        <w:pStyle w:val="Normal"/>
        <w:spacing w:lineRule="auto" w:line="276"/>
        <w:jc w:val="both"/>
        <w:rPr>
          <w:rFonts w:ascii="Calibri" w:hAnsi="Calibri" w:cs="Calibri"/>
          <w:color w:val="000000"/>
          <w:lang w:val="lt-LT"/>
        </w:rPr>
      </w:pPr>
      <w:r>
        <w:rPr>
          <w:rFonts w:cs="Calibri" w:ascii="Calibri" w:hAnsi="Calibri"/>
          <w:color w:val="000000"/>
          <w:lang w:val="lt-LT"/>
        </w:rPr>
        <w:t xml:space="preserve">6.3. </w:t>
      </w:r>
      <w:r>
        <w:rPr>
          <w:rFonts w:cs="Calibri" w:ascii="Calibri" w:hAnsi="Calibri"/>
          <w:lang w:val="lt-LT"/>
        </w:rPr>
        <w:t>Jeigu Klientas nustatytu laiku neapmoka sąskaitos, Klientas, Tele2 pareikalavus, privalo mokėti Tele2 0,02 procento dydžio delspinigius už kiekvieną uždelstą dieną, skaičiuojant nuo laiku neapmokėtos sumos.</w:t>
      </w:r>
    </w:p>
    <w:p>
      <w:pPr>
        <w:pStyle w:val="Normal"/>
        <w:spacing w:lineRule="auto" w:line="276"/>
        <w:jc w:val="both"/>
        <w:rPr>
          <w:rFonts w:ascii="Calibri" w:hAnsi="Calibri" w:cs="Calibri"/>
          <w:color w:val="000000"/>
          <w:lang w:val="lt-LT"/>
        </w:rPr>
      </w:pPr>
      <w:r>
        <w:rPr>
          <w:rFonts w:cs="Calibri" w:ascii="Calibri" w:hAnsi="Calibri"/>
          <w:color w:val="000000"/>
          <w:lang w:val="lt-LT"/>
        </w:rPr>
      </w:r>
    </w:p>
    <w:p>
      <w:pPr>
        <w:pStyle w:val="Normal"/>
        <w:spacing w:lineRule="auto" w:line="276"/>
        <w:jc w:val="both"/>
        <w:rPr>
          <w:rFonts w:ascii="Calibri" w:hAnsi="Calibri" w:cs="Calibri"/>
          <w:b/>
          <w:b/>
          <w:lang w:val="lt-LT"/>
        </w:rPr>
      </w:pPr>
      <w:r>
        <w:rPr>
          <w:rFonts w:cs="Calibri" w:ascii="Calibri" w:hAnsi="Calibri"/>
          <w:b/>
          <w:lang w:val="lt-LT"/>
        </w:rPr>
        <w:t>7. Šalių atsakomybė</w:t>
      </w:r>
    </w:p>
    <w:p>
      <w:pPr>
        <w:pStyle w:val="Normal"/>
        <w:spacing w:lineRule="auto" w:line="276"/>
        <w:jc w:val="both"/>
        <w:rPr/>
      </w:pPr>
      <w:r>
        <w:rPr>
          <w:rFonts w:cs="Calibri" w:ascii="Calibri" w:hAnsi="Calibri"/>
          <w:lang w:val="lt-LT"/>
        </w:rPr>
        <w:t>7</w:t>
      </w:r>
      <w:r>
        <w:rPr>
          <w:rFonts w:cs="Calibri" w:ascii="Calibri" w:hAnsi="Calibri"/>
          <w:color w:val="000000"/>
          <w:lang w:val="lt-LT"/>
        </w:rPr>
        <w:t>.1. Šalys atsako už tai, kad Sutartyje nustatyti įsipareigojimai būtų vykdomi tinkamai ir laiku, Lietuvos Respublikos įstatymų nustatyta tvarka.</w:t>
      </w:r>
    </w:p>
    <w:p>
      <w:pPr>
        <w:pStyle w:val="Normal"/>
        <w:spacing w:lineRule="auto" w:line="276"/>
        <w:jc w:val="both"/>
        <w:rPr/>
      </w:pPr>
      <w:r>
        <w:rPr>
          <w:rFonts w:cs="Calibri" w:ascii="Calibri" w:hAnsi="Calibri"/>
          <w:color w:val="000000"/>
          <w:lang w:val="lt-LT"/>
        </w:rPr>
        <w:t xml:space="preserve">7.2. </w:t>
      </w:r>
      <w:r>
        <w:rPr>
          <w:rFonts w:cs="Calibri" w:ascii="Calibri" w:hAnsi="Calibri"/>
          <w:lang w:val="lt-LT"/>
        </w:rPr>
        <w:t>Jeigu Klientas negalėjo naudotis Tele2 Paslaugomis dėl Tele2 kaltės bei patyrė žalą, žalos atlyginimo klausimas yra sprendžiamas Šalių susitarimu arba įstatymų nustatyta tvarka.</w:t>
      </w:r>
    </w:p>
    <w:p>
      <w:pPr>
        <w:pStyle w:val="Normal"/>
        <w:spacing w:lineRule="auto" w:line="276"/>
        <w:jc w:val="both"/>
        <w:rPr/>
      </w:pPr>
      <w:r>
        <w:rPr>
          <w:rFonts w:cs="Calibri" w:ascii="Calibri" w:hAnsi="Calibri"/>
          <w:lang w:val="lt-LT"/>
        </w:rPr>
        <w:t>7.3. Tele2 neatsako už Kliento patirtus nuostolius dėl Tele2 tinklo sutrikimų, išskyrus atvejus, jeigu šie nuostoliai buvo sąlygoti Tele2 tyčios ar didelio neatsargumo. Tele2 jokiais atvejais neatsako už netiesioginius Kliento nuostolius.</w:t>
      </w:r>
    </w:p>
    <w:p>
      <w:pPr>
        <w:pStyle w:val="Normal"/>
        <w:spacing w:lineRule="auto" w:line="276"/>
        <w:jc w:val="both"/>
        <w:rPr/>
      </w:pPr>
      <w:r>
        <w:rPr>
          <w:rFonts w:cs="Calibri" w:ascii="Calibri" w:hAnsi="Calibri"/>
          <w:lang w:val="lt-LT"/>
        </w:rPr>
        <w:t>7.4. Tele2 neatsako už telefono ryšio užtikrinimą ir jo kokybę, taip pat už Kliento patirtą žalą, jeigu Klientas naudoja ryšio įrangą, neatitinkančią Europos Sąjungos ir/ar Lietuvos Respublikos teisės aktais nustatytų reikalavimų, Sutarties reikalavimų arba nepritaikytą veikti Lietuvoje, o taip pat - jei yra naudojama įranga su pakeistu identifikacijos (IMEI) kodu.</w:t>
      </w:r>
    </w:p>
    <w:p>
      <w:pPr>
        <w:pStyle w:val="Normal"/>
        <w:spacing w:lineRule="auto" w:line="276"/>
        <w:jc w:val="both"/>
        <w:rPr/>
      </w:pPr>
      <w:r>
        <w:rPr>
          <w:rFonts w:cs="Calibri" w:ascii="Calibri" w:hAnsi="Calibri"/>
          <w:lang w:val="lt-LT"/>
        </w:rPr>
        <w:t>7.5. Tele2 neatsako už telefono ryšio užtikrinimą ir jo kokybę, taip pat už Kliento patirtą žalą, jei Tele2 tinklas buvo išjungtas Lietuvos Respublikos kompetentingų institucijų nustatytų Tele2 tinklo išjungimo privalomiems profilaktiniams patikrinimams ir išjungimams dėl gedimų laiko limito ribose.</w:t>
      </w:r>
    </w:p>
    <w:p>
      <w:pPr>
        <w:pStyle w:val="Normal"/>
        <w:spacing w:lineRule="auto" w:line="276"/>
        <w:jc w:val="both"/>
        <w:rPr/>
      </w:pPr>
      <w:r>
        <w:rPr>
          <w:rFonts w:cs="Calibri" w:ascii="Calibri" w:hAnsi="Calibri"/>
          <w:lang w:val="lt-LT"/>
        </w:rPr>
        <w:t>7.6. Šalys neatsako už savo sutartinių įsipareigojimų nevykdymą, jeigu tai sąlygoja nenugalimos jėgos aplinkybės. Sutarties Šalis, kuri dėl nenugalimos jėgos aplinkybių negali įvykdyti prisiimtų įsipareigojimų, nedelsdama privalo registruotu laišku apie tai informuoti kitą Sutarties Šalį. Netinkamas kitos Šalies informavimas ar informacijos nepateikimas atima iš Šalies teisę remtis minėtomis aplinkybėmis kaip pagrindu, atleidžiančiu nuo atsakomybės dėl prisiimtų įsipareigojimų netinkamo vykdymo ar nevykdymo.</w:t>
      </w:r>
    </w:p>
    <w:p>
      <w:pPr>
        <w:pStyle w:val="Normal"/>
        <w:spacing w:lineRule="auto" w:line="276"/>
        <w:jc w:val="both"/>
        <w:rPr/>
      </w:pPr>
      <w:r>
        <w:rPr>
          <w:rFonts w:cs="Calibri" w:ascii="Calibri" w:hAnsi="Calibri"/>
          <w:lang w:val="lt-LT"/>
        </w:rPr>
        <w:t>7.7. Tele2 atlygina Šalių sutarto ar atsakingos institucijos nustatyto dydžio nuostolius, įskaitant šią sumą į būsimus mokėjimus už Paslaugas, arba pervedant šią sumą į Kliento nurodytą sąskaitą, jeigu Klientas nebesinaudoja Tele2 paslaugomis.</w:t>
      </w:r>
    </w:p>
    <w:p>
      <w:pPr>
        <w:pStyle w:val="Normal"/>
        <w:spacing w:lineRule="auto" w:line="276"/>
        <w:jc w:val="both"/>
        <w:rPr/>
      </w:pPr>
      <w:r>
        <w:rPr>
          <w:rFonts w:cs="Calibri" w:ascii="Calibri" w:hAnsi="Calibri"/>
          <w:lang w:val="lt-LT"/>
        </w:rPr>
        <w:t>7.8. Įsiskolinęs Klientas privalo atlyginti visas pagrįstas išlaidas, susijusias su įsiskolinimo priteisimu ir išieškojimu, įskaitant pretenzijos pareiškimo pašto išlaidas, kreditoriaus apsilankymo pas skolininką išlaidas, kreditoriaus išlaidas tretiesiems asmenims už tarpininkavimą susigrąžinant skolą, teisinių paslaugų bei teismo išlaidas.</w:t>
      </w:r>
    </w:p>
    <w:p>
      <w:pPr>
        <w:pStyle w:val="Normal"/>
        <w:widowControl/>
        <w:numPr>
          <w:ilvl w:val="1"/>
          <w:numId w:val="3"/>
        </w:numPr>
        <w:tabs>
          <w:tab w:val="clear" w:pos="709"/>
          <w:tab w:val="left" w:pos="426" w:leader="none"/>
        </w:tabs>
        <w:suppressAutoHyphens w:val="false"/>
        <w:spacing w:lineRule="auto" w:line="276"/>
        <w:ind w:left="0" w:hanging="0"/>
        <w:jc w:val="both"/>
        <w:rPr>
          <w:rFonts w:ascii="Calibri" w:hAnsi="Calibri" w:cs="Calibri"/>
          <w:b/>
          <w:b/>
          <w:bCs/>
          <w:lang w:val="lt-LT"/>
        </w:rPr>
      </w:pPr>
      <w:r>
        <w:rPr>
          <w:rFonts w:cs="Calibri" w:ascii="Calibri" w:hAnsi="Calibri"/>
          <w:lang w:val="lt-LT"/>
        </w:rPr>
        <w:t xml:space="preserve">Už Sutarties tinkamą vykdymą Tele2 skiria atsakingą viešojo sektoriaus projektų vadovė Giedrė Petkelienė tel. +37060944484 el. p. </w:t>
      </w:r>
      <w:hyperlink r:id="rId6">
        <w:r>
          <w:rPr>
            <w:rStyle w:val="InternetLink"/>
            <w:rFonts w:cs="Calibri"/>
            <w:lang w:val="lt-LT"/>
          </w:rPr>
          <w:t>giedre.petkeliene</w:t>
        </w:r>
        <w:r>
          <w:rPr>
            <w:rStyle w:val="InternetLink"/>
            <w:rFonts w:cs="Calibri"/>
          </w:rPr>
          <w:t>@tele2.lt</w:t>
        </w:r>
      </w:hyperlink>
      <w:r>
        <w:rPr>
          <w:rFonts w:cs="Calibri" w:ascii="Calibri" w:hAnsi="Calibri"/>
        </w:rPr>
        <w:t xml:space="preserve">. </w:t>
      </w:r>
      <w:r>
        <w:rPr>
          <w:rFonts w:cs="Calibri" w:ascii="Calibri" w:hAnsi="Calibri"/>
          <w:lang w:val="lt-LT"/>
        </w:rPr>
        <w:t xml:space="preserve"> </w:t>
      </w:r>
    </w:p>
    <w:p>
      <w:pPr>
        <w:pStyle w:val="Normal"/>
        <w:widowControl/>
        <w:numPr>
          <w:ilvl w:val="1"/>
          <w:numId w:val="3"/>
        </w:numPr>
        <w:tabs>
          <w:tab w:val="clear" w:pos="709"/>
          <w:tab w:val="left" w:pos="426" w:leader="none"/>
          <w:tab w:val="left" w:pos="567" w:leader="none"/>
        </w:tabs>
        <w:suppressAutoHyphens w:val="false"/>
        <w:spacing w:lineRule="auto" w:line="276"/>
        <w:ind w:left="0" w:hanging="0"/>
        <w:jc w:val="both"/>
        <w:rPr>
          <w:rFonts w:ascii="Calibri" w:hAnsi="Calibri" w:cs="Calibri"/>
          <w:b/>
          <w:b/>
          <w:bCs/>
          <w:lang w:val="lt-LT"/>
        </w:rPr>
      </w:pPr>
      <w:r>
        <w:rPr>
          <w:rFonts w:cs="Calibri" w:ascii="Calibri" w:hAnsi="Calibri"/>
          <w:lang w:val="lt-LT"/>
        </w:rPr>
        <w:t xml:space="preserve">Už Sutarties tinkamą vykdymą Klientas skiria atsakingą Turto valdymo ir aprūpinimo skyriaus vyriausiąjį specialistą  Egidijų Trakšelį, tel. </w:t>
      </w:r>
      <w:r>
        <w:rPr>
          <w:rFonts w:cs="Calibri" w:ascii="Calibri" w:hAnsi="Calibri"/>
        </w:rPr>
        <w:t>+370 687 16828</w:t>
      </w:r>
      <w:r>
        <w:rPr>
          <w:rFonts w:cs="Calibri" w:ascii="Calibri" w:hAnsi="Calibri"/>
          <w:lang w:val="lt-LT"/>
        </w:rPr>
        <w:t xml:space="preserve">, el. p. </w:t>
      </w:r>
      <w:hyperlink r:id="rId7">
        <w:r>
          <w:rPr>
            <w:rStyle w:val="InternetLink"/>
            <w:rFonts w:cs="Calibri" w:ascii="Calibri" w:hAnsi="Calibri"/>
            <w:lang w:val="lt-LT"/>
          </w:rPr>
          <w:t>egidijus.trakselis@tm.lt</w:t>
        </w:r>
      </w:hyperlink>
      <w:r>
        <w:rPr>
          <w:rFonts w:cs="Calibri" w:ascii="Calibri" w:hAnsi="Calibri"/>
          <w:lang w:val="lt-LT"/>
        </w:rPr>
        <w:t xml:space="preserve">. </w:t>
      </w:r>
    </w:p>
    <w:p>
      <w:pPr>
        <w:pStyle w:val="Normal"/>
        <w:spacing w:lineRule="auto" w:line="276"/>
        <w:jc w:val="both"/>
        <w:rPr>
          <w:rFonts w:ascii="Calibri" w:hAnsi="Calibri" w:cs="Calibri"/>
          <w:b/>
          <w:b/>
          <w:bCs/>
          <w:lang w:val="lt-LT"/>
        </w:rPr>
      </w:pPr>
      <w:r>
        <w:rPr>
          <w:rFonts w:cs="Calibri" w:ascii="Calibri" w:hAnsi="Calibri"/>
          <w:b/>
          <w:bCs/>
          <w:lang w:val="lt-LT"/>
        </w:rPr>
      </w:r>
    </w:p>
    <w:p>
      <w:pPr>
        <w:pStyle w:val="Normal"/>
        <w:spacing w:lineRule="auto" w:line="276"/>
        <w:rPr>
          <w:rFonts w:ascii="Calibri" w:hAnsi="Calibri" w:cs="Calibri"/>
          <w:b/>
          <w:b/>
          <w:lang w:val="lt-LT"/>
        </w:rPr>
      </w:pPr>
      <w:r>
        <w:rPr>
          <w:rFonts w:cs="Calibri" w:ascii="Calibri" w:hAnsi="Calibri"/>
          <w:b/>
          <w:lang w:val="lt-LT"/>
        </w:rPr>
        <w:t>8. Kitos sąlygos</w:t>
      </w:r>
    </w:p>
    <w:p>
      <w:pPr>
        <w:pStyle w:val="Normal"/>
        <w:tabs>
          <w:tab w:val="clear" w:pos="709"/>
          <w:tab w:val="left" w:pos="0" w:leader="none"/>
        </w:tabs>
        <w:spacing w:lineRule="auto" w:line="276"/>
        <w:ind w:right="82" w:hanging="0"/>
        <w:jc w:val="both"/>
        <w:rPr/>
      </w:pPr>
      <w:r>
        <w:rPr>
          <w:rFonts w:cs="Calibri" w:ascii="Calibri" w:hAnsi="Calibri"/>
          <w:lang w:val="lt-LT"/>
        </w:rPr>
        <w:t>8.1.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pPr>
        <w:pStyle w:val="Normal"/>
        <w:spacing w:lineRule="auto" w:line="276"/>
        <w:jc w:val="both"/>
        <w:rPr/>
      </w:pPr>
      <w:r>
        <w:rPr>
          <w:rFonts w:cs="Calibri" w:ascii="Calibri" w:hAnsi="Calibri"/>
          <w:lang w:val="lt-LT"/>
        </w:rPr>
        <w:t>8.2. Sutartis sudaryta dviem vienodą juridinę galią turinčiais egzemplioriais, po vieną kiekvienai Šaliai.</w:t>
      </w:r>
    </w:p>
    <w:p>
      <w:pPr>
        <w:pStyle w:val="Normal"/>
        <w:spacing w:lineRule="auto" w:line="276"/>
        <w:jc w:val="both"/>
        <w:rPr>
          <w:rFonts w:ascii="Calibri" w:hAnsi="Calibri" w:cs="Calibri"/>
          <w:lang w:val="lt-LT"/>
        </w:rPr>
      </w:pPr>
      <w:r>
        <w:rPr>
          <w:rFonts w:cs="Calibri" w:ascii="Calibri" w:hAnsi="Calibri"/>
          <w:lang w:val="lt-LT"/>
        </w:rPr>
        <w:t>8.3. Sutartis įsigalioja nuo 2025 m. balandžio 28 d. ir galioja 36 mėnesius.</w:t>
      </w:r>
    </w:p>
    <w:p>
      <w:pPr>
        <w:pStyle w:val="Normal"/>
        <w:widowControl/>
        <w:tabs>
          <w:tab w:val="clear" w:pos="709"/>
          <w:tab w:val="left" w:pos="1560" w:leader="none"/>
        </w:tabs>
        <w:suppressAutoHyphens w:val="false"/>
        <w:spacing w:lineRule="auto" w:line="276"/>
        <w:jc w:val="both"/>
        <w:rPr>
          <w:rFonts w:ascii="Calibri" w:hAnsi="Calibri" w:eastAsia="Batang;바탕" w:cs="Calibri"/>
          <w:lang w:val="lt-LT"/>
        </w:rPr>
      </w:pPr>
      <w:r>
        <w:rPr>
          <w:rFonts w:cs="Calibri" w:ascii="Calibri" w:hAnsi="Calibri"/>
          <w:lang w:val="lt-LT"/>
        </w:rPr>
        <w:t xml:space="preserve">8.4. </w:t>
      </w:r>
      <w:r>
        <w:rPr>
          <w:rFonts w:cs="Calibri" w:ascii="Calibri" w:hAnsi="Calibri"/>
          <w:color w:val="000000"/>
          <w:lang w:val="lt-LT"/>
        </w:rPr>
        <w:t xml:space="preserve">Sutartis gali būti nutraukta abiejų šalių rašytiniu susitarimu arba jei viena iš Sutarties Šalių nevykdo sutartinių įsipareigojimų ir tai yra esminis Sutarties pažeidimas, kita Šalis gali vienašališkai nutraukti Sutartį, įspėjusi kitą Sutarties Šalį raštu prieš 20 darbo dienų ir pateikusi pagrįstus motyvus. </w:t>
      </w:r>
      <w:bookmarkStart w:id="1" w:name="_Hlk92121266"/>
      <w:r>
        <w:rPr>
          <w:rFonts w:eastAsia="Batang;바탕" w:cs="Calibri" w:ascii="Calibri" w:hAnsi="Calibri"/>
          <w:lang w:val="lt-LT"/>
        </w:rPr>
        <w:t xml:space="preserve">Klientas turi teisę vienašališkai nutraukti Sutartį </w:t>
      </w:r>
      <w:r>
        <w:rPr>
          <w:rFonts w:cs="Calibri" w:ascii="Calibri" w:hAnsi="Calibri"/>
          <w:lang w:val="lt-LT"/>
        </w:rPr>
        <w:t>Lietuvos Respublikos viešųjų pirkimų įstatymo 90 straipsnyje nurodytais atvejais ir tvarka,</w:t>
      </w:r>
      <w:r>
        <w:rPr>
          <w:rFonts w:eastAsia="Batang;바탕" w:cs="Calibri" w:ascii="Calibri" w:hAnsi="Calibri"/>
          <w:lang w:val="lt-LT"/>
        </w:rPr>
        <w:t xml:space="preserve"> informavęs Paslaugų teikėją raštu ne vėliau kaip prieš 10 (dešimt) kalendorinių dienų. Šiuo atveju Klientas privalo sumokėti Paslaugų teikėjui kainos dalį, proporcingą tinkamai suteiktoms Kliento priimtoms Paslaugoms, ir atlyginti kitas protingas išlaidas, kurias Paslaugų teikėjas, norėdamas įvykdyti Sutartį, padarė iki pranešimo apie Sutarties nutraukimą gavimo iš Kliento momento.</w:t>
      </w:r>
      <w:bookmarkEnd w:id="1"/>
    </w:p>
    <w:p>
      <w:pPr>
        <w:pStyle w:val="Normal"/>
        <w:widowControl/>
        <w:tabs>
          <w:tab w:val="clear" w:pos="709"/>
          <w:tab w:val="left" w:pos="1560" w:leader="none"/>
        </w:tabs>
        <w:suppressAutoHyphens w:val="false"/>
        <w:spacing w:lineRule="auto" w:line="276"/>
        <w:jc w:val="both"/>
        <w:rPr>
          <w:rFonts w:ascii="Calibri" w:hAnsi="Calibri" w:cs="Calibri"/>
          <w:lang w:val="lt-LT"/>
        </w:rPr>
      </w:pPr>
      <w:r>
        <w:rPr>
          <w:rFonts w:cs="Calibri" w:ascii="Calibri" w:hAnsi="Calibri"/>
          <w:lang w:val="lt-LT"/>
        </w:rPr>
        <w:t xml:space="preserve">8.5. Sutarties sąlygos Sutarties galiojimo laikotarpiu negali būti keičiamos, išskyrus tokias Sutarties sąlygas, kurias pakeitus nebūtų pažeisti Lietuvos Respublikos viešųjų pirkimų įstatyme nustatyti principai ir tikslai. </w:t>
      </w:r>
      <w:r>
        <w:rPr>
          <w:rFonts w:eastAsia="Batang;바탕" w:cs="Calibri" w:ascii="Calibri" w:hAnsi="Calibri"/>
          <w:lang w:val="lt-LT"/>
        </w:rPr>
        <w:t xml:space="preserve">Sutarties sąlygos gali būti keičiamos </w:t>
      </w:r>
      <w:r>
        <w:rPr>
          <w:rFonts w:cs="Calibri" w:ascii="Calibri" w:hAnsi="Calibri"/>
          <w:lang w:val="lt-LT"/>
        </w:rPr>
        <w:t>Lietuvos Respublikos viešųjų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Šalys gali keisti tik neesmines Sutarties sąlygas.</w:t>
      </w:r>
    </w:p>
    <w:p>
      <w:pPr>
        <w:pStyle w:val="Normal"/>
        <w:widowControl/>
        <w:tabs>
          <w:tab w:val="clear" w:pos="709"/>
          <w:tab w:val="left" w:pos="1560" w:leader="none"/>
        </w:tabs>
        <w:suppressAutoHyphens w:val="false"/>
        <w:spacing w:lineRule="auto" w:line="276"/>
        <w:jc w:val="both"/>
        <w:rPr/>
      </w:pPr>
      <w:r>
        <w:rPr>
          <w:rFonts w:cs="Calibri" w:ascii="Calibri" w:hAnsi="Calibri"/>
          <w:lang w:val="lt-LT"/>
        </w:rPr>
        <w:t>8.6. Vadovaujantis Aplinkos apsaugos kriterijų taikymo, vykdant žaliuosius pirkimus, tvarkos aprašo, patvirtinto Lietuvos Respublikos aplinkos ministro 2011 m. birželio 28 d. įsakymu Nr. DI-508 „Dėl aplinkos apsaugos kriterijų taikymo, vykdant žaliuosius pirkimus, tvarkos aprašo patvirtinimo“, 4.4.3.papunkčiu, perkama tik nematerialaus pobūdžio paslauga, nesusijusi su materialaus objekto sukūrimu, kurios teikimo metu nėra numatomas reikšmingas neigiamas poveikis aplinkai, nesukuriamas taršos šaltinis ir negeneruojamos atliekos. Taip pat taikomi aplinkosauginiai reikalavimai:</w:t>
      </w:r>
    </w:p>
    <w:p>
      <w:pPr>
        <w:pStyle w:val="Normal"/>
        <w:widowControl/>
        <w:tabs>
          <w:tab w:val="clear" w:pos="709"/>
          <w:tab w:val="left" w:pos="1560" w:leader="none"/>
        </w:tabs>
        <w:suppressAutoHyphens w:val="false"/>
        <w:spacing w:lineRule="auto" w:line="276"/>
        <w:jc w:val="both"/>
        <w:rPr/>
      </w:pPr>
      <w:r>
        <w:rPr>
          <w:rFonts w:cs="Calibri" w:ascii="Calibri" w:hAnsi="Calibri"/>
          <w:lang w:val="lt-LT"/>
        </w:rPr>
        <w:t>8.6.1. bendravimas tarp Kliento ir Paslaugų teikėjo bus vykdomas tik </w:t>
      </w:r>
      <w:bookmarkStart w:id="2" w:name="x__Hlk104211891"/>
      <w:bookmarkEnd w:id="2"/>
      <w:r>
        <w:rPr>
          <w:rFonts w:cs="Calibri" w:ascii="Calibri" w:hAnsi="Calibri"/>
          <w:lang w:val="lt-LT"/>
        </w:rPr>
        <w:t>elektroninėmis priemonėmis (telefonu, elektroniniu paštu ar kt.);</w:t>
      </w:r>
      <w:bookmarkStart w:id="3" w:name="x__Hlk104211922"/>
      <w:bookmarkEnd w:id="3"/>
    </w:p>
    <w:p>
      <w:pPr>
        <w:pStyle w:val="Normal"/>
        <w:widowControl/>
        <w:tabs>
          <w:tab w:val="clear" w:pos="709"/>
          <w:tab w:val="left" w:pos="1560" w:leader="none"/>
        </w:tabs>
        <w:suppressAutoHyphens w:val="false"/>
        <w:spacing w:lineRule="auto" w:line="276"/>
        <w:jc w:val="both"/>
        <w:rPr/>
      </w:pPr>
      <w:r>
        <w:rPr>
          <w:rFonts w:cs="Calibri" w:ascii="Calibri" w:hAnsi="Calibri"/>
          <w:lang w:val="lt-LT"/>
        </w:rPr>
        <w:t>8.6.2. Sutartis ir visa kita dokumentacija susijusi su paslaugų teikimu teikiama Klientui elektorinėmis priemonėmis (elektroniniu paštu ar kt.).</w:t>
      </w:r>
    </w:p>
    <w:p>
      <w:pPr>
        <w:pStyle w:val="Normal"/>
        <w:widowControl/>
        <w:tabs>
          <w:tab w:val="clear" w:pos="709"/>
          <w:tab w:val="left" w:pos="1560" w:leader="none"/>
        </w:tabs>
        <w:suppressAutoHyphens w:val="false"/>
        <w:spacing w:lineRule="auto" w:line="276"/>
        <w:jc w:val="both"/>
        <w:rPr/>
      </w:pPr>
      <w:r>
        <w:rPr>
          <w:rFonts w:cs="Calibri" w:ascii="Calibri" w:hAnsi="Calibri"/>
          <w:lang w:val="lt-LT"/>
        </w:rPr>
        <w:t>8.7. Jei kuri nors šios Sutarties dalis tampa negaliojanti arba anuliuojama, likusios Sutarties dalys lieka galioti.</w:t>
      </w:r>
    </w:p>
    <w:p>
      <w:pPr>
        <w:pStyle w:val="Normal"/>
        <w:spacing w:lineRule="auto" w:line="276"/>
        <w:jc w:val="both"/>
        <w:rPr/>
      </w:pPr>
      <w:r>
        <w:rPr>
          <w:rFonts w:cs="Calibri" w:ascii="Calibri" w:hAnsi="Calibri"/>
          <w:lang w:val="lt-LT"/>
        </w:rPr>
        <w:t xml:space="preserve">8.8. </w:t>
      </w:r>
      <w:r>
        <w:rPr>
          <w:rFonts w:cs="Calibri" w:ascii="Calibri" w:hAnsi="Calibri"/>
          <w:color w:val="000000"/>
          <w:lang w:val="lt-LT"/>
        </w:rPr>
        <w:t>Ginčų sprendimo tvarka: ginčai sprendžiami derybų būdu, o nepavykus taip išspręsti ginčo, jis bus nagrinėjamas teisės aktų  nustatyta tvarka teisme.</w:t>
      </w:r>
    </w:p>
    <w:p>
      <w:pPr>
        <w:pStyle w:val="Normal"/>
        <w:spacing w:lineRule="auto" w:line="276"/>
        <w:jc w:val="both"/>
        <w:rPr/>
      </w:pPr>
      <w:r>
        <w:rPr>
          <w:rFonts w:cs="Calibri" w:ascii="Calibri" w:hAnsi="Calibri"/>
          <w:color w:val="000000"/>
          <w:lang w:val="lt-LT"/>
        </w:rPr>
        <w:t>8.9. Sutarties priedai:</w:t>
      </w:r>
    </w:p>
    <w:p>
      <w:pPr>
        <w:pStyle w:val="Normal"/>
        <w:spacing w:lineRule="auto" w:line="276"/>
        <w:jc w:val="both"/>
        <w:rPr>
          <w:rFonts w:ascii="Calibri" w:hAnsi="Calibri" w:cs="Calibri"/>
          <w:color w:val="000000"/>
          <w:lang w:val="lt-LT"/>
        </w:rPr>
      </w:pPr>
      <w:r>
        <w:rPr>
          <w:rFonts w:cs="Calibri" w:ascii="Calibri" w:hAnsi="Calibri"/>
          <w:color w:val="000000"/>
          <w:lang w:val="lt-LT"/>
        </w:rPr>
        <w:t>8.9.1. Priedas Nr. 1 - Techninė specifikacija;</w:t>
      </w:r>
    </w:p>
    <w:p>
      <w:pPr>
        <w:pStyle w:val="Normal"/>
        <w:spacing w:lineRule="auto" w:line="276"/>
        <w:jc w:val="both"/>
        <w:rPr/>
      </w:pPr>
      <w:r>
        <w:rPr>
          <w:rFonts w:cs="Calibri" w:ascii="Calibri" w:hAnsi="Calibri"/>
          <w:color w:val="000000"/>
          <w:lang w:val="lt-LT"/>
        </w:rPr>
        <w:t>8.9.2. Priedas Nr. 2 – Tele2 išmanaus skambučių valdymo paslaugos teikimo sąlygos.</w:t>
      </w:r>
    </w:p>
    <w:p>
      <w:pPr>
        <w:pStyle w:val="Normal"/>
        <w:spacing w:lineRule="auto" w:line="276"/>
        <w:jc w:val="center"/>
        <w:rPr>
          <w:rFonts w:ascii="Calibri" w:hAnsi="Calibri" w:cs="Calibri"/>
          <w:b/>
          <w:b/>
          <w:color w:val="000000"/>
          <w:lang w:val="lt-LT"/>
        </w:rPr>
      </w:pPr>
      <w:r>
        <w:rPr>
          <w:rFonts w:cs="Calibri" w:ascii="Calibri" w:hAnsi="Calibri"/>
          <w:b/>
          <w:color w:val="000000"/>
          <w:lang w:val="lt-LT"/>
        </w:rPr>
      </w:r>
    </w:p>
    <w:p>
      <w:pPr>
        <w:pStyle w:val="Normal"/>
        <w:spacing w:lineRule="auto" w:line="276"/>
        <w:jc w:val="center"/>
        <w:rPr>
          <w:rFonts w:ascii="Calibri" w:hAnsi="Calibri" w:cs="Calibri"/>
          <w:b/>
          <w:b/>
          <w:lang w:val="lt-LT"/>
        </w:rPr>
      </w:pPr>
      <w:r>
        <w:rPr>
          <w:rFonts w:cs="Calibri" w:ascii="Calibri" w:hAnsi="Calibri"/>
          <w:b/>
          <w:lang w:val="lt-LT"/>
        </w:rPr>
        <w:t>Sutarties šalių rekvizitai ir parašai:</w:t>
      </w:r>
    </w:p>
    <w:p>
      <w:pPr>
        <w:pStyle w:val="Heading2"/>
        <w:numPr>
          <w:ilvl w:val="0"/>
          <w:numId w:val="0"/>
        </w:numPr>
        <w:tabs>
          <w:tab w:val="clear" w:pos="709"/>
          <w:tab w:val="left" w:pos="567" w:leader="none"/>
        </w:tabs>
        <w:spacing w:lineRule="auto" w:line="276"/>
        <w:ind w:left="0" w:hanging="0"/>
        <w:rPr>
          <w:rFonts w:ascii="Calibri" w:hAnsi="Calibri" w:cs="Calibri"/>
          <w:b/>
          <w:b/>
          <w:lang w:val="lt-LT"/>
        </w:rPr>
      </w:pPr>
      <w:r>
        <w:rPr>
          <w:rFonts w:cs="Calibri" w:ascii="Calibri" w:hAnsi="Calibri"/>
          <w:b/>
          <w:lang w:val="lt-LT"/>
        </w:rPr>
      </w:r>
    </w:p>
    <w:p>
      <w:pPr>
        <w:sectPr>
          <w:footerReference w:type="default" r:id="rId8"/>
          <w:type w:val="nextPage"/>
          <w:pgSz w:w="11906" w:h="16838"/>
          <w:pgMar w:left="1701" w:right="565" w:gutter="0" w:header="0" w:top="568" w:footer="567" w:bottom="623"/>
          <w:pgNumType w:fmt="decimal"/>
          <w:formProt w:val="false"/>
          <w:textDirection w:val="lrTb"/>
          <w:docGrid w:type="default" w:linePitch="360" w:charSpace="0"/>
        </w:sectPr>
      </w:pPr>
    </w:p>
    <w:tbl>
      <w:tblPr>
        <w:tblW w:w="4387" w:type="dxa"/>
        <w:jc w:val="left"/>
        <w:tblInd w:w="-108" w:type="dxa"/>
        <w:tblLayout w:type="fixed"/>
        <w:tblCellMar>
          <w:top w:w="0" w:type="dxa"/>
          <w:left w:w="108" w:type="dxa"/>
          <w:bottom w:w="0" w:type="dxa"/>
          <w:right w:w="108" w:type="dxa"/>
        </w:tblCellMar>
      </w:tblPr>
      <w:tblGrid>
        <w:gridCol w:w="4387"/>
      </w:tblGrid>
      <w:tr>
        <w:trPr/>
        <w:tc>
          <w:tcPr>
            <w:tcW w:w="4387" w:type="dxa"/>
            <w:tcBorders/>
          </w:tcPr>
          <w:p>
            <w:pPr>
              <w:pStyle w:val="Normal"/>
              <w:spacing w:lineRule="auto" w:line="276"/>
              <w:rPr>
                <w:rFonts w:ascii="Calibri" w:hAnsi="Calibri" w:cs="Calibri"/>
                <w:b/>
                <w:b/>
                <w:lang w:val="lt-LT"/>
              </w:rPr>
            </w:pPr>
            <w:r>
              <w:rPr>
                <w:rFonts w:cs="Calibri" w:ascii="Calibri" w:hAnsi="Calibri"/>
                <w:b/>
                <w:lang w:val="lt-LT"/>
              </w:rPr>
              <w:t xml:space="preserve">UAB „Tele2“                                                     </w:t>
            </w:r>
          </w:p>
          <w:p>
            <w:pPr>
              <w:pStyle w:val="Normal"/>
              <w:spacing w:lineRule="auto" w:line="276"/>
              <w:rPr>
                <w:rFonts w:ascii="Calibri" w:hAnsi="Calibri" w:cs="Calibri"/>
                <w:lang w:val="lt-LT"/>
              </w:rPr>
            </w:pPr>
            <w:r>
              <w:rPr>
                <w:rFonts w:cs="Calibri" w:ascii="Calibri" w:hAnsi="Calibri"/>
                <w:lang w:val="lt-LT"/>
              </w:rPr>
              <w:t>Upės g. 23 Vilnius</w:t>
            </w:r>
          </w:p>
          <w:p>
            <w:pPr>
              <w:pStyle w:val="Normal"/>
              <w:spacing w:lineRule="auto" w:line="276"/>
              <w:rPr>
                <w:rFonts w:ascii="Calibri" w:hAnsi="Calibri" w:cs="Calibri"/>
                <w:lang w:val="lt-LT"/>
              </w:rPr>
            </w:pPr>
            <w:r>
              <w:rPr>
                <w:rFonts w:cs="Calibri" w:ascii="Calibri" w:hAnsi="Calibri"/>
                <w:lang w:val="lt-LT"/>
              </w:rPr>
              <w:t>J. a. kodas: 111471645</w:t>
              <w:tab/>
            </w:r>
          </w:p>
          <w:p>
            <w:pPr>
              <w:pStyle w:val="Normal"/>
              <w:spacing w:lineRule="auto" w:line="276"/>
              <w:rPr>
                <w:rFonts w:ascii="Calibri" w:hAnsi="Calibri" w:cs="Calibri"/>
                <w:lang w:val="lt-LT"/>
              </w:rPr>
            </w:pPr>
            <w:r>
              <w:rPr>
                <w:rFonts w:cs="Calibri" w:ascii="Calibri" w:hAnsi="Calibri"/>
                <w:lang w:val="lt-LT"/>
              </w:rPr>
              <w:t>PVM mokėtojo kodas: LT114716417</w:t>
            </w:r>
          </w:p>
          <w:p>
            <w:pPr>
              <w:pStyle w:val="Normal"/>
              <w:spacing w:lineRule="auto" w:line="276"/>
              <w:rPr>
                <w:rFonts w:ascii="Calibri" w:hAnsi="Calibri" w:cs="Calibri"/>
                <w:lang w:val="lt-LT"/>
              </w:rPr>
            </w:pPr>
            <w:r>
              <w:rPr>
                <w:rFonts w:cs="Calibri" w:ascii="Calibri" w:hAnsi="Calibri"/>
                <w:lang w:val="lt-LT"/>
              </w:rPr>
              <w:t>A. s. Nr.: LT417044060001223597</w:t>
            </w:r>
          </w:p>
          <w:p>
            <w:pPr>
              <w:pStyle w:val="Normal"/>
              <w:spacing w:lineRule="auto" w:line="276"/>
              <w:rPr>
                <w:rFonts w:ascii="Calibri" w:hAnsi="Calibri" w:cs="Calibri"/>
                <w:lang w:val="lt-LT"/>
              </w:rPr>
            </w:pPr>
            <w:r>
              <w:rPr>
                <w:rFonts w:cs="Calibri" w:ascii="Calibri" w:hAnsi="Calibri"/>
                <w:lang w:val="lt-LT"/>
              </w:rPr>
              <w:t>Bankas: AB SEB bankas</w:t>
            </w:r>
          </w:p>
          <w:p>
            <w:pPr>
              <w:pStyle w:val="Normal"/>
              <w:spacing w:lineRule="auto" w:line="276"/>
              <w:rPr>
                <w:rFonts w:ascii="Calibri" w:hAnsi="Calibri" w:cs="Calibri"/>
                <w:lang w:val="lt-LT"/>
              </w:rPr>
            </w:pPr>
            <w:r>
              <w:rPr>
                <w:rFonts w:cs="Calibri" w:ascii="Calibri" w:hAnsi="Calibri"/>
                <w:lang w:val="lt-LT"/>
              </w:rPr>
              <w:t>Tel.: 8 67573333</w:t>
            </w:r>
          </w:p>
          <w:p>
            <w:pPr>
              <w:pStyle w:val="Normal"/>
              <w:spacing w:lineRule="auto" w:line="276"/>
              <w:rPr>
                <w:rFonts w:ascii="Calibri" w:hAnsi="Calibri" w:cs="Calibri"/>
                <w:lang w:val="lt-LT"/>
              </w:rPr>
            </w:pPr>
            <w:r>
              <w:rPr>
                <w:rFonts w:cs="Calibri" w:ascii="Calibri" w:hAnsi="Calibri"/>
                <w:lang w:val="lt-LT"/>
              </w:rPr>
              <w:t>Faksas: 8 52336887</w:t>
            </w:r>
          </w:p>
          <w:p>
            <w:pPr>
              <w:pStyle w:val="Normal"/>
              <w:spacing w:lineRule="auto" w:line="276"/>
              <w:rPr>
                <w:rFonts w:ascii="Calibri" w:hAnsi="Calibri" w:cs="Calibri"/>
                <w:lang w:val="lt-LT"/>
              </w:rPr>
            </w:pPr>
            <w:r>
              <w:rPr>
                <w:rFonts w:cs="Calibri" w:ascii="Calibri" w:hAnsi="Calibri"/>
                <w:lang w:val="lt-LT"/>
              </w:rPr>
              <w:t>El. paštas: tele2.lt@tele2.com</w:t>
            </w:r>
          </w:p>
        </w:tc>
      </w:tr>
      <w:tr>
        <w:trPr/>
        <w:tc>
          <w:tcPr>
            <w:tcW w:w="4387" w:type="dxa"/>
            <w:tcBorders/>
          </w:tcPr>
          <w:p>
            <w:pPr>
              <w:pStyle w:val="Normal"/>
              <w:snapToGrid w:val="false"/>
              <w:spacing w:lineRule="auto" w:line="276"/>
              <w:rPr>
                <w:rFonts w:ascii="Calibri" w:hAnsi="Calibri" w:cs="Calibri"/>
                <w:lang w:val="lt-LT"/>
              </w:rPr>
            </w:pPr>
            <w:r>
              <w:rPr>
                <w:rFonts w:cs="Calibri" w:ascii="Calibri" w:hAnsi="Calibri"/>
                <w:lang w:val="lt-LT"/>
              </w:rPr>
            </w:r>
          </w:p>
          <w:p>
            <w:pPr>
              <w:pStyle w:val="Normal"/>
              <w:spacing w:lineRule="auto" w:line="276"/>
              <w:rPr>
                <w:rFonts w:ascii="Calibri" w:hAnsi="Calibri" w:cs="Calibri"/>
                <w:lang w:val="lt-LT"/>
              </w:rPr>
            </w:pPr>
            <w:r>
              <w:rPr>
                <w:rFonts w:cs="Calibri" w:ascii="Calibri" w:hAnsi="Calibri"/>
                <w:lang w:val="lt-LT"/>
              </w:rPr>
              <w:t xml:space="preserve">Viešojo sektoriaus projektų vadovė </w:t>
            </w:r>
          </w:p>
          <w:p>
            <w:pPr>
              <w:pStyle w:val="Normal"/>
              <w:spacing w:lineRule="auto" w:line="276"/>
              <w:rPr>
                <w:rFonts w:ascii="Calibri" w:hAnsi="Calibri" w:cs="Calibri"/>
                <w:lang w:val="lt-LT"/>
              </w:rPr>
            </w:pPr>
            <w:r>
              <w:rPr>
                <w:rFonts w:cs="Calibri" w:ascii="Calibri" w:hAnsi="Calibri"/>
                <w:lang w:val="lt-LT"/>
              </w:rPr>
              <w:t>Giedrė Petkelienė</w:t>
              <w:tab/>
            </w:r>
          </w:p>
          <w:p>
            <w:pPr>
              <w:pStyle w:val="Normal"/>
              <w:spacing w:lineRule="auto" w:line="276"/>
              <w:rPr>
                <w:rFonts w:ascii="Calibri" w:hAnsi="Calibri" w:cs="Calibri"/>
                <w:lang w:val="lt-LT"/>
              </w:rPr>
            </w:pPr>
            <w:r>
              <w:rPr>
                <w:rFonts w:cs="Calibri" w:ascii="Calibri" w:hAnsi="Calibri"/>
                <w:lang w:val="lt-LT"/>
              </w:rPr>
              <w:tab/>
              <w:t xml:space="preserve">    __________________________________</w:t>
            </w:r>
          </w:p>
          <w:p>
            <w:pPr>
              <w:pStyle w:val="Normal"/>
              <w:spacing w:lineRule="auto" w:line="276"/>
              <w:rPr>
                <w:rFonts w:ascii="Calibri" w:hAnsi="Calibri" w:cs="Calibri"/>
                <w:b/>
                <w:b/>
                <w:lang w:val="lt-LT"/>
              </w:rPr>
            </w:pPr>
            <w:r>
              <w:rPr>
                <w:rFonts w:cs="Calibri" w:ascii="Calibri" w:hAnsi="Calibri"/>
                <w:lang w:val="lt-LT"/>
              </w:rPr>
              <w:tab/>
            </w:r>
            <w:r>
              <w:rPr>
                <w:rFonts w:cs="Calibri" w:ascii="Calibri" w:hAnsi="Calibri"/>
                <w:vertAlign w:val="superscript"/>
                <w:lang w:val="lt-LT"/>
              </w:rPr>
              <w:t>(parašas)</w:t>
            </w:r>
          </w:p>
        </w:tc>
      </w:tr>
    </w:tbl>
    <w:p>
      <w:pPr>
        <w:pStyle w:val="Normal"/>
        <w:spacing w:lineRule="auto" w:line="276"/>
        <w:rPr>
          <w:rFonts w:ascii="Calibri" w:hAnsi="Calibri" w:cs="Calibri"/>
          <w:b/>
          <w:b/>
          <w:lang w:val="lt-LT"/>
        </w:rPr>
      </w:pPr>
      <w:r>
        <w:rPr>
          <w:rFonts w:cs="Calibri" w:ascii="Calibri" w:hAnsi="Calibri"/>
          <w:b/>
          <w:lang w:val="lt-LT"/>
        </w:rPr>
      </w:r>
    </w:p>
    <w:p>
      <w:pPr>
        <w:pStyle w:val="Normal"/>
        <w:spacing w:lineRule="auto" w:line="276"/>
        <w:rPr>
          <w:rFonts w:ascii="Calibri" w:hAnsi="Calibri" w:cs="Calibri"/>
          <w:b/>
          <w:b/>
          <w:lang w:val="lt-LT"/>
        </w:rPr>
      </w:pPr>
      <w:r>
        <w:rPr>
          <w:rFonts w:cs="Calibri" w:ascii="Calibri" w:hAnsi="Calibri"/>
          <w:b/>
          <w:lang w:val="lt-LT"/>
        </w:rPr>
      </w:r>
    </w:p>
    <w:p>
      <w:pPr>
        <w:pStyle w:val="Normal"/>
        <w:spacing w:lineRule="auto" w:line="276"/>
        <w:rPr>
          <w:rFonts w:ascii="Calibri" w:hAnsi="Calibri" w:cs="Calibri"/>
          <w:b/>
          <w:b/>
          <w:lang w:val="lt-LT"/>
        </w:rPr>
      </w:pPr>
      <w:r>
        <w:rPr>
          <w:rFonts w:cs="Calibri" w:ascii="Calibri" w:hAnsi="Calibri"/>
          <w:b/>
          <w:lang w:val="lt-LT"/>
        </w:rPr>
      </w:r>
    </w:p>
    <w:p>
      <w:pPr>
        <w:pStyle w:val="Normal"/>
        <w:spacing w:lineRule="auto" w:line="276"/>
        <w:rPr>
          <w:rFonts w:ascii="Calibri" w:hAnsi="Calibri" w:cs="Calibri"/>
          <w:b/>
          <w:b/>
          <w:lang w:val="lt-LT"/>
        </w:rPr>
      </w:pPr>
      <w:r>
        <w:rPr>
          <w:rFonts w:cs="Calibri" w:ascii="Calibri" w:hAnsi="Calibri"/>
          <w:b/>
          <w:lang w:val="lt-LT"/>
        </w:rPr>
      </w:r>
    </w:p>
    <w:p>
      <w:pPr>
        <w:pStyle w:val="Normal"/>
        <w:spacing w:lineRule="auto" w:line="276"/>
        <w:rPr>
          <w:rFonts w:ascii="Calibri" w:hAnsi="Calibri" w:cs="Calibri"/>
          <w:b/>
          <w:b/>
          <w:lang w:val="lt-LT"/>
        </w:rPr>
      </w:pPr>
      <w:r>
        <w:rPr>
          <w:rFonts w:cs="Calibri" w:ascii="Calibri" w:hAnsi="Calibri"/>
          <w:b/>
          <w:lang w:val="lt-LT"/>
        </w:rPr>
      </w:r>
    </w:p>
    <w:p>
      <w:pPr>
        <w:pStyle w:val="Normal"/>
        <w:spacing w:lineRule="auto" w:line="276"/>
        <w:rPr>
          <w:rFonts w:ascii="Calibri" w:hAnsi="Calibri" w:cs="Calibri"/>
          <w:lang w:val="lt-LT"/>
        </w:rPr>
      </w:pPr>
      <w:r>
        <w:rPr>
          <w:rFonts w:cs="Calibri" w:ascii="Calibri" w:hAnsi="Calibri"/>
          <w:b/>
          <w:lang w:val="lt-LT"/>
        </w:rPr>
        <w:t xml:space="preserve">Lietuvos Respublikos teisingumo ministerija                                                                                                                         </w:t>
      </w:r>
    </w:p>
    <w:p>
      <w:pPr>
        <w:pStyle w:val="Normal"/>
        <w:spacing w:lineRule="auto" w:line="276"/>
        <w:rPr>
          <w:rFonts w:ascii="Calibri" w:hAnsi="Calibri" w:cs="Calibri"/>
          <w:lang w:val="lt-LT"/>
        </w:rPr>
      </w:pPr>
      <w:r>
        <w:rPr>
          <w:rFonts w:cs="Calibri" w:ascii="Calibri" w:hAnsi="Calibri"/>
          <w:lang w:val="lt-LT"/>
        </w:rPr>
        <w:t>Gedimino pr. 30, LT-01104 Vilnius</w:t>
      </w:r>
    </w:p>
    <w:p>
      <w:pPr>
        <w:pStyle w:val="Normal"/>
        <w:spacing w:lineRule="auto" w:line="276"/>
        <w:rPr>
          <w:rFonts w:ascii="Calibri" w:hAnsi="Calibri" w:cs="Calibri"/>
          <w:vertAlign w:val="superscript"/>
          <w:lang w:val="lt-LT"/>
        </w:rPr>
      </w:pPr>
      <w:r>
        <w:rPr>
          <w:rFonts w:cs="Calibri" w:ascii="Calibri" w:hAnsi="Calibri"/>
          <w:lang w:val="lt-LT"/>
        </w:rPr>
        <w:t>J. a. kodas: 188604955</w:t>
      </w:r>
    </w:p>
    <w:p>
      <w:pPr>
        <w:pStyle w:val="Normal"/>
        <w:spacing w:lineRule="auto" w:line="276"/>
        <w:rPr>
          <w:rFonts w:ascii="Calibri" w:hAnsi="Calibri" w:cs="Calibri"/>
          <w:lang w:val="lt-LT"/>
        </w:rPr>
      </w:pPr>
      <w:r>
        <w:rPr>
          <w:rFonts w:cs="Calibri" w:ascii="Calibri" w:hAnsi="Calibri"/>
          <w:lang w:val="lt-LT"/>
        </w:rPr>
        <w:t xml:space="preserve">A. s. Nr.: </w:t>
      </w:r>
      <w:r>
        <w:rPr>
          <w:rFonts w:cs="Calibri" w:ascii="Calibri" w:hAnsi="Calibri"/>
        </w:rPr>
        <w:t>LT574040063610000392</w:t>
      </w:r>
    </w:p>
    <w:p>
      <w:pPr>
        <w:pStyle w:val="Normal"/>
        <w:spacing w:lineRule="auto" w:line="276"/>
        <w:rPr/>
      </w:pPr>
      <w:r>
        <w:rPr>
          <w:rFonts w:cs="Calibri" w:ascii="Calibri" w:hAnsi="Calibri"/>
          <w:lang w:val="lt-LT"/>
        </w:rPr>
        <w:t xml:space="preserve">Finansų įstaiga: </w:t>
      </w:r>
      <w:r>
        <w:rPr>
          <w:rFonts w:cs="Calibri" w:ascii="Calibri" w:hAnsi="Calibri"/>
        </w:rPr>
        <w:t>Lietuvos Respublikos finansų ministerija</w:t>
      </w:r>
    </w:p>
    <w:p>
      <w:pPr>
        <w:pStyle w:val="Normal"/>
        <w:spacing w:lineRule="auto" w:line="276"/>
        <w:rPr>
          <w:rFonts w:ascii="Calibri" w:hAnsi="Calibri" w:cs="Calibri"/>
          <w:lang w:val="fr-FR"/>
        </w:rPr>
      </w:pPr>
      <w:r>
        <w:rPr>
          <w:rFonts w:cs="Calibri" w:ascii="Calibri" w:hAnsi="Calibri"/>
          <w:lang w:val="fr-FR"/>
        </w:rPr>
        <w:t>Finansų įstaigos kodas : 40400</w:t>
      </w:r>
    </w:p>
    <w:p>
      <w:pPr>
        <w:pStyle w:val="Normal"/>
        <w:spacing w:lineRule="auto" w:line="276"/>
        <w:rPr>
          <w:rFonts w:ascii="Calibri" w:hAnsi="Calibri" w:cs="Calibri"/>
          <w:lang w:val="lt-LT"/>
        </w:rPr>
      </w:pPr>
      <w:r>
        <w:rPr>
          <w:rFonts w:cs="Calibri" w:ascii="Calibri" w:hAnsi="Calibri"/>
          <w:lang w:val="lt-LT"/>
        </w:rPr>
        <w:t xml:space="preserve">El. paštas: </w:t>
      </w:r>
      <w:r>
        <w:rPr>
          <w:rFonts w:cs="Calibri" w:ascii="Calibri" w:hAnsi="Calibri"/>
          <w:lang w:val="fr-FR"/>
        </w:rPr>
        <w:t>rastine@tm.lt</w:t>
      </w:r>
    </w:p>
    <w:p>
      <w:pPr>
        <w:pStyle w:val="Normal"/>
        <w:spacing w:lineRule="auto" w:line="276" w:before="120" w:after="0"/>
        <w:rPr>
          <w:rFonts w:ascii="Aptos" w:hAnsi="Aptos" w:cs="Aptos"/>
          <w:lang w:val="lt-LT"/>
        </w:rPr>
      </w:pPr>
      <w:r>
        <w:rPr>
          <w:rFonts w:eastAsia="Aptos" w:cs="Aptos" w:ascii="Aptos" w:hAnsi="Aptos"/>
          <w:lang w:val="lt-LT"/>
        </w:rPr>
        <w:t>Europos Sąjungos teisės grupės vadovas, laikinai atliekantis Teisingumo ministerijos kanclerio funkcijas,</w:t>
      </w:r>
      <w:r>
        <w:rPr>
          <w:rFonts w:cs="Aptos" w:ascii="Aptos" w:hAnsi="Aptos"/>
          <w:lang w:val="lt-LT"/>
        </w:rPr>
        <w:t xml:space="preserve">  </w:t>
      </w:r>
    </w:p>
    <w:p>
      <w:pPr>
        <w:pStyle w:val="Normal"/>
        <w:spacing w:lineRule="auto" w:line="276" w:before="120" w:after="0"/>
        <w:rPr>
          <w:rFonts w:ascii="Calibri" w:hAnsi="Calibri" w:cs="Calibri"/>
          <w:vertAlign w:val="superscript"/>
          <w:lang w:val="lt-LT"/>
        </w:rPr>
      </w:pPr>
      <w:r>
        <w:rPr>
          <w:rFonts w:cs="Calibri" w:ascii="Calibri" w:hAnsi="Calibri"/>
          <w:lang w:val="lt-LT"/>
        </w:rPr>
        <w:t>Karolis Dieninis</w:t>
      </w:r>
    </w:p>
    <w:p>
      <w:pPr>
        <w:pStyle w:val="Normal"/>
        <w:spacing w:lineRule="auto" w:line="276"/>
        <w:rPr/>
      </w:pPr>
      <w:r>
        <w:rPr>
          <w:rFonts w:cs="Calibri" w:ascii="Calibri" w:hAnsi="Calibri"/>
          <w:lang w:val="lt-LT"/>
        </w:rPr>
        <w:tab/>
        <w:t xml:space="preserve">     __________________________________</w:t>
      </w:r>
    </w:p>
    <w:p>
      <w:pPr>
        <w:pStyle w:val="Normal"/>
        <w:spacing w:lineRule="auto" w:line="276"/>
        <w:rPr>
          <w:rFonts w:ascii="Calibri" w:hAnsi="Calibri" w:cs="Calibri"/>
          <w:vertAlign w:val="superscript"/>
          <w:lang w:val="lt-LT"/>
        </w:rPr>
      </w:pPr>
      <w:r>
        <w:rPr>
          <w:rFonts w:cs="Calibri" w:ascii="Calibri" w:hAnsi="Calibri"/>
          <w:lang w:val="lt-LT"/>
        </w:rPr>
        <w:tab/>
        <w:tab/>
      </w:r>
      <w:r>
        <w:rPr>
          <w:rFonts w:cs="Calibri" w:ascii="Calibri" w:hAnsi="Calibri"/>
          <w:vertAlign w:val="superscript"/>
          <w:lang w:val="lt-LT"/>
        </w:rPr>
        <w:t>(parašas)</w:t>
        <w:tab/>
        <w:tab/>
        <w:tab/>
        <w:tab/>
        <w:tab/>
        <w:tab/>
        <w:tab/>
      </w:r>
    </w:p>
    <w:p>
      <w:pPr>
        <w:sectPr>
          <w:type w:val="continuous"/>
          <w:pgSz w:w="11906" w:h="16838"/>
          <w:pgMar w:left="1701" w:right="565" w:gutter="0" w:header="0" w:top="568" w:footer="567" w:bottom="623"/>
          <w:cols w:num="2" w:space="1296" w:equalWidth="true" w:sep="false"/>
          <w:formProt w:val="false"/>
          <w:textDirection w:val="lrTb"/>
          <w:docGrid w:type="default" w:linePitch="360" w:charSpace="0"/>
        </w:sectPr>
      </w:pPr>
    </w:p>
    <w:p>
      <w:pPr>
        <w:pStyle w:val="Normal"/>
        <w:spacing w:lineRule="auto" w:line="276"/>
        <w:jc w:val="right"/>
        <w:rPr>
          <w:rFonts w:ascii="Calibri" w:hAnsi="Calibri" w:cs="Calibri"/>
          <w:vertAlign w:val="superscript"/>
          <w:lang w:val="lt-LT"/>
        </w:rPr>
      </w:pPr>
      <w:r>
        <w:rPr>
          <w:rFonts w:cs="Calibri" w:ascii="Calibri" w:hAnsi="Calibri"/>
          <w:vertAlign w:val="superscript"/>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r>
    </w:p>
    <w:p>
      <w:pPr>
        <w:pStyle w:val="Normal"/>
        <w:spacing w:lineRule="auto" w:line="276"/>
        <w:jc w:val="right"/>
        <w:rPr>
          <w:rFonts w:ascii="Calibri" w:hAnsi="Calibri" w:cs="Calibri"/>
          <w:lang w:val="lt-LT"/>
        </w:rPr>
      </w:pPr>
      <w:r>
        <w:rPr>
          <w:rFonts w:cs="Calibri" w:ascii="Calibri" w:hAnsi="Calibri"/>
          <w:lang w:val="lt-LT"/>
        </w:rPr>
        <w:t>Skambučių valdymo sistemos paslaugų teikimo sutarties priedas Nr. 1</w:t>
      </w:r>
    </w:p>
    <w:p>
      <w:pPr>
        <w:pStyle w:val="Normal"/>
        <w:spacing w:lineRule="auto" w:line="276"/>
        <w:jc w:val="right"/>
        <w:rPr>
          <w:rFonts w:ascii="Calibri" w:hAnsi="Calibri" w:cs="Calibri"/>
          <w:lang w:val="lt-LT"/>
        </w:rPr>
      </w:pPr>
      <w:r>
        <w:rPr>
          <w:rFonts w:cs="Calibri" w:ascii="Calibri" w:hAnsi="Calibri"/>
          <w:lang w:val="lt-LT"/>
        </w:rPr>
      </w:r>
    </w:p>
    <w:p>
      <w:pPr>
        <w:pStyle w:val="Normal"/>
        <w:widowControl/>
        <w:suppressAutoHyphens w:val="false"/>
        <w:spacing w:lineRule="auto" w:line="276"/>
        <w:jc w:val="center"/>
        <w:rPr>
          <w:rFonts w:ascii="Calibri" w:hAnsi="Calibri" w:cs="Calibri"/>
          <w:b/>
          <w:b/>
          <w:color w:val="000000"/>
          <w:lang w:val="lt-LT"/>
        </w:rPr>
      </w:pPr>
      <w:r>
        <w:rPr>
          <w:rFonts w:cs="Calibri" w:ascii="Calibri" w:hAnsi="Calibri"/>
          <w:b/>
          <w:color w:val="000000"/>
          <w:lang w:val="lt-LT"/>
        </w:rPr>
        <w:t>SKAMBUČIŲ VALDYMO SISTEMOS PASLAUGŲ TECHNINĖ SPECIFIKACIJA</w:t>
      </w:r>
    </w:p>
    <w:p>
      <w:pPr>
        <w:pStyle w:val="Normal"/>
        <w:widowControl/>
        <w:suppressAutoHyphens w:val="false"/>
        <w:spacing w:lineRule="auto" w:line="276"/>
        <w:jc w:val="center"/>
        <w:rPr>
          <w:rFonts w:ascii="Calibri" w:hAnsi="Calibri" w:cs="Calibri"/>
          <w:b/>
          <w:b/>
          <w:color w:val="000000"/>
          <w:lang w:val="lt-LT"/>
        </w:rPr>
      </w:pPr>
      <w:r>
        <w:rPr>
          <w:rFonts w:cs="Calibri" w:ascii="Calibri" w:hAnsi="Calibri"/>
          <w:b/>
          <w:color w:val="000000"/>
          <w:lang w:val="lt-LT"/>
        </w:rPr>
      </w:r>
    </w:p>
    <w:p>
      <w:pPr>
        <w:pStyle w:val="Normal"/>
        <w:widowControl/>
        <w:suppressAutoHyphens w:val="false"/>
        <w:spacing w:lineRule="auto" w:line="276"/>
        <w:jc w:val="center"/>
        <w:rPr>
          <w:rFonts w:ascii="Calibri" w:hAnsi="Calibri" w:cs="Calibri"/>
          <w:color w:val="000000"/>
          <w:lang w:val="lt-LT"/>
        </w:rPr>
      </w:pPr>
      <w:r>
        <w:rPr>
          <w:rFonts w:cs="Calibri" w:ascii="Calibri" w:hAnsi="Calibri"/>
          <w:color w:val="000000"/>
          <w:lang w:val="lt-LT"/>
        </w:rPr>
      </w:r>
    </w:p>
    <w:p>
      <w:pPr>
        <w:pStyle w:val="Normal"/>
        <w:widowControl/>
        <w:suppressAutoHyphens w:val="false"/>
        <w:spacing w:lineRule="auto" w:line="276" w:before="0" w:after="0"/>
        <w:contextualSpacing/>
        <w:jc w:val="center"/>
        <w:rPr>
          <w:rFonts w:ascii="Calibri" w:hAnsi="Calibri" w:cs="Calibri"/>
          <w:b/>
          <w:b/>
          <w:color w:val="000000"/>
        </w:rPr>
      </w:pPr>
      <w:r>
        <w:rPr>
          <w:rFonts w:cs="Calibri" w:ascii="Calibri" w:hAnsi="Calibri"/>
          <w:b/>
          <w:color w:val="000000"/>
        </w:rPr>
        <w:t>I. Reikalavimai skambučių valdymo paslaugoms</w:t>
      </w:r>
    </w:p>
    <w:p>
      <w:pPr>
        <w:pStyle w:val="Normal"/>
        <w:widowControl/>
        <w:suppressAutoHyphens w:val="false"/>
        <w:spacing w:lineRule="auto" w:line="276"/>
        <w:jc w:val="both"/>
        <w:rPr>
          <w:rFonts w:ascii="Calibri" w:hAnsi="Calibri" w:cs="Calibri"/>
          <w:b/>
          <w:b/>
          <w:color w:val="000000"/>
          <w:lang w:val="lt-LT"/>
        </w:rPr>
      </w:pPr>
      <w:r>
        <w:rPr>
          <w:rFonts w:cs="Calibri" w:ascii="Calibri" w:hAnsi="Calibri"/>
          <w:b/>
          <w:color w:val="000000"/>
          <w:lang w:val="lt-LT"/>
        </w:rPr>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Pokalbių kanalų skaičius vienam numeriui ne mažesnis kaip 2 vnt.</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Paslaugos turi veikti visuose mobiliuose telefonuose (jei paslaugos teikiamos per aplikaciją, jos turi veikti išmaniuose telefonuose su Android ir iOS operacinėmis sistemomis).</w:t>
      </w:r>
    </w:p>
    <w:p>
      <w:pPr>
        <w:pStyle w:val="Normal"/>
        <w:widowControl/>
        <w:numPr>
          <w:ilvl w:val="0"/>
          <w:numId w:val="2"/>
        </w:numPr>
        <w:suppressAutoHyphens w:val="false"/>
        <w:spacing w:lineRule="auto" w:line="276"/>
        <w:jc w:val="both"/>
        <w:rPr/>
      </w:pPr>
      <w:r>
        <w:rPr>
          <w:rFonts w:cs="Calibri" w:ascii="Calibri" w:hAnsi="Calibri"/>
          <w:color w:val="000000"/>
          <w:lang w:val="lt-LT"/>
        </w:rPr>
        <w:t>Turi būti suteikta WEB sąsaja skambučių nukreipimų administravimui.</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suteikta galimybė peradresuoti visus įeinančius skambučius į kitą telefono numerį kuris naudoja paslaugą.</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galimybė peradresavimus išplėsti pagal laikus, kai neatsiliepiama x sekundžių, taip pat skambučius peradresuoti vienam darbuotojui arba darbuotojų grupei.</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galimybė matyti įeinančių ir išeinančių skambučių statistiką: skambučių srautus, skambučių statistiką pasirinktu laikotarpiu, statistiką pagal darbuotoją, ir pan.</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nemokamai pateikiama ne mažiau kaip 1 mėn. detali išeinančių/ įeinančių skambučių išklotinė.</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galimybė pokalbio metu darbuotojas gali peradresuoti skambutį kitam darbuotojui, atlikti prižiūrimą skambučio sujungimą (prieš persiuntimą supažindinant su tuo, kas skambina) arba neprižiūrimą skambučio persiuntimą.</w:t>
      </w:r>
    </w:p>
    <w:p>
      <w:pPr>
        <w:pStyle w:val="Normal"/>
        <w:widowControl/>
        <w:numPr>
          <w:ilvl w:val="0"/>
          <w:numId w:val="2"/>
        </w:numPr>
        <w:suppressAutoHyphens w:val="false"/>
        <w:spacing w:lineRule="auto" w:line="276"/>
        <w:jc w:val="both"/>
        <w:rPr/>
      </w:pPr>
      <w:r>
        <w:rPr>
          <w:rFonts w:cs="Calibri" w:ascii="Calibri" w:hAnsi="Calibri"/>
          <w:color w:val="000000"/>
          <w:lang w:val="lt-LT"/>
        </w:rPr>
        <w:t>Turi būti galimybė naudoti Balso pašto funkciją, kuri automatiškai įsijungia po tam tikro laiko ir įrašo skambinančiojo paliktą žinutę. Įrašytos žinutės gali būti perklausytos savitarnos svetainėje arba aplikacijoje darbuotojo telefone.</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galimybė neatsiliepus į skambutį tam tikrą laiko tarpą, šį skambutį persiųsti kitam ofiso darbuotojui.</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galimybė naudoti skambučių grupių funkciją (leidžia įmonės viduje sukurti darbuotojų grupes ir joms priskirti telefono numerį, kuriuo skambinant skamba tik tos grupės telefonai).</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galimybė aplikacijoje pasikeisti numerį išeinantiems skambučiams.</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galimybė nustatyti taisykles kur skambutis bus nukreipiamas darbo/nedarbo metu.</w:t>
      </w:r>
    </w:p>
    <w:p>
      <w:pPr>
        <w:pStyle w:val="Normal"/>
        <w:widowControl/>
        <w:numPr>
          <w:ilvl w:val="0"/>
          <w:numId w:val="2"/>
        </w:numPr>
        <w:suppressAutoHyphens w:val="false"/>
        <w:spacing w:lineRule="auto" w:line="276"/>
        <w:jc w:val="both"/>
        <w:rPr/>
      </w:pPr>
      <w:r>
        <w:rPr>
          <w:rFonts w:cs="Calibri" w:ascii="Calibri" w:hAnsi="Calibri"/>
          <w:color w:val="000000"/>
          <w:lang w:val="lt-LT"/>
        </w:rPr>
        <w:t>Prisijungus prie WEB sąsajos turi būti galimybė matyti darbuotojų būseną realiu laiku (kas šiuo metu kalba, kas ne).</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interaktyvių balso pranešimų sistemos (IVR, Interactive Voice Response) galimybė.</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galimybė įsirašyti garsinius pasveikinimo/balso pašto/IVR pranešimus.</w:t>
      </w:r>
    </w:p>
    <w:p>
      <w:pPr>
        <w:pStyle w:val="Normal"/>
        <w:widowControl/>
        <w:numPr>
          <w:ilvl w:val="0"/>
          <w:numId w:val="2"/>
        </w:numPr>
        <w:suppressAutoHyphens w:val="false"/>
        <w:spacing w:lineRule="auto" w:line="276"/>
        <w:jc w:val="both"/>
        <w:rPr>
          <w:rFonts w:ascii="Calibri" w:hAnsi="Calibri" w:cs="Calibri"/>
          <w:color w:val="000000"/>
          <w:lang w:val="lt-LT"/>
        </w:rPr>
      </w:pPr>
      <w:r>
        <w:rPr>
          <w:rFonts w:cs="Calibri" w:ascii="Calibri" w:hAnsi="Calibri"/>
          <w:color w:val="000000"/>
          <w:lang w:val="lt-LT"/>
        </w:rPr>
        <w:t>Turi būti galimybė įrašyti pokalbius, prieš tai įspėjus skambinantį asmenį. Pokalbių įrašai saugomi 1 mėnesį savitarnos svetainėje.</w:t>
      </w:r>
    </w:p>
    <w:p>
      <w:pPr>
        <w:pStyle w:val="Normal"/>
        <w:widowControl/>
        <w:numPr>
          <w:ilvl w:val="0"/>
          <w:numId w:val="2"/>
        </w:numPr>
        <w:suppressAutoHyphens w:val="false"/>
        <w:spacing w:lineRule="auto" w:line="276"/>
        <w:jc w:val="both"/>
        <w:rPr/>
      </w:pPr>
      <w:r>
        <w:rPr>
          <w:rFonts w:cs="Calibri" w:ascii="Calibri" w:hAnsi="Calibri"/>
          <w:color w:val="000000"/>
          <w:lang w:val="lt-LT"/>
        </w:rPr>
        <w:t>Turi būti galimybė skambintojui paskambinus pasinaudoti meniu ir būti nukreiptam į reikiamą perkančiosios organizacijos darbuotoją.</w:t>
      </w:r>
    </w:p>
    <w:p>
      <w:pPr>
        <w:pStyle w:val="Normal"/>
        <w:widowControl/>
        <w:suppressAutoHyphens w:val="false"/>
        <w:spacing w:lineRule="auto" w:line="276"/>
        <w:ind w:left="360" w:hanging="0"/>
        <w:rPr>
          <w:rFonts w:ascii="Calibri" w:hAnsi="Calibri" w:cs="Calibri"/>
          <w:color w:val="000000"/>
          <w:lang w:val="lt-LT"/>
        </w:rPr>
      </w:pPr>
      <w:r>
        <w:rPr>
          <w:rFonts w:cs="Calibri" w:ascii="Calibri" w:hAnsi="Calibri"/>
          <w:color w:val="000000"/>
          <w:lang w:val="lt-LT"/>
        </w:rPr>
      </w:r>
    </w:p>
    <w:p>
      <w:pPr>
        <w:pStyle w:val="Normal"/>
        <w:spacing w:lineRule="auto" w:line="276"/>
        <w:jc w:val="center"/>
        <w:rPr>
          <w:rFonts w:ascii="Calibri" w:hAnsi="Calibri" w:cs="Calibri"/>
          <w:color w:val="000000"/>
          <w:lang w:val="lt-LT"/>
        </w:rPr>
      </w:pPr>
      <w:r>
        <w:rPr>
          <w:rFonts w:cs="Calibri" w:ascii="Calibri" w:hAnsi="Calibri"/>
          <w:color w:val="000000"/>
          <w:lang w:val="lt-LT"/>
        </w:rPr>
      </w:r>
    </w:p>
    <w:p>
      <w:pPr>
        <w:pStyle w:val="Normal"/>
        <w:spacing w:lineRule="auto" w:line="276"/>
        <w:jc w:val="center"/>
        <w:rPr>
          <w:rFonts w:ascii="Calibri" w:hAnsi="Calibri" w:cs="Calibri"/>
          <w:lang w:val="lt-LT"/>
        </w:rPr>
      </w:pPr>
      <w:r>
        <w:rPr>
          <w:rFonts w:cs="Calibri" w:ascii="Calibri" w:hAnsi="Calibri"/>
          <w:lang w:val="lt-LT"/>
        </w:rPr>
        <w:t>______________</w:t>
      </w:r>
    </w:p>
    <w:sectPr>
      <w:type w:val="continuous"/>
      <w:pgSz w:w="11906" w:h="16838"/>
      <w:pgMar w:left="1701" w:right="565" w:gutter="0" w:header="0" w:top="568" w:footer="567" w:bottom="62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ourier New">
    <w:charset w:val="ba"/>
    <w:family w:val="modern"/>
    <w:pitch w:val="default"/>
  </w:font>
  <w:font w:name="Wingdings">
    <w:charset w:val="02"/>
    <w:family w:val="auto"/>
    <w:pitch w:val="variable"/>
  </w:font>
  <w:font w:name="Cambria">
    <w:charset w:val="ba"/>
    <w:family w:val="roman"/>
    <w:pitch w:val="variable"/>
  </w:font>
  <w:font w:name="Wingdings 2">
    <w:charset w:val="02"/>
    <w:family w:val="roman"/>
    <w:pitch w:val="variable"/>
  </w:font>
  <w:font w:name="StarSymbol">
    <w:altName w:val="Arial Unicode MS"/>
    <w:charset w:val="02"/>
    <w:family w:val="auto"/>
    <w:pitch w:val="default"/>
  </w:font>
  <w:font w:name="Arial">
    <w:charset w:val="ba"/>
    <w:family w:val="swiss"/>
    <w:pitch w:val="variable"/>
  </w:font>
  <w:font w:name="Tahoma">
    <w:charset w:val="ba"/>
    <w:family w:val="swiss"/>
    <w:pitch w:val="variable"/>
  </w:font>
  <w:font w:name="Helvetica LT">
    <w:altName w:val="Arial"/>
    <w:charset w:val="00"/>
    <w:family w:val="swiss"/>
    <w:pitch w:val="variable"/>
  </w:font>
  <w:font w:name="Calibri">
    <w:charset w:val="ba"/>
    <w:family w:val="swiss"/>
    <w:pitch w:val="variable"/>
  </w:font>
  <w:font w:name="Cambria Math">
    <w:charset w:val="ba"/>
    <w:family w:val="roman"/>
    <w:pitch w:val="variable"/>
  </w:font>
  <w:font w:name="Apto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i/>
        <w:color w:val="C0C0C0"/>
        <w:sz w:val="20"/>
        <w:szCs w:val="20"/>
        <w:lang w:val="lt-LT" w:eastAsia="lt-LT"/>
      </w:rPr>
      <w:fldChar w:fldCharType="begin"/>
    </w:r>
    <w:r>
      <w:rPr>
        <w:rStyle w:val="PageNumber"/>
        <w:sz w:val="20"/>
        <w:i/>
        <w:szCs w:val="20"/>
        <w:color w:val="C0C0C0"/>
        <w:lang w:val="lt-LT" w:eastAsia="lt-LT"/>
      </w:rPr>
      <w:instrText xml:space="preserve"> PAGE </w:instrText>
    </w:r>
    <w:r>
      <w:rPr>
        <w:rStyle w:val="PageNumber"/>
        <w:sz w:val="20"/>
        <w:i/>
        <w:szCs w:val="20"/>
        <w:color w:val="C0C0C0"/>
        <w:lang w:val="lt-LT" w:eastAsia="lt-LT"/>
      </w:rPr>
      <w:fldChar w:fldCharType="separate"/>
    </w:r>
    <w:r>
      <w:rPr>
        <w:rStyle w:val="PageNumber"/>
        <w:sz w:val="20"/>
        <w:i/>
        <w:szCs w:val="20"/>
        <w:color w:val="C0C0C0"/>
        <w:lang w:val="lt-LT" w:eastAsia="lt-LT"/>
      </w:rPr>
      <w:t>6</w:t>
    </w:r>
    <w:r>
      <w:rPr>
        <w:rStyle w:val="PageNumber"/>
        <w:sz w:val="20"/>
        <w:i/>
        <w:szCs w:val="20"/>
        <w:color w:val="C0C0C0"/>
        <w:lang w:val="lt-LT" w:eastAsia="lt-LT"/>
      </w:rPr>
      <w:fldChar w:fldCharType="end"/>
    </w:r>
    <w:r>
      <w:rPr>
        <w:rStyle w:val="PageNumber"/>
        <w:i/>
        <w:color w:val="C0C0C0"/>
        <w:sz w:val="20"/>
        <w:szCs w:val="20"/>
        <w:lang w:val="lt-LT" w:eastAsia="lt-LT"/>
      </w:rPr>
      <w:t xml:space="preserve"> </w:t>
    </w:r>
    <w:r>
      <w:rPr>
        <w:rStyle w:val="PageNumber"/>
        <w:i/>
        <w:color w:val="C0C0C0"/>
        <w:sz w:val="20"/>
        <w:szCs w:val="20"/>
        <w:lang w:val="lt-LT" w:eastAsia="lt-LT"/>
      </w:rPr>
      <w:t xml:space="preserve">lapas iš </w:t>
    </w:r>
    <w:r>
      <w:rPr>
        <w:rStyle w:val="PageNumber"/>
        <w:i/>
        <w:color w:val="C0C0C0"/>
        <w:sz w:val="20"/>
        <w:szCs w:val="20"/>
        <w:lang w:val="lt-LT" w:eastAsia="lt-LT"/>
      </w:rPr>
      <w:fldChar w:fldCharType="begin"/>
    </w:r>
    <w:r>
      <w:rPr>
        <w:rStyle w:val="PageNumber"/>
        <w:sz w:val="20"/>
        <w:i/>
        <w:szCs w:val="20"/>
        <w:color w:val="C0C0C0"/>
        <w:lang w:val="lt-LT" w:eastAsia="lt-LT"/>
      </w:rPr>
      <w:instrText xml:space="preserve"> NUMPAGES \* ARABIC </w:instrText>
    </w:r>
    <w:r>
      <w:rPr>
        <w:rStyle w:val="PageNumber"/>
        <w:sz w:val="20"/>
        <w:i/>
        <w:szCs w:val="20"/>
        <w:color w:val="C0C0C0"/>
        <w:lang w:val="lt-LT" w:eastAsia="lt-LT"/>
      </w:rPr>
      <w:fldChar w:fldCharType="separate"/>
    </w:r>
    <w:r>
      <w:rPr>
        <w:rStyle w:val="PageNumber"/>
        <w:sz w:val="20"/>
        <w:i/>
        <w:szCs w:val="20"/>
        <w:color w:val="C0C0C0"/>
        <w:lang w:val="lt-LT" w:eastAsia="lt-LT"/>
      </w:rPr>
      <w:t>6</w:t>
    </w:r>
    <w:r>
      <w:rPr>
        <w:rStyle w:val="PageNumber"/>
        <w:sz w:val="20"/>
        <w:i/>
        <w:szCs w:val="20"/>
        <w:color w:val="C0C0C0"/>
        <w:lang w:val="lt-LT" w:eastAsia="lt-LT"/>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rPr>
        <w:rFonts w:cs="Times New Roman"/>
      </w:rPr>
    </w:lvl>
    <w:lvl w:ilvl="1">
      <w:start w:val="1"/>
      <w:pStyle w:val="Heading2"/>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none"/>
      <w:suff w:val="nothing"/>
      <w:lvlText w:val=""/>
      <w:lvlJc w:val="left"/>
      <w:pPr>
        <w:tabs>
          <w:tab w:val="num" w:pos="0"/>
        </w:tabs>
        <w:ind w:left="0" w:hanging="0"/>
      </w:pPr>
      <w:rPr>
        <w:rFonts w:cs="Times New Roman"/>
      </w:rPr>
    </w:lvl>
    <w:lvl w:ilvl="5">
      <w:start w:val="1"/>
      <w:numFmt w:val="decimal"/>
      <w:lvlText w:val=".%6"/>
      <w:lvlJc w:val="left"/>
      <w:pPr>
        <w:tabs>
          <w:tab w:val="num" w:pos="1701"/>
        </w:tabs>
        <w:ind w:left="1701" w:hanging="283"/>
      </w:pPr>
      <w:rPr>
        <w:rFonts w:cs="Times New Roman"/>
      </w:rPr>
    </w:lvl>
    <w:lvl w:ilvl="6">
      <w:start w:val="1"/>
      <w:numFmt w:val="none"/>
      <w:suff w:val="nothing"/>
      <w:lvlText w:val=""/>
      <w:lvlJc w:val="left"/>
      <w:pPr>
        <w:tabs>
          <w:tab w:val="num" w:pos="0"/>
        </w:tabs>
        <w:ind w:left="0"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0"/>
        </w:tabs>
        <w:ind w:left="360" w:hanging="360"/>
      </w:pPr>
      <w:rPr>
        <w:i w:val="false"/>
        <w:color w:val="000000"/>
      </w:rPr>
    </w:lvl>
    <w:lvl w:ilvl="1">
      <w:start w:val="1"/>
      <w:numFmt w:val="decimal"/>
      <w:suff w:val="space"/>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7"/>
      <w:numFmt w:val="decimal"/>
      <w:lvlText w:val="%1."/>
      <w:lvlJc w:val="left"/>
      <w:pPr>
        <w:tabs>
          <w:tab w:val="num" w:pos="0"/>
        </w:tabs>
        <w:ind w:left="420" w:hanging="420"/>
      </w:pPr>
      <w:rPr>
        <w:b w:val="false"/>
      </w:rPr>
    </w:lvl>
    <w:lvl w:ilvl="1">
      <w:start w:val="9"/>
      <w:numFmt w:val="decimal"/>
      <w:lvlText w:val="%1.%2."/>
      <w:lvlJc w:val="left"/>
      <w:pPr>
        <w:tabs>
          <w:tab w:val="num" w:pos="0"/>
        </w:tabs>
        <w:ind w:left="720" w:hanging="720"/>
      </w:pPr>
      <w:rPr>
        <w:b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1080" w:hanging="108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440" w:hanging="144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800" w:hanging="1800"/>
      </w:pPr>
      <w:rPr>
        <w:b w:val="false"/>
      </w:rPr>
    </w:lvl>
    <w:lvl w:ilvl="8">
      <w:start w:val="1"/>
      <w:numFmt w:val="decimal"/>
      <w:lvlText w:val="%1.%2.%3.%4.%5.%6.%7.%8.%9."/>
      <w:lvlJc w:val="left"/>
      <w:pPr>
        <w:tabs>
          <w:tab w:val="num" w:pos="0"/>
        </w:tabs>
        <w:ind w:left="2160" w:hanging="2160"/>
      </w:pPr>
      <w:rPr>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lang w:val="lt-LT"/>
    </w:rPr>
  </w:style>
  <w:style w:type="paragraph" w:styleId="Heading2">
    <w:name w:val="Heading 2"/>
    <w:basedOn w:val="Normal"/>
    <w:next w:val="Normal"/>
    <w:qFormat/>
    <w:pPr>
      <w:keepNext w:val="true"/>
      <w:numPr>
        <w:ilvl w:val="1"/>
        <w:numId w:val="1"/>
      </w:numPr>
      <w:outlineLvl w:val="1"/>
    </w:pPr>
    <w:rPr>
      <w:lang w:val="lt-LT"/>
    </w:rPr>
  </w:style>
  <w:style w:type="character" w:styleId="WW8Num1z0">
    <w:name w:val="WW8Num1z0"/>
    <w:qFormat/>
    <w:rPr>
      <w:rFonts w:cs="Times New Roman"/>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cs="Times New Roman"/>
    </w:rPr>
  </w:style>
  <w:style w:type="character" w:styleId="WW8Num4z1">
    <w:name w:val="WW8Num4z1"/>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6z1">
    <w:name w:val="WW8Num6z1"/>
    <w:qFormat/>
    <w:rPr>
      <w:rFonts w:cs="Times New Roman"/>
      <w:sz w:val="22"/>
      <w:szCs w:val="22"/>
    </w:rPr>
  </w:style>
  <w:style w:type="character" w:styleId="WW8Num7z0">
    <w:name w:val="WW8Num7z0"/>
    <w:qFormat/>
    <w:rPr>
      <w:rFonts w:ascii="Times New Roman" w:hAnsi="Times New Roman" w:eastAsia="Times New Roman" w:cs="Times New Roman"/>
      <w:b/>
    </w:rPr>
  </w:style>
  <w:style w:type="character" w:styleId="WW8Num7z1">
    <w:name w:val="WW8Num7z1"/>
    <w:qFormat/>
    <w:rPr>
      <w:b w:val="false"/>
    </w:rPr>
  </w:style>
  <w:style w:type="character" w:styleId="WW8Num7z3">
    <w:name w:val="WW8Num7z3"/>
    <w:qFormat/>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cs="Times New Roman"/>
    </w:rPr>
  </w:style>
  <w:style w:type="character" w:styleId="WW8Num11z0">
    <w:name w:val="WW8Num11z0"/>
    <w:qFormat/>
    <w:rPr>
      <w:i w:val="false"/>
      <w:color w:val="000000"/>
    </w:rPr>
  </w:style>
  <w:style w:type="character" w:styleId="WW8Num11z1">
    <w:name w:val="WW8Num11z1"/>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rFonts w:eastAsia="Batang;바탕"/>
    </w:rPr>
  </w:style>
  <w:style w:type="character" w:styleId="WW8Num15z0">
    <w:name w:val="WW8Num15z0"/>
    <w:qFormat/>
    <w:rPr>
      <w:rFonts w:cs="Times New Roman"/>
    </w:rPr>
  </w:style>
  <w:style w:type="character" w:styleId="WW8Num15z1">
    <w:name w:val="WW8Num15z1"/>
    <w:qFormat/>
    <w:rPr>
      <w:rFonts w:cs="Times New Roman"/>
    </w:rPr>
  </w:style>
  <w:style w:type="character" w:styleId="WW8Num16z0">
    <w:name w:val="WW8Num16z0"/>
    <w:qFormat/>
    <w:rPr/>
  </w:style>
  <w:style w:type="character" w:styleId="Numatytasispastraiposriftas">
    <w:name w:val="Numatytasis pastraipos šriftas"/>
    <w:qFormat/>
    <w:rPr/>
  </w:style>
  <w:style w:type="character" w:styleId="Antrat1Diagrama">
    <w:name w:val="Antraštė 1 Diagrama"/>
    <w:qFormat/>
    <w:rPr>
      <w:rFonts w:ascii="Cambria" w:hAnsi="Cambria" w:cs="Times New Roman"/>
      <w:b/>
      <w:bCs/>
      <w:kern w:val="2"/>
      <w:sz w:val="32"/>
      <w:szCs w:val="32"/>
      <w:lang w:val="en-US"/>
    </w:rPr>
  </w:style>
  <w:style w:type="character" w:styleId="Antrat2Diagrama">
    <w:name w:val="Antraštė 2 Diagrama"/>
    <w:qFormat/>
    <w:rPr>
      <w:rFonts w:ascii="Cambria" w:hAnsi="Cambria" w:cs="Times New Roman"/>
      <w:b/>
      <w:bCs/>
      <w:i/>
      <w:iCs/>
      <w:sz w:val="28"/>
      <w:szCs w:val="28"/>
      <w:lang w:val="en-US"/>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8Num2z1">
    <w:name w:val="WW8Num2z1"/>
    <w:qFormat/>
    <w:rPr>
      <w:rFonts w:ascii="Wingdings 2" w:hAnsi="Wingdings 2" w:cs="Wingdings 2"/>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FootnoteCharacters">
    <w:name w:val="Footnote Characters"/>
    <w:qFormat/>
    <w:rPr/>
  </w:style>
  <w:style w:type="character" w:styleId="NumberingSymbols">
    <w:name w:val="Numbering Symbols"/>
    <w:qFormat/>
    <w:rPr/>
  </w:style>
  <w:style w:type="character" w:styleId="Bullets">
    <w:name w:val="Bullets"/>
    <w:qFormat/>
    <w:rPr>
      <w:rFonts w:ascii="StarSymbol;Arial Unicode MS" w:hAnsi="StarSymbol;Arial Unicode MS" w:cs="StarSymbol;Arial Unicode MS"/>
      <w:sz w:val="18"/>
    </w:rPr>
  </w:style>
  <w:style w:type="character" w:styleId="WWDefaultParagraphFont">
    <w:name w:val="WW-Default Paragraph Font"/>
    <w:qFormat/>
    <w:rPr/>
  </w:style>
  <w:style w:type="character" w:styleId="InternetLink">
    <w:name w:val="Hyperlink"/>
    <w:rPr>
      <w:rFonts w:cs="Times New Roman"/>
      <w:color w:val="0000FF"/>
      <w:u w:val="single"/>
    </w:rPr>
  </w:style>
  <w:style w:type="character" w:styleId="EndnoteCharacters">
    <w:name w:val="Endnote Characters"/>
    <w:qFormat/>
    <w:rPr/>
  </w:style>
  <w:style w:type="character" w:styleId="Numeravimosimboliai">
    <w:name w:val="Numeravimo simboliai"/>
    <w:qFormat/>
    <w:rPr/>
  </w:style>
  <w:style w:type="character" w:styleId="Puslapioinaosnuoroda">
    <w:name w:val="Puslapio išnašos nuoroda"/>
    <w:qFormat/>
    <w:rPr>
      <w:rFonts w:cs="Times New Roman"/>
      <w:vertAlign w:val="superscript"/>
    </w:rPr>
  </w:style>
  <w:style w:type="character" w:styleId="PagrindinistekstasDiagrama">
    <w:name w:val="Pagrindinis tekstas Diagrama"/>
    <w:qFormat/>
    <w:rPr>
      <w:rFonts w:cs="Times New Roman"/>
      <w:sz w:val="24"/>
      <w:szCs w:val="24"/>
      <w:lang w:val="en-US"/>
    </w:rPr>
  </w:style>
  <w:style w:type="character" w:styleId="PuslapioinaostekstasDiagrama">
    <w:name w:val="Puslapio išnašos tekstas Diagrama"/>
    <w:qFormat/>
    <w:rPr>
      <w:rFonts w:cs="Times New Roman"/>
      <w:sz w:val="20"/>
      <w:szCs w:val="20"/>
      <w:lang w:val="en-US"/>
    </w:rPr>
  </w:style>
  <w:style w:type="character" w:styleId="DebesliotekstasDiagrama">
    <w:name w:val="Debesėlio tekstas Diagrama"/>
    <w:qFormat/>
    <w:rPr>
      <w:rFonts w:cs="Times New Roman"/>
      <w:sz w:val="2"/>
      <w:lang w:val="en-US"/>
    </w:rPr>
  </w:style>
  <w:style w:type="character" w:styleId="HTMLiankstoformatuotasDiagrama">
    <w:name w:val="HTML iš anksto formatuotas Diagrama"/>
    <w:qFormat/>
    <w:rPr>
      <w:rFonts w:ascii="Courier New" w:hAnsi="Courier New" w:cs="Courier New"/>
      <w:sz w:val="20"/>
      <w:szCs w:val="20"/>
      <w:lang w:val="en-US"/>
    </w:rPr>
  </w:style>
  <w:style w:type="character" w:styleId="AntratsDiagrama">
    <w:name w:val="Antraštės Diagrama"/>
    <w:qFormat/>
    <w:rPr>
      <w:rFonts w:cs="Times New Roman"/>
      <w:sz w:val="24"/>
      <w:szCs w:val="24"/>
      <w:lang w:val="en-US"/>
    </w:rPr>
  </w:style>
  <w:style w:type="character" w:styleId="PoratDiagrama">
    <w:name w:val="Poraštė Diagrama"/>
    <w:qFormat/>
    <w:rPr>
      <w:rFonts w:cs="Times New Roman"/>
      <w:sz w:val="24"/>
      <w:szCs w:val="24"/>
      <w:lang w:val="en-US"/>
    </w:rPr>
  </w:style>
  <w:style w:type="character" w:styleId="PageNumber">
    <w:name w:val="Page Number"/>
    <w:rPr>
      <w:rFonts w:cs="Times New Roman"/>
    </w:rPr>
  </w:style>
  <w:style w:type="character" w:styleId="Komentaronuoroda">
    <w:name w:val="Komentaro nuoroda"/>
    <w:qFormat/>
    <w:rPr>
      <w:rFonts w:cs="Times New Roman"/>
      <w:sz w:val="16"/>
      <w:szCs w:val="16"/>
    </w:rPr>
  </w:style>
  <w:style w:type="character" w:styleId="KomentarotekstasDiagrama">
    <w:name w:val="Komentaro tekstas Diagrama"/>
    <w:qFormat/>
    <w:rPr>
      <w:rFonts w:cs="Times New Roman"/>
      <w:sz w:val="20"/>
      <w:szCs w:val="20"/>
      <w:lang w:val="en-US"/>
    </w:rPr>
  </w:style>
  <w:style w:type="character" w:styleId="KomentarotemaDiagrama">
    <w:name w:val="Komentaro tema Diagrama"/>
    <w:qFormat/>
    <w:rPr>
      <w:rFonts w:cs="Times New Roman"/>
      <w:b/>
      <w:bCs/>
      <w:sz w:val="20"/>
      <w:szCs w:val="20"/>
      <w:lang w:val="en-US"/>
    </w:rPr>
  </w:style>
  <w:style w:type="character" w:styleId="StrongEmphasis">
    <w:name w:val="Strong Emphasis"/>
    <w:qFormat/>
    <w:rPr>
      <w:rFonts w:cs="Times New Roman"/>
      <w:b/>
    </w:rPr>
  </w:style>
  <w:style w:type="character" w:styleId="Neapdorotaspaminjimas">
    <w:name w:val="Neapdorotas paminėjimas"/>
    <w:qFormat/>
    <w:rPr>
      <w:color w:val="605E5C"/>
      <w:shd w:fill="E1DFDD" w:val="clear"/>
    </w:rPr>
  </w:style>
  <w:style w:type="character" w:styleId="SraopastraipaDiagrama">
    <w:name w:val="Sąrašo pastraipa Diagrama"/>
    <w:qFormat/>
    <w:rPr/>
  </w:style>
  <w:style w:type="paragraph" w:styleId="Heading">
    <w:name w:val="Heading"/>
    <w:basedOn w:val="Normal"/>
    <w:next w:val="TextBody"/>
    <w:qFormat/>
    <w:pPr>
      <w:keepNext w:val="true"/>
      <w:spacing w:before="240" w:after="120"/>
    </w:pPr>
    <w:rPr>
      <w:rFonts w:ascii="Arial" w:hAnsi="Arial"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Tahoma"/>
    </w:rPr>
  </w:style>
  <w:style w:type="paragraph" w:styleId="Antrat">
    <w:name w:val="Antraštė"/>
    <w:basedOn w:val="Normal"/>
    <w:qFormat/>
    <w:pPr>
      <w:suppressLineNumbers/>
      <w:spacing w:before="120" w:after="120"/>
    </w:pPr>
    <w:rPr>
      <w:rFonts w:cs="Tahoma"/>
      <w:i/>
      <w:iCs/>
      <w:sz w:val="20"/>
      <w:szCs w:val="20"/>
    </w:rPr>
  </w:style>
  <w:style w:type="paragraph" w:styleId="Antrat1">
    <w:name w:val="Antraštė1"/>
    <w:basedOn w:val="Normal"/>
    <w:next w:val="TextBody"/>
    <w:qFormat/>
    <w:pPr>
      <w:keepNext w:val="true"/>
      <w:spacing w:before="240" w:after="120"/>
    </w:pPr>
    <w:rPr>
      <w:rFonts w:ascii="Arial" w:hAnsi="Arial" w:cs="Tahoma"/>
      <w:sz w:val="28"/>
      <w:szCs w:val="28"/>
    </w:rPr>
  </w:style>
  <w:style w:type="paragraph" w:styleId="Pavadinimas1">
    <w:name w:val="Pavadinimas1"/>
    <w:basedOn w:val="Normal"/>
    <w:qFormat/>
    <w:pPr>
      <w:suppressLineNumbers/>
      <w:spacing w:before="120" w:after="120"/>
    </w:pPr>
    <w:rPr>
      <w:rFonts w:cs="Tahoma"/>
      <w:i/>
      <w:iCs/>
    </w:rPr>
  </w:style>
  <w:style w:type="paragraph" w:styleId="Rodykl">
    <w:name w:val="Rodyklė"/>
    <w:basedOn w:val="Normal"/>
    <w:qFormat/>
    <w:pPr>
      <w:suppressLineNumbers/>
    </w:pPr>
    <w:rPr>
      <w:rFonts w:cs="Tahoma"/>
    </w:rPr>
  </w:style>
  <w:style w:type="paragraph" w:styleId="Footnote">
    <w:name w:val="Footnote Text"/>
    <w:basedOn w:val="Normal"/>
    <w:pPr>
      <w:suppressLineNumbers/>
      <w:ind w:left="283" w:hanging="283"/>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paragraph" w:styleId="Debesliotekstas">
    <w:name w:val="Debesėlio tekstas"/>
    <w:basedOn w:val="Normal"/>
    <w:qFormat/>
    <w:pPr/>
    <w:rPr>
      <w:rFonts w:ascii="Tahoma" w:hAnsi="Tahoma" w:cs="Tahoma"/>
      <w:sz w:val="16"/>
      <w:szCs w:val="16"/>
    </w:rPr>
  </w:style>
  <w:style w:type="paragraph" w:styleId="HTMLiankstoformatuotas">
    <w:name w:val="HTML iš anksto formatuotas"/>
    <w:basedOn w:val="Normal"/>
    <w:qFormat/>
    <w:pPr>
      <w:widowControl/>
      <w:suppressAutoHyphens w:val="false"/>
      <w:autoSpaceDE w:val="false"/>
    </w:pPr>
    <w:rPr>
      <w:rFonts w:ascii="Helvetica LT;Arial" w:hAnsi="Helvetica LT;Arial" w:cs="Helvetica LT;Arial"/>
      <w:color w:val="000000"/>
      <w:sz w:val="20"/>
      <w:szCs w:val="20"/>
    </w:rPr>
  </w:style>
  <w:style w:type="paragraph" w:styleId="Tekstoblokas">
    <w:name w:val="Teksto blokas"/>
    <w:basedOn w:val="Normal"/>
    <w:qFormat/>
    <w:pPr>
      <w:widowControl/>
      <w:suppressAutoHyphens w:val="false"/>
      <w:spacing w:lineRule="auto" w:line="360"/>
      <w:ind w:left="-540" w:right="-900" w:hanging="360"/>
      <w:jc w:val="both"/>
    </w:pPr>
    <w:rPr>
      <w:sz w:val="22"/>
      <w:szCs w:val="10"/>
      <w:lang w:val="lt-LT"/>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Komentarotekstas">
    <w:name w:val="Komentaro tekstas"/>
    <w:basedOn w:val="Normal"/>
    <w:qFormat/>
    <w:pPr/>
    <w:rPr>
      <w:sz w:val="20"/>
      <w:szCs w:val="20"/>
    </w:rPr>
  </w:style>
  <w:style w:type="paragraph" w:styleId="Komentarotema">
    <w:name w:val="Komentaro tema"/>
    <w:basedOn w:val="Komentarotekstas"/>
    <w:next w:val="Komentarotekstas"/>
    <w:qFormat/>
    <w:pPr/>
    <w:rPr>
      <w:b/>
      <w:bCs/>
    </w:rPr>
  </w:style>
  <w:style w:type="paragraph" w:styleId="Sraopastraipa">
    <w:name w:val="Sąrašo pastraipa"/>
    <w:basedOn w:val="Normal"/>
    <w:qFormat/>
    <w:pPr>
      <w:suppressAutoHyphens w:val="false"/>
      <w:autoSpaceDE w:val="false"/>
      <w:spacing w:before="0" w:after="0"/>
      <w:ind w:left="720" w:hanging="0"/>
      <w:contextualSpacing/>
    </w:pPr>
    <w:rPr>
      <w:sz w:val="20"/>
      <w:szCs w:val="20"/>
      <w:lang w:val="lt-LT"/>
    </w:rPr>
  </w:style>
  <w:style w:type="paragraph" w:styleId="Xmsonormal">
    <w:name w:val="x_msonormal"/>
    <w:basedOn w:val="Normal"/>
    <w:qFormat/>
    <w:pPr>
      <w:widowControl/>
      <w:suppressAutoHyphens w:val="false"/>
      <w:spacing w:before="280" w:after="280"/>
    </w:pPr>
    <w:rPr>
      <w:lang w:val="lt-LT"/>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yperlink" Target="mailto:giedre.petkeliene@tele2.lt" TargetMode="External"/><Relationship Id="rId7" Type="http://schemas.openxmlformats.org/officeDocument/2006/relationships/hyperlink" Target="mailto:egidijus.trakselis@tm.lt"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73</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2025-04-08T10:14:00Z</dcterms:created>
  <dc:creator>GintKeze</dc:creator>
  <dc:description/>
  <cp:keywords/>
  <dc:language>lt-LT</dc:language>
  <cp:lastModifiedBy>Julija Sadovnikova</cp:lastModifiedBy>
  <cp:lastPrinted>2017-02-15T12:53:00Z</cp:lastPrinted>
  <dcterms:modified xsi:type="dcterms:W3CDTF">2025-04-09T14:56:00Z</dcterms:modified>
  <cp:revision>11</cp:revision>
  <dc:subject/>
  <dc:title>Priedas Nr</dc:title>
</cp:coreProperties>
</file>