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ECEB" w14:textId="77777777" w:rsidR="00090477" w:rsidRDefault="00090477" w:rsidP="008D3BAD">
      <w:pPr>
        <w:jc w:val="center"/>
        <w:rPr>
          <w:b/>
          <w:caps/>
          <w:sz w:val="24"/>
          <w:szCs w:val="24"/>
          <w:lang w:val="lt-LT"/>
        </w:rPr>
      </w:pPr>
    </w:p>
    <w:p w14:paraId="0ED2E49E" w14:textId="12916586" w:rsidR="00090477" w:rsidRDefault="008D3BAD" w:rsidP="008D3BAD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 w:rsidR="00AA7FCF">
        <w:rPr>
          <w:b/>
          <w:caps/>
          <w:sz w:val="24"/>
          <w:szCs w:val="24"/>
          <w:lang w:val="lt-LT"/>
        </w:rPr>
        <w:t>IR PRELIMINARIOSIOS SUTARTIES ĮKAINIAI</w:t>
      </w:r>
    </w:p>
    <w:p w14:paraId="37D2FC28" w14:textId="77777777" w:rsidR="00090477" w:rsidRPr="008D3BAD" w:rsidRDefault="00090477" w:rsidP="008D3BAD">
      <w:pPr>
        <w:jc w:val="center"/>
        <w:rPr>
          <w:b/>
          <w:i/>
          <w:caps/>
          <w:sz w:val="24"/>
          <w:szCs w:val="24"/>
          <w:lang w:val="lt-LT"/>
        </w:rPr>
      </w:pPr>
    </w:p>
    <w:p w14:paraId="70DC647B" w14:textId="2D936473" w:rsidR="005C0106" w:rsidRPr="00894A1D" w:rsidRDefault="005C0106" w:rsidP="007A3539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>Lentelėje (7 stulp.)</w:t>
      </w:r>
      <w:r w:rsidR="007A3539" w:rsidRPr="00894A1D">
        <w:rPr>
          <w:sz w:val="22"/>
          <w:szCs w:val="22"/>
          <w:lang w:val="lt-LT"/>
        </w:rPr>
        <w:t xml:space="preserve"> BŪTINA nurodyti </w:t>
      </w:r>
      <w:r w:rsidR="002033DD" w:rsidRPr="00894A1D">
        <w:rPr>
          <w:sz w:val="22"/>
          <w:szCs w:val="22"/>
          <w:lang w:val="lt-LT"/>
        </w:rPr>
        <w:t>reikalaujam</w:t>
      </w:r>
      <w:r w:rsidR="00894A1D">
        <w:rPr>
          <w:sz w:val="22"/>
          <w:szCs w:val="22"/>
          <w:lang w:val="lt-LT"/>
        </w:rPr>
        <w:t>as reikšmes</w:t>
      </w:r>
      <w:r w:rsidR="007A3539" w:rsidRPr="00894A1D">
        <w:rPr>
          <w:sz w:val="22"/>
          <w:szCs w:val="22"/>
          <w:lang w:val="lt-LT"/>
        </w:rPr>
        <w:t xml:space="preserve">: </w:t>
      </w:r>
      <w:r w:rsidR="00EE2503">
        <w:rPr>
          <w:sz w:val="22"/>
          <w:szCs w:val="22"/>
          <w:lang w:val="lt-LT"/>
        </w:rPr>
        <w:t xml:space="preserve">reikalaujamus </w:t>
      </w:r>
      <w:r w:rsidR="002033DD" w:rsidRPr="00894A1D">
        <w:rPr>
          <w:sz w:val="22"/>
          <w:szCs w:val="22"/>
          <w:lang w:val="lt-LT"/>
        </w:rPr>
        <w:t xml:space="preserve">siūlomų </w:t>
      </w:r>
      <w:r w:rsidR="00012A4D">
        <w:rPr>
          <w:sz w:val="22"/>
          <w:szCs w:val="22"/>
          <w:lang w:val="lt-LT"/>
        </w:rPr>
        <w:t xml:space="preserve">prekių </w:t>
      </w:r>
      <w:r w:rsidR="00B37A41">
        <w:rPr>
          <w:sz w:val="22"/>
          <w:szCs w:val="22"/>
          <w:lang w:val="lt-LT"/>
        </w:rPr>
        <w:t>duomenis (</w:t>
      </w:r>
      <w:r w:rsidR="00012A4D">
        <w:rPr>
          <w:sz w:val="22"/>
          <w:szCs w:val="22"/>
          <w:lang w:val="lt-LT"/>
        </w:rPr>
        <w:t>gamintoj</w:t>
      </w:r>
      <w:r w:rsidR="00B37A41">
        <w:rPr>
          <w:sz w:val="22"/>
          <w:szCs w:val="22"/>
          <w:lang w:val="lt-LT"/>
        </w:rPr>
        <w:t>ą</w:t>
      </w:r>
      <w:r w:rsidR="00F56AB3">
        <w:rPr>
          <w:sz w:val="22"/>
          <w:szCs w:val="22"/>
          <w:lang w:val="lt-LT"/>
        </w:rPr>
        <w:t xml:space="preserve"> arba</w:t>
      </w:r>
      <w:r w:rsidR="00012A4D">
        <w:rPr>
          <w:sz w:val="22"/>
          <w:szCs w:val="22"/>
          <w:lang w:val="lt-LT"/>
        </w:rPr>
        <w:t xml:space="preserve"> platintoj</w:t>
      </w:r>
      <w:r w:rsidR="00B37A41">
        <w:rPr>
          <w:sz w:val="22"/>
          <w:szCs w:val="22"/>
          <w:lang w:val="lt-LT"/>
        </w:rPr>
        <w:t>ą</w:t>
      </w:r>
      <w:r w:rsidR="00364AD5">
        <w:rPr>
          <w:sz w:val="22"/>
          <w:szCs w:val="22"/>
          <w:lang w:val="lt-LT"/>
        </w:rPr>
        <w:t>,</w:t>
      </w:r>
      <w:r w:rsidR="00B37A41">
        <w:rPr>
          <w:sz w:val="22"/>
          <w:szCs w:val="22"/>
          <w:lang w:val="lt-LT"/>
        </w:rPr>
        <w:t xml:space="preserve"> klasę, dydį)</w:t>
      </w:r>
      <w:r w:rsidR="00012A4D">
        <w:rPr>
          <w:sz w:val="22"/>
          <w:szCs w:val="22"/>
          <w:lang w:val="lt-LT"/>
        </w:rPr>
        <w:t xml:space="preserve"> </w:t>
      </w:r>
      <w:r w:rsidR="00E2352C">
        <w:rPr>
          <w:sz w:val="22"/>
          <w:szCs w:val="22"/>
          <w:lang w:val="lt-LT"/>
        </w:rPr>
        <w:t xml:space="preserve">ir </w:t>
      </w:r>
      <w:r w:rsidR="002033DD" w:rsidRPr="00894A1D">
        <w:rPr>
          <w:sz w:val="22"/>
          <w:szCs w:val="22"/>
          <w:lang w:val="lt-LT"/>
        </w:rPr>
        <w:t>dokument</w:t>
      </w:r>
      <w:r w:rsidR="000D294A">
        <w:rPr>
          <w:sz w:val="22"/>
          <w:szCs w:val="22"/>
          <w:lang w:val="lt-LT"/>
        </w:rPr>
        <w:t xml:space="preserve">ų, </w:t>
      </w:r>
      <w:r w:rsidR="00E2352C">
        <w:rPr>
          <w:sz w:val="22"/>
          <w:szCs w:val="22"/>
          <w:lang w:val="lt-LT"/>
        </w:rPr>
        <w:t>kurie teikiami įrodant siūlomų prekių atitiktį nustatytiems reikalavimams</w:t>
      </w:r>
      <w:r w:rsidR="00B330D4">
        <w:rPr>
          <w:sz w:val="22"/>
          <w:szCs w:val="22"/>
          <w:lang w:val="lt-LT"/>
        </w:rPr>
        <w:t>, fail</w:t>
      </w:r>
      <w:r w:rsidR="00E2352C">
        <w:rPr>
          <w:sz w:val="22"/>
          <w:szCs w:val="22"/>
          <w:lang w:val="lt-LT"/>
        </w:rPr>
        <w:t>ų</w:t>
      </w:r>
      <w:r w:rsidR="00B330D4">
        <w:rPr>
          <w:sz w:val="22"/>
          <w:szCs w:val="22"/>
          <w:lang w:val="lt-LT"/>
        </w:rPr>
        <w:t xml:space="preserve"> pavadinim</w:t>
      </w:r>
      <w:r w:rsidR="00E2352C">
        <w:rPr>
          <w:sz w:val="22"/>
          <w:szCs w:val="22"/>
          <w:lang w:val="lt-LT"/>
        </w:rPr>
        <w:t>us</w:t>
      </w:r>
      <w:r w:rsidR="00894A1D">
        <w:rPr>
          <w:sz w:val="22"/>
          <w:szCs w:val="22"/>
          <w:lang w:val="lt-LT"/>
        </w:rPr>
        <w:t>.</w:t>
      </w:r>
    </w:p>
    <w:p w14:paraId="573F03EA" w14:textId="695E2A7E" w:rsidR="007A3539" w:rsidRDefault="00894A1D" w:rsidP="00717E8D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 w:rsidR="00A763BC"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 w:rsidR="00E2352C"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 w:rsidR="00E2352C">
        <w:rPr>
          <w:noProof/>
          <w:sz w:val="22"/>
          <w:szCs w:val="22"/>
          <w:lang w:val="lt-LT"/>
        </w:rPr>
        <w:t>rekių</w:t>
      </w:r>
      <w:r w:rsidR="00146960">
        <w:rPr>
          <w:noProof/>
          <w:sz w:val="22"/>
          <w:szCs w:val="22"/>
          <w:lang w:val="lt-LT"/>
        </w:rPr>
        <w:t xml:space="preserve"> gamintojo</w:t>
      </w:r>
      <w:r w:rsidR="00614C6C">
        <w:rPr>
          <w:noProof/>
          <w:sz w:val="22"/>
          <w:szCs w:val="22"/>
          <w:lang w:val="lt-LT"/>
        </w:rPr>
        <w:t xml:space="preserve"> ar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katalogas</w:t>
      </w:r>
      <w:r w:rsidRPr="00894A1D">
        <w:rPr>
          <w:noProof/>
          <w:sz w:val="22"/>
          <w:szCs w:val="22"/>
        </w:rPr>
        <w:t>,</w:t>
      </w:r>
      <w:r w:rsidR="00717E8D">
        <w:rPr>
          <w:noProof/>
          <w:sz w:val="22"/>
          <w:szCs w:val="22"/>
        </w:rPr>
        <w:t xml:space="preserve"> brošiūra,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momentinė ekrano kopija iš gamintojo</w:t>
      </w:r>
      <w:r w:rsidR="00F56AB3">
        <w:rPr>
          <w:noProof/>
          <w:sz w:val="22"/>
          <w:szCs w:val="22"/>
        </w:rPr>
        <w:t xml:space="preserve"> arba</w:t>
      </w:r>
      <w:r w:rsidR="00261CD4">
        <w:rPr>
          <w:noProof/>
          <w:sz w:val="22"/>
          <w:szCs w:val="22"/>
        </w:rPr>
        <w:t xml:space="preserve"> platintojo </w:t>
      </w:r>
      <w:r>
        <w:rPr>
          <w:noProof/>
          <w:sz w:val="22"/>
          <w:szCs w:val="22"/>
        </w:rPr>
        <w:t>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 w:rsidR="00E2352C"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 w:rsidR="00146960">
        <w:rPr>
          <w:noProof/>
          <w:sz w:val="22"/>
          <w:szCs w:val="22"/>
          <w:lang w:val="lt-LT"/>
        </w:rPr>
        <w:t>mintojo</w:t>
      </w:r>
      <w:r w:rsidR="00F56AB3">
        <w:rPr>
          <w:noProof/>
          <w:sz w:val="22"/>
          <w:szCs w:val="22"/>
          <w:lang w:val="lt-LT"/>
        </w:rPr>
        <w:t xml:space="preserve"> arba</w:t>
      </w:r>
      <w:r w:rsidR="00261CD4">
        <w:rPr>
          <w:noProof/>
          <w:sz w:val="22"/>
          <w:szCs w:val="22"/>
          <w:lang w:val="lt-LT"/>
        </w:rPr>
        <w:t xml:space="preserve"> platintojo </w:t>
      </w:r>
      <w:r>
        <w:rPr>
          <w:noProof/>
          <w:sz w:val="22"/>
          <w:szCs w:val="22"/>
          <w:lang w:val="lt-LT"/>
        </w:rPr>
        <w:t>rašytinis patvirtinimas (deklaracija)</w:t>
      </w:r>
      <w:r w:rsidR="00717E8D">
        <w:rPr>
          <w:noProof/>
          <w:sz w:val="22"/>
          <w:szCs w:val="22"/>
          <w:lang w:val="lt-LT"/>
        </w:rPr>
        <w:t xml:space="preserve">). </w:t>
      </w:r>
      <w:r w:rsidR="00717E8D" w:rsidRPr="00717E8D">
        <w:rPr>
          <w:noProof/>
          <w:sz w:val="22"/>
          <w:szCs w:val="22"/>
          <w:lang w:val="lt-LT"/>
        </w:rPr>
        <w:t>Prek</w:t>
      </w:r>
      <w:r w:rsidR="00E2352C">
        <w:rPr>
          <w:noProof/>
          <w:sz w:val="22"/>
          <w:szCs w:val="22"/>
          <w:lang w:val="lt-LT"/>
        </w:rPr>
        <w:t>ių</w:t>
      </w:r>
      <w:r w:rsidR="00717E8D"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="00717E8D"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="00717E8D"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 w:rsidR="00717E8D"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="007A3539"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1A74180E" w14:textId="7F1D5A4A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702"/>
        <w:gridCol w:w="1846"/>
        <w:gridCol w:w="2267"/>
        <w:gridCol w:w="992"/>
        <w:gridCol w:w="1276"/>
        <w:gridCol w:w="992"/>
        <w:gridCol w:w="4820"/>
        <w:gridCol w:w="1134"/>
        <w:gridCol w:w="992"/>
      </w:tblGrid>
      <w:tr w:rsidR="004E7412" w:rsidRPr="00176917" w14:paraId="28A7A12A" w14:textId="062B0D9C" w:rsidTr="004E7412">
        <w:trPr>
          <w:trHeight w:val="596"/>
        </w:trPr>
        <w:tc>
          <w:tcPr>
            <w:tcW w:w="702" w:type="dxa"/>
            <w:vMerge w:val="restart"/>
            <w:vAlign w:val="center"/>
            <w:hideMark/>
          </w:tcPr>
          <w:p w14:paraId="72CB8DDA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176917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060DC9F4" w14:textId="034F9263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>Prekės</w:t>
            </w:r>
            <w:r w:rsidRPr="00176917">
              <w:rPr>
                <w:b/>
                <w:sz w:val="22"/>
                <w:lang w:val="lt-LT"/>
              </w:rPr>
              <w:t xml:space="preserve"> pavadinimas</w:t>
            </w:r>
            <w:r>
              <w:rPr>
                <w:b/>
                <w:sz w:val="22"/>
                <w:lang w:val="lt-LT"/>
              </w:rPr>
              <w:t xml:space="preserve"> ir nomenklatūrinis numeris (kodas</w:t>
            </w:r>
            <w:r w:rsidRPr="001C6442">
              <w:rPr>
                <w:b/>
                <w:sz w:val="22"/>
                <w:lang w:val="lt-LT"/>
              </w:rPr>
              <w:t>)</w:t>
            </w:r>
            <w:r w:rsidRPr="001C6442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3259" w:type="dxa"/>
            <w:gridSpan w:val="2"/>
            <w:vAlign w:val="center"/>
            <w:hideMark/>
          </w:tcPr>
          <w:p w14:paraId="5A093C87" w14:textId="11C92E4D" w:rsidR="004E7412" w:rsidRPr="00176917" w:rsidRDefault="004E7412" w:rsidP="00090477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Reikalavimai prekėms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63EB4C" w14:textId="258EBF55" w:rsidR="004E7412" w:rsidRPr="004E7412" w:rsidRDefault="004E7412" w:rsidP="00090477">
            <w:pPr>
              <w:overflowPunct/>
              <w:autoSpaceDE/>
              <w:autoSpaceDN/>
              <w:adjustRightInd/>
              <w:jc w:val="both"/>
              <w:rPr>
                <w:color w:val="000000"/>
                <w:spacing w:val="-2"/>
                <w:sz w:val="22"/>
                <w:szCs w:val="22"/>
                <w:lang w:val="lt-LT" w:eastAsia="lt-LT"/>
              </w:rPr>
            </w:pPr>
            <w:r w:rsidRPr="004E7412">
              <w:rPr>
                <w:b/>
                <w:spacing w:val="-2"/>
                <w:sz w:val="22"/>
                <w:lang w:val="lt-LT"/>
              </w:rPr>
              <w:t>Pasiūlyme nurodomas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469DCD" w14:textId="77777777" w:rsidR="004E7412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Prelimi-narus kiekis</w:t>
            </w:r>
          </w:p>
          <w:p w14:paraId="5B20771F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4820" w:type="dxa"/>
            <w:vMerge w:val="restart"/>
            <w:vAlign w:val="center"/>
          </w:tcPr>
          <w:p w14:paraId="368BB4E6" w14:textId="61286BDC" w:rsidR="004E7412" w:rsidRPr="002D56E6" w:rsidRDefault="004E7412" w:rsidP="006C4FC6">
            <w:pPr>
              <w:overflowPunct/>
              <w:autoSpaceDE/>
              <w:adjustRightInd/>
              <w:jc w:val="both"/>
              <w:rPr>
                <w:b/>
                <w:sz w:val="22"/>
                <w:szCs w:val="22"/>
                <w:highlight w:val="yellow"/>
                <w:lang w:val="lt-LT"/>
              </w:rPr>
            </w:pPr>
            <w:r w:rsidRPr="001909B5">
              <w:rPr>
                <w:b/>
                <w:sz w:val="22"/>
                <w:szCs w:val="22"/>
                <w:lang w:val="lt-LT"/>
              </w:rPr>
              <w:t>Siūlomų prekių duomenys (gamintojas</w:t>
            </w:r>
            <w:r>
              <w:rPr>
                <w:b/>
                <w:sz w:val="22"/>
                <w:szCs w:val="22"/>
                <w:lang w:val="lt-LT"/>
              </w:rPr>
              <w:t xml:space="preserve"> ar platintojas</w:t>
            </w:r>
            <w:r w:rsidRPr="001909B5">
              <w:rPr>
                <w:b/>
                <w:sz w:val="22"/>
                <w:szCs w:val="22"/>
                <w:lang w:val="lt-LT"/>
              </w:rPr>
              <w:t>, klasė, dydis) ir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2D56E6">
              <w:rPr>
                <w:b/>
                <w:sz w:val="22"/>
                <w:szCs w:val="22"/>
                <w:lang w:val="lt-LT"/>
              </w:rPr>
              <w:t>dokumentų, kurie teikiami įrodant siūlomų prekių atitiktį nustatytiems reikalavimams, fa</w:t>
            </w:r>
            <w:r w:rsidRPr="001909B5">
              <w:rPr>
                <w:b/>
                <w:sz w:val="22"/>
                <w:szCs w:val="22"/>
                <w:lang w:val="lt-LT"/>
              </w:rPr>
              <w:t>il</w:t>
            </w:r>
            <w:r>
              <w:rPr>
                <w:b/>
                <w:sz w:val="22"/>
                <w:szCs w:val="22"/>
                <w:lang w:val="lt-LT"/>
              </w:rPr>
              <w:t>ų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pavadinima</w:t>
            </w:r>
            <w:r>
              <w:rPr>
                <w:b/>
                <w:sz w:val="22"/>
                <w:szCs w:val="22"/>
                <w:lang w:val="lt-LT"/>
              </w:rPr>
              <w:t>i</w:t>
            </w:r>
            <w:r w:rsidRPr="001909B5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9CBD1B6" w14:textId="390947A1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Vieneto įkainis, EUR be PVM</w:t>
            </w:r>
          </w:p>
        </w:tc>
        <w:tc>
          <w:tcPr>
            <w:tcW w:w="992" w:type="dxa"/>
            <w:vMerge w:val="restart"/>
          </w:tcPr>
          <w:p w14:paraId="3CB5D757" w14:textId="2BE9801D" w:rsidR="004E7412" w:rsidRPr="001909B5" w:rsidRDefault="004E7412" w:rsidP="00F56AB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PVM tarifas, proc.</w:t>
            </w:r>
          </w:p>
        </w:tc>
      </w:tr>
      <w:tr w:rsidR="004E7412" w:rsidRPr="00176917" w14:paraId="249C0E01" w14:textId="2712EAE4" w:rsidTr="004E7412">
        <w:trPr>
          <w:trHeight w:val="57"/>
        </w:trPr>
        <w:tc>
          <w:tcPr>
            <w:tcW w:w="702" w:type="dxa"/>
            <w:vMerge/>
            <w:vAlign w:val="center"/>
          </w:tcPr>
          <w:p w14:paraId="41DE9848" w14:textId="77777777" w:rsidR="004E7412" w:rsidRPr="00176917" w:rsidRDefault="004E7412" w:rsidP="007A3539">
            <w:pPr>
              <w:snapToGrid w:val="0"/>
              <w:jc w:val="both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384DBB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</w:p>
        </w:tc>
        <w:tc>
          <w:tcPr>
            <w:tcW w:w="2267" w:type="dxa"/>
            <w:vAlign w:val="center"/>
          </w:tcPr>
          <w:p w14:paraId="6AED17D3" w14:textId="77777777" w:rsidR="004E7412" w:rsidRPr="00176917" w:rsidRDefault="004E7412" w:rsidP="007A3539">
            <w:pPr>
              <w:overflowPunct/>
              <w:autoSpaceDE/>
              <w:autoSpaceDN/>
              <w:adjustRightInd/>
              <w:jc w:val="both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24B7E387" w14:textId="48839330" w:rsidR="004E7412" w:rsidRPr="00176917" w:rsidRDefault="004E7412" w:rsidP="007A3539">
            <w:pPr>
              <w:overflowPunct/>
              <w:autoSpaceDE/>
              <w:autoSpaceDN/>
              <w:adjustRightInd/>
              <w:ind w:right="-71"/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</w:t>
            </w: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-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mas</w:t>
            </w:r>
          </w:p>
        </w:tc>
        <w:tc>
          <w:tcPr>
            <w:tcW w:w="1276" w:type="dxa"/>
            <w:vMerge/>
            <w:vAlign w:val="center"/>
          </w:tcPr>
          <w:p w14:paraId="3DA07ED8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12F0546" w14:textId="77777777" w:rsidR="004E7412" w:rsidRPr="00176917" w:rsidRDefault="004E7412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820" w:type="dxa"/>
            <w:vMerge/>
            <w:vAlign w:val="center"/>
          </w:tcPr>
          <w:p w14:paraId="1D0003BC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  <w:vMerge/>
          </w:tcPr>
          <w:p w14:paraId="15263687" w14:textId="77777777" w:rsidR="004E7412" w:rsidRPr="00176917" w:rsidRDefault="004E7412" w:rsidP="00714B3D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14:paraId="1BC9EED8" w14:textId="77777777" w:rsidR="004E7412" w:rsidRPr="00176917" w:rsidRDefault="004E7412" w:rsidP="004E7412">
            <w:pPr>
              <w:overflowPunct/>
              <w:autoSpaceDE/>
              <w:autoSpaceDN/>
              <w:adjustRightInd/>
              <w:ind w:right="5767"/>
              <w:rPr>
                <w:b/>
                <w:sz w:val="22"/>
                <w:lang w:val="lt-LT"/>
              </w:rPr>
            </w:pPr>
          </w:p>
        </w:tc>
      </w:tr>
      <w:tr w:rsidR="004E7412" w:rsidRPr="001C78C3" w14:paraId="48404892" w14:textId="2CDC88EC" w:rsidTr="004E7412">
        <w:trPr>
          <w:trHeight w:val="600"/>
        </w:trPr>
        <w:tc>
          <w:tcPr>
            <w:tcW w:w="702" w:type="dxa"/>
            <w:vAlign w:val="center"/>
          </w:tcPr>
          <w:p w14:paraId="11D1F383" w14:textId="77777777" w:rsidR="004E7412" w:rsidRPr="001C78C3" w:rsidRDefault="004E7412" w:rsidP="00CA453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3E77B671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267" w:type="dxa"/>
            <w:vAlign w:val="center"/>
          </w:tcPr>
          <w:p w14:paraId="119EDC54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16773CBD" w14:textId="77777777" w:rsidR="004E7412" w:rsidRPr="001C78C3" w:rsidRDefault="004E7412" w:rsidP="00CA453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761D74E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F8DB176" w14:textId="77777777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820" w:type="dxa"/>
            <w:vAlign w:val="center"/>
          </w:tcPr>
          <w:p w14:paraId="51AF2C38" w14:textId="08C20CC2" w:rsidR="004E7412" w:rsidRPr="001C78C3" w:rsidRDefault="004E7412" w:rsidP="00CA453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134" w:type="dxa"/>
            <w:vAlign w:val="center"/>
          </w:tcPr>
          <w:p w14:paraId="7335A867" w14:textId="63364B79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14:paraId="237D7EE8" w14:textId="68573F43" w:rsidR="004E7412" w:rsidRDefault="004E7412" w:rsidP="004E7412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215FDC" w:rsidRPr="00176917" w14:paraId="718AC650" w14:textId="207A5476" w:rsidTr="00DA3FA7">
        <w:trPr>
          <w:trHeight w:val="841"/>
        </w:trPr>
        <w:tc>
          <w:tcPr>
            <w:tcW w:w="15021" w:type="dxa"/>
            <w:gridSpan w:val="9"/>
            <w:noWrap/>
            <w:vAlign w:val="center"/>
          </w:tcPr>
          <w:p w14:paraId="3413327B" w14:textId="77777777" w:rsidR="00215FDC" w:rsidRPr="00C1047A" w:rsidRDefault="00215FDC" w:rsidP="00F03ACE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5F846808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7597E27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ED77D64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0BF24BE9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6956D04E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4282360C" w14:textId="77777777" w:rsidR="00215FDC" w:rsidRPr="00C1047A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186051EA" w14:textId="77777777" w:rsidR="00215FDC" w:rsidRPr="00F03ACE" w:rsidRDefault="00215FDC" w:rsidP="00F03ACE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Prekės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turi atitikti tiekiamų rinkai šviežių </w:t>
            </w:r>
            <w:r>
              <w:rPr>
                <w:sz w:val="22"/>
                <w:szCs w:val="22"/>
                <w:lang w:val="lt-LT" w:eastAsia="lt-LT"/>
              </w:rPr>
              <w:t>vaisių</w:t>
            </w:r>
            <w:r w:rsidRPr="008F4262">
              <w:rPr>
                <w:sz w:val="22"/>
                <w:szCs w:val="22"/>
                <w:lang w:val="lt-LT" w:eastAsia="lt-LT"/>
              </w:rPr>
              <w:t xml:space="preserve"> prekybos standartus, nustatytus 2011 m. birželio 7 d. Komisijos įgyvendinimo reglamente (ES) Nr. 543/2011, kuriuo nustatomos išsamios Tarybos reglamento (EB) Nr. 1234/2007 </w:t>
            </w:r>
            <w:r w:rsidRPr="00236AED">
              <w:rPr>
                <w:sz w:val="22"/>
                <w:szCs w:val="22"/>
                <w:lang w:val="lt-LT" w:eastAsia="lt-LT"/>
              </w:rPr>
              <w:t>taikymo vaisių bei daržovių ir perdirbtų vaisių bei daržovių sektoriuose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taisyklės</w:t>
            </w:r>
            <w:r w:rsidRPr="008F4262">
              <w:rPr>
                <w:sz w:val="22"/>
                <w:szCs w:val="22"/>
                <w:lang w:val="lt-LT" w:eastAsia="lt-LT"/>
              </w:rPr>
              <w:t>;</w:t>
            </w:r>
          </w:p>
          <w:p w14:paraId="100705F7" w14:textId="42333288" w:rsidR="00215FDC" w:rsidRPr="00C1047A" w:rsidRDefault="00215FDC" w:rsidP="004E7412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 xml:space="preserve">Prekėse </w:t>
            </w:r>
            <w:r w:rsidRPr="00C1047A">
              <w:rPr>
                <w:sz w:val="22"/>
                <w:szCs w:val="22"/>
                <w:lang w:val="lt-LT" w:eastAsia="lt-LT"/>
              </w:rPr>
              <w:t>didžiausi likučių kiekiai turi atitikti 2008 m. sausio 29 d. Komisijos reglamente (EB) Nr. 149/2008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</w:t>
            </w:r>
            <w:r w:rsidRPr="00330DEF">
              <w:rPr>
                <w:sz w:val="22"/>
                <w:szCs w:val="22"/>
                <w:lang w:val="lt-LT" w:eastAsia="lt-LT"/>
              </w:rPr>
              <w:t>iš dalies keičiančiame Europos Parlamento ir Tarybos reglamentą (EB) Nr. 396/2005 papildan</w:t>
            </w:r>
            <w:r>
              <w:rPr>
                <w:sz w:val="22"/>
                <w:szCs w:val="22"/>
                <w:lang w:val="lt-LT" w:eastAsia="lt-LT"/>
              </w:rPr>
              <w:t>čiame</w:t>
            </w:r>
            <w:r w:rsidRPr="00330DEF">
              <w:rPr>
                <w:sz w:val="22"/>
                <w:szCs w:val="22"/>
                <w:lang w:val="lt-LT" w:eastAsia="lt-LT"/>
              </w:rPr>
              <w:t xml:space="preserve"> jį II, III ir IV priedais, kuriuose I priede išvardytiems produktams nustatomas didžiausias likučių kiekis</w:t>
            </w:r>
            <w:r>
              <w:rPr>
                <w:sz w:val="22"/>
                <w:szCs w:val="22"/>
                <w:lang w:val="lt-LT" w:eastAsia="lt-LT"/>
              </w:rPr>
              <w:t>,</w:t>
            </w:r>
            <w:r w:rsidRPr="00C1047A">
              <w:rPr>
                <w:sz w:val="22"/>
                <w:szCs w:val="22"/>
                <w:lang w:val="lt-LT" w:eastAsia="lt-LT"/>
              </w:rPr>
              <w:t xml:space="preserve">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</w:tc>
      </w:tr>
      <w:tr w:rsidR="000A51C1" w:rsidRPr="00176917" w14:paraId="7E5A9AF4" w14:textId="787C9910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8CFD03" w14:textId="77777777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EF4" w14:textId="5FAE26C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2EAE2490" w14:textId="621AD08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CA1FA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7FED826" w14:textId="2A86A23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78" w14:textId="45A2FBB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22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61DAD33D" w14:textId="45944C50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3B0" w14:textId="60F10AD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954" w14:textId="722D30F9" w:rsidR="000A51C1" w:rsidRPr="00F56AB3" w:rsidRDefault="000B08E5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3739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7B5356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DCD8A7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45512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5B47AD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7E9EAA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3DBA24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5AF8301C" w14:textId="6BEDF5BA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8B49" w14:textId="4FD89D34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8EDD3" w14:textId="7B0FADA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9B51E2" w14:textId="7498B0F5" w:rsidTr="004E7412">
        <w:trPr>
          <w:trHeight w:val="841"/>
        </w:trPr>
        <w:tc>
          <w:tcPr>
            <w:tcW w:w="702" w:type="dxa"/>
            <w:tcBorders>
              <w:bottom w:val="single" w:sz="4" w:space="0" w:color="auto"/>
            </w:tcBorders>
            <w:noWrap/>
            <w:vAlign w:val="center"/>
          </w:tcPr>
          <w:p w14:paraId="2499DFCD" w14:textId="69FCCA71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28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46BBEDC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9ED37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E2B6F66" w14:textId="1223A86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712D" w14:textId="615D7ECF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16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52CB8C03" w14:textId="0495E3F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F90" w14:textId="0556CD5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B44D" w14:textId="52B0F1A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BA5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5FC98D9A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524A2489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168829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2165FCF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60A69F7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33FA63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32F1CEE7" w14:textId="6BD8DE14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F9416" w14:textId="24E2D734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0,6224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9AA21" w14:textId="767F3E2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A536077" w14:textId="73908907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B59" w14:textId="5B7BF06C" w:rsidR="000A51C1" w:rsidRPr="00176917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38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35D0A20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51B58316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B6D4359" w14:textId="243B5C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A23D" w14:textId="752AB69E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09B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361BBE6" w14:textId="76426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2C" w14:textId="6C6C3BC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7F3" w14:textId="5217FDC6" w:rsidR="000A51C1" w:rsidRPr="00F56AB3" w:rsidRDefault="000B08E5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6B59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727EFE16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E67A2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0E8A381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7D538F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49F76945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38E6617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0113A952" w14:textId="78EF5B04" w:rsidR="000A51C1" w:rsidRPr="00372EBC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498E3" w14:textId="2E7665EF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5D7F8" w14:textId="0B43C9C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132529D" w14:textId="2E9AF37A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AA49" w14:textId="31FA78D9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80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67F1B9F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F774950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8817D86" w14:textId="5E44581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lastRenderedPageBreak/>
              <w:t>Perkami antrą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0B4" w14:textId="19DBB3A4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 xml:space="preserve">Obuoliai turi būti ne žemesnės kaip I klasės. Obuolių dydis (pagal </w:t>
            </w: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5EE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Sveria-</w:t>
            </w:r>
          </w:p>
          <w:p w14:paraId="0259C6C3" w14:textId="13702F2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140" w14:textId="51CDB00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6C1" w14:textId="1031053A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D502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04D160A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6F76BA78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8DC747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lastRenderedPageBreak/>
              <w:t>I klasės, obuolių dydis nuo 70 mm</w:t>
            </w:r>
          </w:p>
          <w:p w14:paraId="7C6CAC8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024ADA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A27F4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6FB656F1" w14:textId="79D062CD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ECA" w14:textId="731B224B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0,6446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382" w14:textId="3A3C98C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4A80BB65" w14:textId="5B3F60F1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1C5" w14:textId="3DF36BE6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38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56A51A8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6B1850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E7FE297" w14:textId="6F1DE7E5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464" w14:textId="5CA053C5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474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5DC2DA" w14:textId="0960597F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F38" w14:textId="1E721326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215" w14:textId="3237E51E" w:rsidR="000A51C1" w:rsidRPr="00F56AB3" w:rsidRDefault="000B08E5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CA8C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1F4858F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CB4848F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744E31F8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76DFF6FE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091370E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49DE0BEE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01AE5478" w14:textId="667C7908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ADD" w14:textId="0B9D515C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8AA" w14:textId="5A76DC8B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E376D7A" w14:textId="4F62C6CD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6F18" w14:textId="11EF9ACC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FCBF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AA50BF9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78C9081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0D69DF69" w14:textId="5348B392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8401" w14:textId="656B5879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4F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4250F16E" w14:textId="40BDE7EC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559" w14:textId="50771F0D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FBF" w14:textId="41154BB9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BD250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DD00854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20DC3A0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3BAA411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0D90959C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7EC82B41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030558C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61ED7892" w14:textId="394EBC4B" w:rsidR="000A51C1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F8F" w14:textId="162CC720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0,6446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689" w14:textId="6264415A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01E09125" w14:textId="6D42E3FF" w:rsidTr="00C21366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1FC" w14:textId="1EAF901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093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01B5FE54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671B23BA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5B2201FE" w14:textId="261284E3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81F" w14:textId="60F0B0E3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A81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54877D9" w14:textId="35F493AA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0D2" w14:textId="41D0C97E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32" w14:textId="72F2AE78" w:rsidR="000A51C1" w:rsidRPr="00F56AB3" w:rsidRDefault="000B08E5" w:rsidP="000A51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7C3CB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3B6F31F1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33DBB34F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</w:p>
          <w:p w14:paraId="0E7A9F7D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klasės, obuolių dydis nuo 70 mm</w:t>
            </w:r>
          </w:p>
          <w:p w14:paraId="11454452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95AC353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1A041036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18069901" w14:textId="28EE9EEA" w:rsidR="000A51C1" w:rsidRPr="009836AA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lastRenderedPageBreak/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9FE" w14:textId="1DF037C1" w:rsidR="000A51C1" w:rsidRDefault="00E156B8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0,5557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09D" w14:textId="2249E800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0A51C1" w:rsidRPr="00176917" w14:paraId="67C8FC64" w14:textId="1F513DFF" w:rsidTr="004E7412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E4AA" w14:textId="3E394E64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07C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 xml:space="preserve">Obuoliai </w:t>
            </w:r>
          </w:p>
          <w:p w14:paraId="78A376D5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(6150540)</w:t>
            </w:r>
          </w:p>
          <w:p w14:paraId="3212B5A7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C0811A4" w14:textId="12CF8D48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b/>
                <w:color w:val="000000"/>
                <w:sz w:val="22"/>
                <w:szCs w:val="22"/>
                <w:lang w:val="lt-LT" w:eastAsia="lt-LT"/>
              </w:rPr>
              <w:t>Perkami ketvirtą metų ketvirtį.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026" w14:textId="7EAC5F4C" w:rsidR="000A51C1" w:rsidRPr="00F56AB3" w:rsidRDefault="000A51C1" w:rsidP="000A51C1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Obuoliai turi būti ne žemesnės kaip I klasės. Obuolių dydis (pagal didžiausią pjūvio ties viduriu skersmenį) nuo 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572" w14:textId="77777777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Sveria-</w:t>
            </w:r>
          </w:p>
          <w:p w14:paraId="7F07671C" w14:textId="27446564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ma pagal poreikį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E0C" w14:textId="05F2720B" w:rsidR="000A51C1" w:rsidRPr="00F56AB3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56AB3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1C63" w14:textId="42BE0A2C" w:rsidR="000A51C1" w:rsidRPr="00F56AB3" w:rsidRDefault="000A51C1" w:rsidP="000A51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2324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P. H. PAZAL</w:t>
            </w:r>
          </w:p>
          <w:p w14:paraId="28FCFD69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 xml:space="preserve">nurodyti </w:t>
            </w:r>
            <w:r w:rsidRPr="00CA3180">
              <w:rPr>
                <w:color w:val="000000"/>
                <w:lang w:val="lt-LT" w:eastAsia="lt-LT"/>
              </w:rPr>
              <w:t>gamintoją</w:t>
            </w:r>
            <w:r>
              <w:rPr>
                <w:color w:val="000000"/>
                <w:lang w:val="lt-LT" w:eastAsia="lt-LT"/>
              </w:rPr>
              <w:t xml:space="preserve"> ar platintoją</w:t>
            </w:r>
            <w:r w:rsidRPr="00CA3180">
              <w:rPr>
                <w:color w:val="000000"/>
                <w:lang w:val="lt-LT" w:eastAsia="lt-LT"/>
              </w:rPr>
              <w:t>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2</w:t>
            </w:r>
          </w:p>
          <w:p w14:paraId="0C927D1D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6AD67E73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I klasės, obuolių dydis nuo 70 mm</w:t>
            </w:r>
          </w:p>
          <w:p w14:paraId="41BDF578" w14:textId="77777777" w:rsidR="000A51C1" w:rsidRPr="00CA3180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(nurodyti klasę ir dydį)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3</w:t>
            </w:r>
          </w:p>
          <w:p w14:paraId="2F7EC174" w14:textId="77777777" w:rsidR="000A51C1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  <w:p w14:paraId="2CD05635" w14:textId="77777777" w:rsidR="000A51C1" w:rsidRPr="00204875" w:rsidRDefault="000A51C1" w:rsidP="000A51C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204875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Pazal patvirtinimas</w:t>
            </w:r>
          </w:p>
          <w:p w14:paraId="7F29204C" w14:textId="4F880BA4" w:rsidR="000A51C1" w:rsidRPr="007E284E" w:rsidRDefault="000A51C1" w:rsidP="000A51C1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CA3180">
              <w:rPr>
                <w:color w:val="000000"/>
                <w:lang w:val="lt-LT" w:eastAsia="lt-LT"/>
              </w:rPr>
              <w:t>(</w:t>
            </w:r>
            <w:r>
              <w:rPr>
                <w:color w:val="000000"/>
                <w:lang w:val="lt-LT" w:eastAsia="lt-LT"/>
              </w:rPr>
              <w:t>nurodyti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 w:rsidRPr="00CA3180">
              <w:rPr>
                <w:lang w:val="lt-LT"/>
              </w:rPr>
              <w:t xml:space="preserve">su pasiūlymu </w:t>
            </w:r>
            <w:r>
              <w:rPr>
                <w:lang w:val="lt-LT"/>
              </w:rPr>
              <w:t>teikiamo</w:t>
            </w:r>
            <w:r w:rsidRPr="00CA3180">
              <w:rPr>
                <w:lang w:val="lt-LT"/>
              </w:rPr>
              <w:t xml:space="preserve"> dokumento, </w:t>
            </w:r>
            <w:r w:rsidRPr="005578A8">
              <w:rPr>
                <w:lang w:val="lt-LT"/>
              </w:rPr>
              <w:t>kuriame yra atitiktį nurodytiems klasei ir dydžiui patvirtinantys duomenys</w:t>
            </w:r>
            <w:r w:rsidRPr="00CA3180">
              <w:rPr>
                <w:lang w:val="lt-LT"/>
              </w:rPr>
              <w:t>,</w:t>
            </w:r>
            <w:r w:rsidRPr="00CA3180">
              <w:rPr>
                <w:color w:val="000000"/>
                <w:lang w:val="lt-LT" w:eastAsia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 xml:space="preserve">failo </w:t>
            </w:r>
            <w:r w:rsidRPr="00CA3180">
              <w:rPr>
                <w:color w:val="000000"/>
                <w:lang w:val="lt-LT" w:eastAsia="lt-LT"/>
              </w:rPr>
              <w:t>pavadinimą)</w:t>
            </w:r>
            <w:r w:rsidRPr="00CA3180">
              <w:rPr>
                <w:color w:val="000000"/>
                <w:vertAlign w:val="superscript"/>
                <w:lang w:val="lt-LT"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C4722" w14:textId="4C8081AE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</w:t>
            </w:r>
            <w:r w:rsidR="00E156B8">
              <w:rPr>
                <w:color w:val="000000"/>
                <w:sz w:val="22"/>
                <w:szCs w:val="22"/>
                <w:lang w:val="lt-LT" w:eastAsia="lt-LT"/>
              </w:rPr>
              <w:t>,6224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13A4" w14:textId="698E3B99" w:rsidR="000A51C1" w:rsidRDefault="000A51C1" w:rsidP="000A51C1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595C49D0" w14:textId="77777777" w:rsidR="00F648E8" w:rsidRDefault="00F648E8" w:rsidP="00143014">
      <w:pPr>
        <w:overflowPunct/>
        <w:autoSpaceDE/>
        <w:autoSpaceDN/>
        <w:adjustRightInd/>
        <w:ind w:firstLine="720"/>
        <w:jc w:val="both"/>
        <w:rPr>
          <w:sz w:val="22"/>
          <w:szCs w:val="22"/>
          <w:lang w:val="lt-LT"/>
        </w:rPr>
      </w:pPr>
    </w:p>
    <w:p w14:paraId="20995394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</w:tblGrid>
      <w:tr w:rsidR="000A51C1" w14:paraId="4FCF1338" w14:textId="77777777" w:rsidTr="001D5AF1">
        <w:tc>
          <w:tcPr>
            <w:tcW w:w="5005" w:type="dxa"/>
          </w:tcPr>
          <w:p w14:paraId="7E24D013" w14:textId="403A7619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Pirkėjas</w:t>
            </w:r>
          </w:p>
          <w:p w14:paraId="3049BC1C" w14:textId="77777777" w:rsid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</w:p>
          <w:p w14:paraId="430C5D8D" w14:textId="17C2455B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Kauno lopšelis-darželis „Nežiniukas“</w:t>
            </w:r>
          </w:p>
          <w:p w14:paraId="4C6DBB38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bCs/>
                <w:sz w:val="24"/>
                <w:szCs w:val="24"/>
                <w:lang w:val="lt-LT" w:eastAsia="lt-LT"/>
              </w:rPr>
            </w:pPr>
            <w:r w:rsidRPr="000B08E5">
              <w:rPr>
                <w:bCs/>
                <w:sz w:val="24"/>
                <w:szCs w:val="24"/>
                <w:lang w:val="lt-LT" w:eastAsia="lt-LT"/>
              </w:rPr>
              <w:t>Vakarų g. 14, Kaunas</w:t>
            </w:r>
          </w:p>
          <w:p w14:paraId="28B43ABF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Kodas 191642873</w:t>
            </w:r>
          </w:p>
          <w:p w14:paraId="253E7E57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Luminor Bank AS, banko kodas 40100</w:t>
            </w:r>
          </w:p>
          <w:p w14:paraId="698197FC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A.S. LT474010042501987951</w:t>
            </w:r>
          </w:p>
          <w:p w14:paraId="2BB08A38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Tel. (837) 733542</w:t>
            </w:r>
          </w:p>
          <w:p w14:paraId="2EB360DC" w14:textId="77777777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 w:rsidRPr="000B08E5">
              <w:rPr>
                <w:sz w:val="24"/>
                <w:szCs w:val="24"/>
                <w:lang w:val="lt-LT" w:eastAsia="lt-LT"/>
              </w:rPr>
              <w:t>El. p: neziniukasdarzelis@gmail.com</w:t>
            </w:r>
          </w:p>
          <w:p w14:paraId="0385751B" w14:textId="77777777" w:rsidR="0024627B" w:rsidRDefault="0024627B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</w:p>
          <w:p w14:paraId="00190012" w14:textId="77777777" w:rsidR="0024627B" w:rsidRDefault="0024627B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</w:p>
          <w:p w14:paraId="40482630" w14:textId="77777777" w:rsidR="0024627B" w:rsidRDefault="0024627B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</w:p>
          <w:p w14:paraId="4BE493A0" w14:textId="5A245E72" w:rsidR="0033296B" w:rsidRDefault="0024627B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Direktorė</w:t>
            </w:r>
          </w:p>
          <w:p w14:paraId="405B892F" w14:textId="79DF4B60" w:rsidR="0033296B" w:rsidRPr="000B08E5" w:rsidRDefault="0033296B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Edita </w:t>
            </w:r>
            <w:r w:rsidR="0024627B">
              <w:rPr>
                <w:sz w:val="24"/>
                <w:szCs w:val="24"/>
                <w:lang w:val="lt-LT" w:eastAsia="lt-LT"/>
              </w:rPr>
              <w:t>Gaižauskienė</w:t>
            </w:r>
          </w:p>
          <w:p w14:paraId="7B3EA657" w14:textId="0E662D5D" w:rsidR="000B08E5" w:rsidRPr="000B08E5" w:rsidRDefault="000B08E5" w:rsidP="000B08E5">
            <w:pPr>
              <w:tabs>
                <w:tab w:val="left" w:pos="9360"/>
              </w:tabs>
              <w:overflowPunct/>
              <w:autoSpaceDE/>
              <w:autoSpaceDN/>
              <w:adjustRightInd/>
              <w:ind w:right="175"/>
              <w:rPr>
                <w:sz w:val="24"/>
                <w:szCs w:val="24"/>
                <w:lang w:val="lt-LT" w:eastAsia="lt-LT"/>
              </w:rPr>
            </w:pPr>
          </w:p>
          <w:p w14:paraId="5F125028" w14:textId="64B9B2C7" w:rsidR="000A51C1" w:rsidRPr="000B08E5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005" w:type="dxa"/>
          </w:tcPr>
          <w:p w14:paraId="5C99E8AB" w14:textId="68DEA3B0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EA7999">
              <w:rPr>
                <w:b/>
                <w:sz w:val="24"/>
                <w:szCs w:val="24"/>
                <w:lang w:val="lt-LT" w:eastAsia="lt-LT"/>
              </w:rPr>
              <w:t>Tiekėja</w:t>
            </w:r>
            <w:r w:rsidR="000B08E5">
              <w:rPr>
                <w:b/>
                <w:sz w:val="24"/>
                <w:szCs w:val="24"/>
                <w:lang w:val="lt-LT" w:eastAsia="lt-LT"/>
              </w:rPr>
              <w:t>s</w:t>
            </w:r>
          </w:p>
          <w:p w14:paraId="177FD5A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E34CA07" w14:textId="7FD20AD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„Viržis“</w:t>
            </w:r>
          </w:p>
          <w:p w14:paraId="6A373E4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Įmonės kodas 159750366</w:t>
            </w:r>
          </w:p>
          <w:p w14:paraId="645C9ABB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PVM mokėtojo kodas LT597503610</w:t>
            </w:r>
          </w:p>
          <w:p w14:paraId="4FA8E494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Neveronių k., Neveronių sen., </w:t>
            </w:r>
          </w:p>
          <w:p w14:paraId="1D55EA2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 xml:space="preserve">LT-54477 Kauno r. </w:t>
            </w:r>
          </w:p>
          <w:p w14:paraId="040441E5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A. s. LT077230000002467182</w:t>
            </w:r>
          </w:p>
          <w:p w14:paraId="3260A75D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UAB Medicinos bankas</w:t>
            </w:r>
          </w:p>
          <w:p w14:paraId="410164F7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Banko kodas 72300</w:t>
            </w:r>
          </w:p>
          <w:p w14:paraId="6D8B2AD3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Direktorius</w:t>
            </w:r>
          </w:p>
          <w:p w14:paraId="2CE40859" w14:textId="77777777" w:rsidR="000A51C1" w:rsidRPr="00EA7999" w:rsidRDefault="000A51C1" w:rsidP="001D5AF1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EA7999">
              <w:rPr>
                <w:sz w:val="24"/>
                <w:szCs w:val="24"/>
                <w:lang w:val="lt-LT" w:eastAsia="lt-LT"/>
              </w:rPr>
              <w:t>Viktoras Visockas</w:t>
            </w:r>
          </w:p>
          <w:p w14:paraId="43211134" w14:textId="77777777" w:rsidR="000A51C1" w:rsidRDefault="000A51C1" w:rsidP="001D5AF1">
            <w:pPr>
              <w:overflowPunct/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48885C2" w14:textId="352823F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0A51C1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41B4" w14:textId="77777777" w:rsidR="005961FD" w:rsidRDefault="005961FD" w:rsidP="002224FF">
      <w:r>
        <w:separator/>
      </w:r>
    </w:p>
  </w:endnote>
  <w:endnote w:type="continuationSeparator" w:id="0">
    <w:p w14:paraId="1AA8EA3C" w14:textId="77777777" w:rsidR="005961FD" w:rsidRDefault="005961FD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507A" w14:textId="3F513E7E" w:rsidR="00D34617" w:rsidRPr="001C345F" w:rsidRDefault="00D34617" w:rsidP="00D34617">
    <w:pPr>
      <w:pStyle w:val="Footer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 w:rsidR="00B330D4"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0A9F218C" w14:textId="18C93A68" w:rsidR="00D34617" w:rsidRPr="001C345F" w:rsidRDefault="00D34617" w:rsidP="00D34617">
    <w:pPr>
      <w:pStyle w:val="Footer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 w:rsidR="00CD5AAE">
      <w:rPr>
        <w:lang w:val="lt-LT"/>
      </w:rPr>
      <w:t>,</w:t>
    </w:r>
    <w:r w:rsidR="00160678">
      <w:rPr>
        <w:lang w:val="lt-LT"/>
      </w:rPr>
      <w:t xml:space="preserve"> platintojas</w:t>
    </w:r>
    <w:r w:rsidR="00CD5AAE">
      <w:rPr>
        <w:lang w:val="lt-LT"/>
      </w:rPr>
      <w:t xml:space="preserve"> </w:t>
    </w:r>
    <w:r w:rsidR="00CC19CB">
      <w:rPr>
        <w:lang w:val="lt-LT"/>
      </w:rPr>
      <w:t>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 w:rsidR="00261CD4"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 w:rsidR="00D71465">
      <w:rPr>
        <w:bCs/>
        <w:lang w:val="lt-LT"/>
      </w:rPr>
      <w:t xml:space="preserve"> ar</w:t>
    </w:r>
    <w:r w:rsidR="00CD5AAE">
      <w:rPr>
        <w:bCs/>
        <w:lang w:val="lt-LT"/>
      </w:rPr>
      <w:t xml:space="preserve"> platintojo </w:t>
    </w:r>
    <w:r w:rsidRPr="001C345F">
      <w:rPr>
        <w:bCs/>
        <w:lang w:val="lt-LT"/>
      </w:rPr>
      <w:t>prekę, kuri atitinka 3</w:t>
    </w:r>
    <w:r w:rsidR="00CC19CB"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693FBB91" w14:textId="40773B9A" w:rsidR="00F476D9" w:rsidRPr="004E42D2" w:rsidRDefault="004E42D2" w:rsidP="004E42D2">
    <w:pPr>
      <w:pStyle w:val="Footer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 w:rsidR="00CC19CB">
      <w:rPr>
        <w:bCs/>
        <w:lang w:val="lt-LT"/>
      </w:rPr>
      <w:t>Prekės klasė ir dydis – Tiekėjas gali pasiūlyti skirtingų klasių (ne žemesnių nei nurodyta) ir</w:t>
    </w:r>
    <w:r w:rsidR="00A90FF5">
      <w:rPr>
        <w:bCs/>
        <w:lang w:val="lt-LT"/>
      </w:rPr>
      <w:t xml:space="preserve"> (ar)</w:t>
    </w:r>
    <w:r w:rsidR="00CC19CB">
      <w:rPr>
        <w:bCs/>
        <w:lang w:val="lt-LT"/>
      </w:rPr>
      <w:t xml:space="preserve">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20FA" w14:textId="77777777" w:rsidR="005961FD" w:rsidRDefault="005961FD" w:rsidP="002224FF">
      <w:r>
        <w:separator/>
      </w:r>
    </w:p>
  </w:footnote>
  <w:footnote w:type="continuationSeparator" w:id="0">
    <w:p w14:paraId="32021AE8" w14:textId="77777777" w:rsidR="005961FD" w:rsidRDefault="005961FD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476309"/>
      <w:docPartObj>
        <w:docPartGallery w:val="Page Numbers (Top of Page)"/>
        <w:docPartUnique/>
      </w:docPartObj>
    </w:sdtPr>
    <w:sdtContent>
      <w:p w14:paraId="5050C841" w14:textId="5F1DF51F" w:rsidR="007477B6" w:rsidRDefault="007477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C1" w:rsidRPr="000A51C1">
          <w:rPr>
            <w:noProof/>
            <w:lang w:val="lt-LT"/>
          </w:rPr>
          <w:t>3</w:t>
        </w:r>
        <w:r>
          <w:fldChar w:fldCharType="end"/>
        </w:r>
      </w:p>
    </w:sdtContent>
  </w:sdt>
  <w:p w14:paraId="6451299A" w14:textId="12D6AA52" w:rsidR="009B7171" w:rsidRPr="00F476D9" w:rsidRDefault="009B7171" w:rsidP="00F476D9">
    <w:pPr>
      <w:pStyle w:val="Header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C9CC" w14:textId="0A426708" w:rsidR="000A51C1" w:rsidRPr="00424442" w:rsidRDefault="000A51C1" w:rsidP="000B08E5">
    <w:pPr>
      <w:pStyle w:val="Header"/>
      <w:ind w:firstLine="9072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>202</w:t>
    </w:r>
    <w:r w:rsidR="00E156B8">
      <w:rPr>
        <w:sz w:val="24"/>
        <w:szCs w:val="24"/>
        <w:lang w:val="lt-LT"/>
      </w:rPr>
      <w:t>5</w:t>
    </w:r>
    <w:r w:rsidRPr="00424442">
      <w:rPr>
        <w:sz w:val="24"/>
        <w:szCs w:val="24"/>
        <w:lang w:val="lt-LT"/>
      </w:rPr>
      <w:t xml:space="preserve"> m. </w:t>
    </w:r>
    <w:r w:rsidR="000B08E5">
      <w:rPr>
        <w:sz w:val="24"/>
        <w:szCs w:val="24"/>
        <w:lang w:val="lt-LT"/>
      </w:rPr>
      <w:t xml:space="preserve">liepos </w:t>
    </w:r>
    <w:r w:rsidR="00E156B8">
      <w:rPr>
        <w:sz w:val="24"/>
        <w:szCs w:val="24"/>
        <w:lang w:val="lt-LT"/>
      </w:rPr>
      <w:t>16</w:t>
    </w:r>
    <w:r w:rsidRPr="00424442">
      <w:rPr>
        <w:sz w:val="24"/>
        <w:szCs w:val="24"/>
        <w:lang w:val="lt-LT"/>
      </w:rPr>
      <w:t xml:space="preserve"> d. </w:t>
    </w:r>
    <w:r>
      <w:rPr>
        <w:sz w:val="24"/>
        <w:szCs w:val="24"/>
        <w:lang w:val="lt-LT"/>
      </w:rPr>
      <w:t>Pagrindinės</w:t>
    </w:r>
    <w:r w:rsidRPr="00424442">
      <w:rPr>
        <w:sz w:val="24"/>
        <w:szCs w:val="24"/>
        <w:lang w:val="lt-LT"/>
      </w:rPr>
      <w:t xml:space="preserve"> sutarties Nr.   </w:t>
    </w:r>
    <w:r w:rsidR="000B08E5">
      <w:rPr>
        <w:sz w:val="24"/>
        <w:szCs w:val="24"/>
        <w:lang w:val="lt-LT"/>
      </w:rPr>
      <w:t>VP2-</w:t>
    </w:r>
    <w:r w:rsidR="00E156B8">
      <w:rPr>
        <w:sz w:val="24"/>
        <w:szCs w:val="24"/>
        <w:lang w:val="lt-LT"/>
      </w:rPr>
      <w:t>41/2025</w:t>
    </w:r>
  </w:p>
  <w:p w14:paraId="52D062C9" w14:textId="6A2D499A" w:rsidR="000A51C1" w:rsidRPr="00424442" w:rsidRDefault="000B08E5" w:rsidP="000B08E5">
    <w:pPr>
      <w:pStyle w:val="Header"/>
      <w:rPr>
        <w:sz w:val="24"/>
        <w:szCs w:val="24"/>
        <w:lang w:val="lt-LT"/>
      </w:rPr>
    </w:pPr>
    <w:r>
      <w:rPr>
        <w:sz w:val="24"/>
        <w:szCs w:val="24"/>
        <w:lang w:val="lt-LT"/>
      </w:rPr>
      <w:tab/>
    </w:r>
    <w:r>
      <w:rPr>
        <w:sz w:val="24"/>
        <w:szCs w:val="24"/>
        <w:lang w:val="lt-LT"/>
      </w:rPr>
      <w:tab/>
      <w:t xml:space="preserve">                                                                        </w:t>
    </w:r>
    <w:r w:rsidR="000A51C1" w:rsidRPr="00424442">
      <w:rPr>
        <w:sz w:val="24"/>
        <w:szCs w:val="24"/>
        <w:lang w:val="lt-LT"/>
      </w:rPr>
      <w:t xml:space="preserve">dėl maisto produktų (obuolių) centralizuoto pirkimo </w:t>
    </w:r>
  </w:p>
  <w:p w14:paraId="1F6AA465" w14:textId="58AC3AB7" w:rsidR="000A51C1" w:rsidRPr="00424442" w:rsidRDefault="000A51C1" w:rsidP="000A51C1">
    <w:pPr>
      <w:pStyle w:val="Header"/>
      <w:jc w:val="right"/>
      <w:rPr>
        <w:sz w:val="24"/>
        <w:szCs w:val="24"/>
        <w:lang w:val="lt-LT"/>
      </w:rPr>
    </w:pPr>
    <w:r>
      <w:rPr>
        <w:sz w:val="24"/>
        <w:szCs w:val="24"/>
        <w:lang w:val="lt-LT"/>
      </w:rPr>
      <w:t>p</w:t>
    </w:r>
    <w:r w:rsidRPr="00424442">
      <w:rPr>
        <w:sz w:val="24"/>
        <w:szCs w:val="24"/>
        <w:lang w:val="lt-LT"/>
      </w:rPr>
      <w:t>riedas</w:t>
    </w:r>
  </w:p>
  <w:p w14:paraId="4A720ED9" w14:textId="77777777" w:rsidR="000A51C1" w:rsidRDefault="000A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6653">
    <w:abstractNumId w:val="0"/>
  </w:num>
  <w:num w:numId="2" w16cid:durableId="200104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4D"/>
    <w:rsid w:val="00012A74"/>
    <w:rsid w:val="00014562"/>
    <w:rsid w:val="00030521"/>
    <w:rsid w:val="00031764"/>
    <w:rsid w:val="0003259A"/>
    <w:rsid w:val="00036CE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81409"/>
    <w:rsid w:val="00084101"/>
    <w:rsid w:val="00090477"/>
    <w:rsid w:val="00090791"/>
    <w:rsid w:val="000A0C1C"/>
    <w:rsid w:val="000A2D9E"/>
    <w:rsid w:val="000A5194"/>
    <w:rsid w:val="000A51C1"/>
    <w:rsid w:val="000A6EDB"/>
    <w:rsid w:val="000B01EA"/>
    <w:rsid w:val="000B08E5"/>
    <w:rsid w:val="000B3E05"/>
    <w:rsid w:val="000B4A98"/>
    <w:rsid w:val="000B7579"/>
    <w:rsid w:val="000C7BA4"/>
    <w:rsid w:val="000D1DEB"/>
    <w:rsid w:val="000D294A"/>
    <w:rsid w:val="000D3297"/>
    <w:rsid w:val="000D7A4C"/>
    <w:rsid w:val="000E5BF0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4422"/>
    <w:rsid w:val="00134A87"/>
    <w:rsid w:val="001362CA"/>
    <w:rsid w:val="00141D6E"/>
    <w:rsid w:val="00143014"/>
    <w:rsid w:val="001440F5"/>
    <w:rsid w:val="00146960"/>
    <w:rsid w:val="001470B7"/>
    <w:rsid w:val="00160678"/>
    <w:rsid w:val="001610EE"/>
    <w:rsid w:val="001623F5"/>
    <w:rsid w:val="00162486"/>
    <w:rsid w:val="001657DB"/>
    <w:rsid w:val="00171512"/>
    <w:rsid w:val="001738BE"/>
    <w:rsid w:val="00176917"/>
    <w:rsid w:val="00176B13"/>
    <w:rsid w:val="001909B5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033DD"/>
    <w:rsid w:val="0021281E"/>
    <w:rsid w:val="00215FD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4627B"/>
    <w:rsid w:val="00250176"/>
    <w:rsid w:val="00250E52"/>
    <w:rsid w:val="002514A2"/>
    <w:rsid w:val="00252DF1"/>
    <w:rsid w:val="00253233"/>
    <w:rsid w:val="002570B6"/>
    <w:rsid w:val="00261CD4"/>
    <w:rsid w:val="00264796"/>
    <w:rsid w:val="00267394"/>
    <w:rsid w:val="00274A1C"/>
    <w:rsid w:val="0028422F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2E61"/>
    <w:rsid w:val="002D30D6"/>
    <w:rsid w:val="002D56E6"/>
    <w:rsid w:val="002D7436"/>
    <w:rsid w:val="002D7A49"/>
    <w:rsid w:val="002E1AD0"/>
    <w:rsid w:val="002E368B"/>
    <w:rsid w:val="002E6826"/>
    <w:rsid w:val="002F70B8"/>
    <w:rsid w:val="002F7713"/>
    <w:rsid w:val="003045E1"/>
    <w:rsid w:val="00307C34"/>
    <w:rsid w:val="00312374"/>
    <w:rsid w:val="00313051"/>
    <w:rsid w:val="00313653"/>
    <w:rsid w:val="00313870"/>
    <w:rsid w:val="00316593"/>
    <w:rsid w:val="00325401"/>
    <w:rsid w:val="00331BC8"/>
    <w:rsid w:val="0033296B"/>
    <w:rsid w:val="003356A9"/>
    <w:rsid w:val="003364E7"/>
    <w:rsid w:val="00343C95"/>
    <w:rsid w:val="003459CB"/>
    <w:rsid w:val="00355FD9"/>
    <w:rsid w:val="0036344C"/>
    <w:rsid w:val="00364AD5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A1342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3B6"/>
    <w:rsid w:val="003E4FB1"/>
    <w:rsid w:val="003F1C08"/>
    <w:rsid w:val="00403393"/>
    <w:rsid w:val="00406728"/>
    <w:rsid w:val="004137D4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AEF"/>
    <w:rsid w:val="004A5E6A"/>
    <w:rsid w:val="004B4D54"/>
    <w:rsid w:val="004B6080"/>
    <w:rsid w:val="004B6A08"/>
    <w:rsid w:val="004C273F"/>
    <w:rsid w:val="004C381C"/>
    <w:rsid w:val="004C3A85"/>
    <w:rsid w:val="004D1BBE"/>
    <w:rsid w:val="004E42D2"/>
    <w:rsid w:val="004E616C"/>
    <w:rsid w:val="004E7412"/>
    <w:rsid w:val="004F19C6"/>
    <w:rsid w:val="00503DCC"/>
    <w:rsid w:val="005156C7"/>
    <w:rsid w:val="005202D8"/>
    <w:rsid w:val="00520FD9"/>
    <w:rsid w:val="005257C6"/>
    <w:rsid w:val="00526808"/>
    <w:rsid w:val="00532A36"/>
    <w:rsid w:val="005473D3"/>
    <w:rsid w:val="00553545"/>
    <w:rsid w:val="00554A5B"/>
    <w:rsid w:val="0055546B"/>
    <w:rsid w:val="00561A51"/>
    <w:rsid w:val="00562870"/>
    <w:rsid w:val="005644D8"/>
    <w:rsid w:val="00567569"/>
    <w:rsid w:val="0058146B"/>
    <w:rsid w:val="00583CEF"/>
    <w:rsid w:val="00591D28"/>
    <w:rsid w:val="00591EE1"/>
    <w:rsid w:val="00592077"/>
    <w:rsid w:val="0059222F"/>
    <w:rsid w:val="00596160"/>
    <w:rsid w:val="005961FD"/>
    <w:rsid w:val="005A136C"/>
    <w:rsid w:val="005B45F8"/>
    <w:rsid w:val="005B4F4D"/>
    <w:rsid w:val="005C0106"/>
    <w:rsid w:val="005C1127"/>
    <w:rsid w:val="005C35DF"/>
    <w:rsid w:val="005C36F6"/>
    <w:rsid w:val="005C67A5"/>
    <w:rsid w:val="005D035C"/>
    <w:rsid w:val="005D1473"/>
    <w:rsid w:val="005D7469"/>
    <w:rsid w:val="00601B0C"/>
    <w:rsid w:val="00606456"/>
    <w:rsid w:val="00612A7D"/>
    <w:rsid w:val="0061431A"/>
    <w:rsid w:val="00614C6C"/>
    <w:rsid w:val="00617620"/>
    <w:rsid w:val="00623820"/>
    <w:rsid w:val="00627117"/>
    <w:rsid w:val="00631AC2"/>
    <w:rsid w:val="00633BFF"/>
    <w:rsid w:val="00636BE1"/>
    <w:rsid w:val="00641C94"/>
    <w:rsid w:val="00642401"/>
    <w:rsid w:val="0064341D"/>
    <w:rsid w:val="00643A5C"/>
    <w:rsid w:val="00644514"/>
    <w:rsid w:val="0064605E"/>
    <w:rsid w:val="0065265A"/>
    <w:rsid w:val="00652F5B"/>
    <w:rsid w:val="00653322"/>
    <w:rsid w:val="00654C9C"/>
    <w:rsid w:val="00655032"/>
    <w:rsid w:val="00657650"/>
    <w:rsid w:val="00663F3F"/>
    <w:rsid w:val="006662EE"/>
    <w:rsid w:val="006733FB"/>
    <w:rsid w:val="006762D1"/>
    <w:rsid w:val="00681748"/>
    <w:rsid w:val="00681F76"/>
    <w:rsid w:val="00682BAA"/>
    <w:rsid w:val="00687F63"/>
    <w:rsid w:val="00691B1B"/>
    <w:rsid w:val="00694F89"/>
    <w:rsid w:val="0069751F"/>
    <w:rsid w:val="006B4C69"/>
    <w:rsid w:val="006B7EDF"/>
    <w:rsid w:val="006C13D1"/>
    <w:rsid w:val="006C27CB"/>
    <w:rsid w:val="006C3A84"/>
    <w:rsid w:val="006C4FC6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4B3D"/>
    <w:rsid w:val="00716B5F"/>
    <w:rsid w:val="00717B02"/>
    <w:rsid w:val="00717E8D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62AFA"/>
    <w:rsid w:val="00780900"/>
    <w:rsid w:val="007857E6"/>
    <w:rsid w:val="00790F41"/>
    <w:rsid w:val="00790FFD"/>
    <w:rsid w:val="007A1FC0"/>
    <w:rsid w:val="007A3539"/>
    <w:rsid w:val="007A5476"/>
    <w:rsid w:val="007A5EF9"/>
    <w:rsid w:val="007A64A1"/>
    <w:rsid w:val="007A771C"/>
    <w:rsid w:val="007C108B"/>
    <w:rsid w:val="007C723C"/>
    <w:rsid w:val="007C7727"/>
    <w:rsid w:val="007D5271"/>
    <w:rsid w:val="007E0262"/>
    <w:rsid w:val="007E1430"/>
    <w:rsid w:val="007E15E3"/>
    <w:rsid w:val="007E284E"/>
    <w:rsid w:val="007E743F"/>
    <w:rsid w:val="007F28C6"/>
    <w:rsid w:val="007F456C"/>
    <w:rsid w:val="007F4CDE"/>
    <w:rsid w:val="007F58AC"/>
    <w:rsid w:val="007F5DFC"/>
    <w:rsid w:val="008014C4"/>
    <w:rsid w:val="00807F5D"/>
    <w:rsid w:val="008113EF"/>
    <w:rsid w:val="008125AC"/>
    <w:rsid w:val="00813B4B"/>
    <w:rsid w:val="00814116"/>
    <w:rsid w:val="00827C04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76F6"/>
    <w:rsid w:val="00882125"/>
    <w:rsid w:val="0088263F"/>
    <w:rsid w:val="008831FC"/>
    <w:rsid w:val="00883912"/>
    <w:rsid w:val="008873A5"/>
    <w:rsid w:val="00887423"/>
    <w:rsid w:val="00891D74"/>
    <w:rsid w:val="008924A2"/>
    <w:rsid w:val="00892D6F"/>
    <w:rsid w:val="00894A1D"/>
    <w:rsid w:val="008A6276"/>
    <w:rsid w:val="008B135F"/>
    <w:rsid w:val="008B2D30"/>
    <w:rsid w:val="008B79B1"/>
    <w:rsid w:val="008D29AE"/>
    <w:rsid w:val="008D2D18"/>
    <w:rsid w:val="008D3BAD"/>
    <w:rsid w:val="008D5BA1"/>
    <w:rsid w:val="008D7375"/>
    <w:rsid w:val="008E35DE"/>
    <w:rsid w:val="008E6516"/>
    <w:rsid w:val="008E7E0C"/>
    <w:rsid w:val="008F00CE"/>
    <w:rsid w:val="008F1FFA"/>
    <w:rsid w:val="008F4262"/>
    <w:rsid w:val="00903E6F"/>
    <w:rsid w:val="0090623D"/>
    <w:rsid w:val="009145AF"/>
    <w:rsid w:val="0091609F"/>
    <w:rsid w:val="00922B9C"/>
    <w:rsid w:val="00936525"/>
    <w:rsid w:val="00950858"/>
    <w:rsid w:val="009541D1"/>
    <w:rsid w:val="00957FD8"/>
    <w:rsid w:val="00967D3F"/>
    <w:rsid w:val="00970371"/>
    <w:rsid w:val="00970E1C"/>
    <w:rsid w:val="009738E6"/>
    <w:rsid w:val="00976976"/>
    <w:rsid w:val="00977AC9"/>
    <w:rsid w:val="00980C9A"/>
    <w:rsid w:val="009836AA"/>
    <w:rsid w:val="00991867"/>
    <w:rsid w:val="00991ADC"/>
    <w:rsid w:val="00995598"/>
    <w:rsid w:val="009A1535"/>
    <w:rsid w:val="009A43C7"/>
    <w:rsid w:val="009A5BEE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54B7"/>
    <w:rsid w:val="00A3786D"/>
    <w:rsid w:val="00A4059B"/>
    <w:rsid w:val="00A411FF"/>
    <w:rsid w:val="00A42ED3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763BC"/>
    <w:rsid w:val="00A85C7A"/>
    <w:rsid w:val="00A86F51"/>
    <w:rsid w:val="00A90FF5"/>
    <w:rsid w:val="00A916F0"/>
    <w:rsid w:val="00A96BD9"/>
    <w:rsid w:val="00A96FA9"/>
    <w:rsid w:val="00AA7FCF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0030C"/>
    <w:rsid w:val="00B03E64"/>
    <w:rsid w:val="00B120EE"/>
    <w:rsid w:val="00B140A3"/>
    <w:rsid w:val="00B20646"/>
    <w:rsid w:val="00B25EA3"/>
    <w:rsid w:val="00B3083C"/>
    <w:rsid w:val="00B31AAF"/>
    <w:rsid w:val="00B3265B"/>
    <w:rsid w:val="00B330D4"/>
    <w:rsid w:val="00B37A41"/>
    <w:rsid w:val="00B4396F"/>
    <w:rsid w:val="00B43B32"/>
    <w:rsid w:val="00B50409"/>
    <w:rsid w:val="00B547DB"/>
    <w:rsid w:val="00B56043"/>
    <w:rsid w:val="00B570E4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C13A1"/>
    <w:rsid w:val="00BC216E"/>
    <w:rsid w:val="00BC28F5"/>
    <w:rsid w:val="00BC3263"/>
    <w:rsid w:val="00BD1A51"/>
    <w:rsid w:val="00BD7427"/>
    <w:rsid w:val="00BE377A"/>
    <w:rsid w:val="00BE48D9"/>
    <w:rsid w:val="00BE6369"/>
    <w:rsid w:val="00BE7C78"/>
    <w:rsid w:val="00BF04DD"/>
    <w:rsid w:val="00BF0A04"/>
    <w:rsid w:val="00C00F04"/>
    <w:rsid w:val="00C03E16"/>
    <w:rsid w:val="00C20A57"/>
    <w:rsid w:val="00C2114C"/>
    <w:rsid w:val="00C252AC"/>
    <w:rsid w:val="00C3429A"/>
    <w:rsid w:val="00C47CDD"/>
    <w:rsid w:val="00C502DB"/>
    <w:rsid w:val="00C52AE9"/>
    <w:rsid w:val="00C554FA"/>
    <w:rsid w:val="00C6212B"/>
    <w:rsid w:val="00C62990"/>
    <w:rsid w:val="00C701D4"/>
    <w:rsid w:val="00C71321"/>
    <w:rsid w:val="00C725E3"/>
    <w:rsid w:val="00C75DF9"/>
    <w:rsid w:val="00C775EF"/>
    <w:rsid w:val="00C77EEC"/>
    <w:rsid w:val="00C81A55"/>
    <w:rsid w:val="00CA17FD"/>
    <w:rsid w:val="00CA1A1E"/>
    <w:rsid w:val="00CA2E51"/>
    <w:rsid w:val="00CA3180"/>
    <w:rsid w:val="00CA3768"/>
    <w:rsid w:val="00CA4531"/>
    <w:rsid w:val="00CA54C5"/>
    <w:rsid w:val="00CB2869"/>
    <w:rsid w:val="00CB5A7F"/>
    <w:rsid w:val="00CB5B7E"/>
    <w:rsid w:val="00CC19CB"/>
    <w:rsid w:val="00CC6557"/>
    <w:rsid w:val="00CD5AAE"/>
    <w:rsid w:val="00CD5AFA"/>
    <w:rsid w:val="00CE0B79"/>
    <w:rsid w:val="00CE6577"/>
    <w:rsid w:val="00CF3212"/>
    <w:rsid w:val="00D02033"/>
    <w:rsid w:val="00D070F7"/>
    <w:rsid w:val="00D076DA"/>
    <w:rsid w:val="00D15C09"/>
    <w:rsid w:val="00D17607"/>
    <w:rsid w:val="00D20C64"/>
    <w:rsid w:val="00D21843"/>
    <w:rsid w:val="00D301BD"/>
    <w:rsid w:val="00D322E4"/>
    <w:rsid w:val="00D342FA"/>
    <w:rsid w:val="00D34617"/>
    <w:rsid w:val="00D36D36"/>
    <w:rsid w:val="00D44937"/>
    <w:rsid w:val="00D536D0"/>
    <w:rsid w:val="00D66DD6"/>
    <w:rsid w:val="00D71465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B7041"/>
    <w:rsid w:val="00DC276A"/>
    <w:rsid w:val="00DC48FA"/>
    <w:rsid w:val="00DD0962"/>
    <w:rsid w:val="00DD3F39"/>
    <w:rsid w:val="00DF39C3"/>
    <w:rsid w:val="00E02E8B"/>
    <w:rsid w:val="00E07D1D"/>
    <w:rsid w:val="00E156B8"/>
    <w:rsid w:val="00E2352C"/>
    <w:rsid w:val="00E26E0D"/>
    <w:rsid w:val="00E32641"/>
    <w:rsid w:val="00E35862"/>
    <w:rsid w:val="00E35B18"/>
    <w:rsid w:val="00E37C49"/>
    <w:rsid w:val="00E43329"/>
    <w:rsid w:val="00E52489"/>
    <w:rsid w:val="00E66A73"/>
    <w:rsid w:val="00E75C05"/>
    <w:rsid w:val="00E81AD8"/>
    <w:rsid w:val="00E82E8A"/>
    <w:rsid w:val="00E83B8D"/>
    <w:rsid w:val="00E84889"/>
    <w:rsid w:val="00E95CAA"/>
    <w:rsid w:val="00E96832"/>
    <w:rsid w:val="00EA0347"/>
    <w:rsid w:val="00EB2D37"/>
    <w:rsid w:val="00EB3C6C"/>
    <w:rsid w:val="00EB5F66"/>
    <w:rsid w:val="00EB6B21"/>
    <w:rsid w:val="00EC1FF5"/>
    <w:rsid w:val="00EC773D"/>
    <w:rsid w:val="00ED50BF"/>
    <w:rsid w:val="00EE2503"/>
    <w:rsid w:val="00EE2C33"/>
    <w:rsid w:val="00EF0A7B"/>
    <w:rsid w:val="00EF47DA"/>
    <w:rsid w:val="00EF4C22"/>
    <w:rsid w:val="00F005ED"/>
    <w:rsid w:val="00F02ED0"/>
    <w:rsid w:val="00F03ACE"/>
    <w:rsid w:val="00F074E7"/>
    <w:rsid w:val="00F11332"/>
    <w:rsid w:val="00F14597"/>
    <w:rsid w:val="00F15E2C"/>
    <w:rsid w:val="00F2253F"/>
    <w:rsid w:val="00F23A0E"/>
    <w:rsid w:val="00F2481B"/>
    <w:rsid w:val="00F27682"/>
    <w:rsid w:val="00F2797E"/>
    <w:rsid w:val="00F33010"/>
    <w:rsid w:val="00F44AB2"/>
    <w:rsid w:val="00F46B7A"/>
    <w:rsid w:val="00F476D9"/>
    <w:rsid w:val="00F5508E"/>
    <w:rsid w:val="00F56AB3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4B7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4FD01"/>
  <w15:docId w15:val="{BCC51E2C-A19E-4AB8-A460-FC39379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A751-6F6A-4020-88FD-BC9B6380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Edita Statkevičienė</cp:lastModifiedBy>
  <cp:revision>2</cp:revision>
  <cp:lastPrinted>2022-10-28T07:22:00Z</cp:lastPrinted>
  <dcterms:created xsi:type="dcterms:W3CDTF">2025-07-08T13:17:00Z</dcterms:created>
  <dcterms:modified xsi:type="dcterms:W3CDTF">2025-07-08T13:17:00Z</dcterms:modified>
</cp:coreProperties>
</file>