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23F" w14:textId="77777777" w:rsidR="00E63159" w:rsidRPr="00E63159" w:rsidRDefault="00E63159" w:rsidP="00E63159">
      <w:pPr>
        <w:pStyle w:val="Antrat1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4"/>
        </w:rPr>
      </w:pPr>
      <w:r w:rsidRPr="00E63159">
        <w:rPr>
          <w:rFonts w:ascii="Times New Roman" w:hAnsi="Times New Roman" w:cs="Times New Roman"/>
          <w:b/>
          <w:bCs/>
          <w:color w:val="auto"/>
          <w:sz w:val="24"/>
        </w:rPr>
        <w:t>Priedas Nr. 1</w:t>
      </w:r>
    </w:p>
    <w:p w14:paraId="7E49A182" w14:textId="77777777" w:rsidR="00E63159" w:rsidRDefault="00E63159" w:rsidP="00E63159">
      <w:pPr>
        <w:pStyle w:val="Pagrindinistekstas2"/>
        <w:spacing w:before="0" w:beforeAutospacing="0" w:after="0" w:afterAutospacing="0"/>
        <w:jc w:val="right"/>
        <w:rPr>
          <w:sz w:val="24"/>
        </w:rPr>
      </w:pPr>
      <w:r w:rsidRPr="00E63159">
        <w:rPr>
          <w:sz w:val="24"/>
        </w:rPr>
        <w:t xml:space="preserve">Pastato Stoties g. 25A, Tauragėje šilumos punkto priežiūros ir eksploatacijos darbų sąrašas </w:t>
      </w:r>
      <w:r w:rsidRPr="000702C4">
        <w:rPr>
          <w:sz w:val="24"/>
        </w:rPr>
        <w:t>ir darbų atlikimo periodiškumas</w:t>
      </w:r>
    </w:p>
    <w:p w14:paraId="086CD06E" w14:textId="77777777" w:rsidR="00E63159" w:rsidRDefault="00E63159" w:rsidP="00E63159">
      <w:pPr>
        <w:pStyle w:val="Pagrindinistekstas2"/>
        <w:spacing w:before="0" w:beforeAutospacing="0" w:after="0" w:afterAutospacing="0"/>
        <w:jc w:val="right"/>
        <w:rPr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8314"/>
        <w:gridCol w:w="4791"/>
      </w:tblGrid>
      <w:tr w:rsidR="00E63159" w:rsidRPr="000702C4" w14:paraId="25DDF776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61E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br w:type="page"/>
              <w:t>Eil. Nr.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2BD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Darbų pavadinimas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DAA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Darbų atlikimo periodiškumas pagal poreikį, tačiau ne rečiau kaip</w:t>
            </w:r>
          </w:p>
        </w:tc>
      </w:tr>
      <w:tr w:rsidR="00E63159" w:rsidRPr="000702C4" w14:paraId="4C84049F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259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BC6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Pastato šilumos punkto įrenginių apžiūra, šilumos punkte esančių įrenginių veikimo patikrinimas ir pastebėtų sutrikimų pašalinimas, jeigu nėra nuotolinio stebėjimo ir valdymo sistemos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0EF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savaitę</w:t>
            </w:r>
          </w:p>
        </w:tc>
      </w:tr>
      <w:tr w:rsidR="00E63159" w:rsidRPr="000702C4" w14:paraId="70840B3D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362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7F2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Atnaujintuose šilumos punktuose naudojamų automatinių reguliatorių periodinė apžiūra, jų būklės, veikimo tikrinimas, judančių dalių valymas ir tepimas, reguliavimo elementų koregavimas nustatytiems parametrams palaikyti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F6D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gamintojo rekomendacijas arba prižiūrėtojo vidaus darbo tvarką, bet ne rečiau nei 1 kartą per metus</w:t>
            </w:r>
          </w:p>
        </w:tc>
      </w:tr>
      <w:tr w:rsidR="00E63159" w:rsidRPr="000702C4" w14:paraId="7CE0351E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66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2EF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Šilumos punkto veikimo parametrų kontrolė (į šildymo sistemą tiekiamo ir iš jos grąžinamo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šilumnešio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temperatūros kontrolė ir į patalpas tiekiamo karšto vandens ir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recirkuliacinio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vandens temperatūrų kontrolė), į šildymo sistemą tiekiamo ir grąžinamo iš jos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šilumnešio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parametrų atitikimo pastatui patvirtintam temperatūros grafikui kontrolė, jų korekcija esant nuokrypiams, jeigu nėra nuotolinio stebėjimo ir valdymo sistemos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F2A8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savaitę</w:t>
            </w:r>
          </w:p>
        </w:tc>
      </w:tr>
      <w:tr w:rsidR="00E63159" w:rsidRPr="000702C4" w14:paraId="375E6BA6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AE3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760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Įrašymas į šilumos punkte esantį žurnalą duomenų apie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šilumnešio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ir karšto vandens parametrus (temperatūrą ir slėgį) bei apskaitos prietaisų rodmenis apie pratekėjusį per šilumos punktą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šilumnešio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kiekį, suvartotą šilumos kiekį bei sušildyto vandens kiekį (jeigu įrengtas jo apskaitos prietaisas), jeigu nėra nuotolinio stebėjimo ir valdymo sistemos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76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savaitę</w:t>
            </w:r>
            <w:r w:rsidRPr="00E6315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E63159" w:rsidRPr="000702C4" w14:paraId="3EAF84EB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88B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6E70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Atsiskaitomojo šilumos apskaitos prietaiso veikimo ir jo plombų vizualinė apžiūra, šilumos apskaitos prietaiso rodmenų nurašymas, jeigu nėra nuotolinio stebėjimo ir valdymo sistemos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85D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</w:t>
            </w:r>
            <w:r w:rsidRPr="00E6315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63159">
              <w:rPr>
                <w:rFonts w:ascii="Times New Roman" w:hAnsi="Times New Roman" w:cs="Times New Roman"/>
                <w:sz w:val="24"/>
              </w:rPr>
              <w:t>kartą per savaitę</w:t>
            </w:r>
            <w:r w:rsidRPr="00E6315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E63159" w:rsidRPr="000702C4" w14:paraId="313D1A27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FB1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ABBF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Jei yra nuotolinio stebėjimo ir valdymo sistema – visi 1–5 punktuose numatyti darbai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AB1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mėnesį</w:t>
            </w:r>
            <w:r w:rsidRPr="00E6315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E63159" w:rsidRPr="000702C4" w14:paraId="4615571F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20D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77D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Filtrų ir purvo rinktuvų apžiūra, išvalymas ir praplovimas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ED09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darbus</w:t>
            </w:r>
          </w:p>
        </w:tc>
      </w:tr>
      <w:tr w:rsidR="00E63159" w:rsidRPr="000702C4" w14:paraId="693260CC" w14:textId="77777777" w:rsidTr="00E63159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2CD5" w14:textId="20F4960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E6315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C8C9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Atjungimo armatūros einamasis smulkus remontas (riebokšlių sutepimas, paveržimas)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A5F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Įrangos charakteristikoje nurodytu periodiškumu</w:t>
            </w:r>
          </w:p>
        </w:tc>
      </w:tr>
      <w:tr w:rsidR="00E63159" w:rsidRPr="000702C4" w14:paraId="35B5865F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5397" w14:textId="77777777" w:rsidR="00E63159" w:rsidRPr="00E63159" w:rsidRDefault="00E63159" w:rsidP="00E63159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A96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0E0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75F0CAE" w14:textId="77777777" w:rsidR="0010671C" w:rsidRDefault="0010671C"/>
    <w:p w14:paraId="5825C289" w14:textId="77777777" w:rsidR="00E63159" w:rsidRDefault="00E63159"/>
    <w:p w14:paraId="41E81A8C" w14:textId="77777777" w:rsidR="00E63159" w:rsidRDefault="00E63159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8314"/>
        <w:gridCol w:w="4791"/>
      </w:tblGrid>
      <w:tr w:rsidR="00E63159" w:rsidRPr="00E63159" w14:paraId="15154D3A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BE0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33C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Atjungimo, reguliavimo ir balansavimo nefunkcionuojančios armatūros atjungimo ir (ar) pakeitimo, o esant reikalui, įrengimo darbai 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7BE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1BCD211B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75E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CB80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punkto patalpos elektros įrenginių, susijusių su šildymo ir karšto vandens sistemos darbu, priežiūra, o esant reikalui, remontas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CA5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šių įrenginių priežiūrą reglamentuojančių teisės aktų nustatytu periodiškumu</w:t>
            </w:r>
          </w:p>
        </w:tc>
      </w:tr>
      <w:tr w:rsidR="00E63159" w:rsidRPr="00E63159" w14:paraId="7262D8CD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D6D0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069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punkto patalpos elektros įrenginių varžų matavimas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B47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metus</w:t>
            </w:r>
          </w:p>
        </w:tc>
      </w:tr>
      <w:tr w:rsidR="00E63159" w:rsidRPr="00E63159" w14:paraId="55A4AF10" w14:textId="77777777" w:rsidTr="005455D1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35E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658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punkto hidraulinis išbandymas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51E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0DCB975F" w14:textId="77777777" w:rsidTr="005455D1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DAF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33F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punkto patalpoje įrengtų siurblių apžiūra, smulkus remontas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26D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0FA748C7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DC12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8019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Šilumokaičių smulkus remontas (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protėkio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pašalinimas suveržiant tarpines, sandarumo išbandymas)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059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341CE9A1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A262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43E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Tiesioginio veikimo kontrolės ir matavimo prietaisų priežiūra ir manometrų metrologinė patikra, susidėvėjusių prietaisų pakeitimas 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8E2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Metrologijos įstatyme ir jo įgyvendinimą lydinčių teisės aktų numatytu periodiškumu</w:t>
            </w:r>
          </w:p>
        </w:tc>
      </w:tr>
      <w:tr w:rsidR="00E63159" w:rsidRPr="00E63159" w14:paraId="16DA8D42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8F7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C69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Avarijų šilumos punkto sistemoje (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srieginių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jungčių suveržimas, apkabų uždėjimas, įtrūkimų suvirinimas, susidėvėjusių per 0,4 m ilgio vamzdžių pakeitimas) lokalizavimo ir likvidavimo darbai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F902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1E03F79A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D40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BD9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Šilumos punkto sistemoje susidėvėjusių daugiau nei 0,4 m ilgio vamzdžių pakeitimas 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B6B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37E27F3B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8B1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ABE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Nuotėkio iš atvirai paklotų arba sienose, perdangose bei pogrindiniuose kanaluose esančių šilumos punkto vamzdžių lokalizavimas (statybinės konstrukcijos išardymas,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srieginių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jungčių suveržimas, apkabų uždėjimas, įtrūkimų suvirinimas ar per 0,4 metrų ilgio vamzdžių pakeitimas) be atstatomųjų statybinės konstrukcijos ir apdailos darbų, už kuriuos papildomai apmoka pastato savininkas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AAF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3B6A8F59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D3A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542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Šilumos punkto šilumos izoliacijos apžiūra, atsitiktinis sudrėkusios izoliacijos vietų nustatymas, pažeistų ir atsilaisvinusių izoliacijos vietų per 0,40 m ilgio pritvirtinimas 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96B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2C88E0C5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0AE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CA8F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punkto vamzdynų ir armatūros izoliacijos 0,40 m ilgio, pažeistos eksploatavimo metu, atkūrimas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A1D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3DF75F6A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9E7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2035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Netinkamos naudojimui izoliacijos vietų daugiau nei 0,40 m, dėl kurios sistemose padidėja šilumos nuostoliai, pakeitimas ar atsilaisvinusios izoliacijos pritvirtinimas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9DA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</w:tbl>
    <w:p w14:paraId="7AF96279" w14:textId="77777777" w:rsidR="00E63159" w:rsidRPr="00E63159" w:rsidRDefault="00E63159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8314"/>
        <w:gridCol w:w="4791"/>
      </w:tblGrid>
      <w:tr w:rsidR="00E63159" w:rsidRPr="00E63159" w14:paraId="14942D93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85F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lastRenderedPageBreak/>
              <w:t>22.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462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Optimalių valdymo programų nustatymas, programų keitimas pagal namo įgaliotinio, savininko ar Bendrojo naudojimo objektų valdytojo pageidavimus, bet nepažeidžiant higienos normų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263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Pagal poreikį, bet ne dažniau nei 2 kartus per savaitę </w:t>
            </w:r>
          </w:p>
        </w:tc>
      </w:tr>
      <w:tr w:rsidR="00E63159" w:rsidRPr="00E63159" w14:paraId="7EA6B4C7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18F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E79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Vamzdynų, balansinės ir uždaromosios armatūros ženklinimas nustatytose vietose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61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3F8D9686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457B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5E0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Šilumos ir karšto vandens siurblių viršijamo triukšmo ir vibracijos nustatymas (nereikalaujantis specialių prietaisų), guolių ir riebokšlių apžiūra, sandarumo patikrinimas, atsilaisvinusių jungčių ir blogų kontaktų, įtampos, pavaros patikrinimas, variklių perkaitimo nustatymas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B39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darbus, bet ne rečiau nei 1 kartą per metus</w:t>
            </w:r>
          </w:p>
        </w:tc>
      </w:tr>
      <w:tr w:rsidR="00E63159" w:rsidRPr="00E63159" w14:paraId="63F3AF99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7762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C93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Sugedusių šildymo arba karšto vandens tiekimo siurblių, šilumokaičių ar kitų įrengimų kapitalinis remontas arba pakeitimas (naujo įrenginio įsigijimą ar kapitalinio remonto kaštus apmoka įrenginių savininkas)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EC7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6887615E" w14:textId="77777777" w:rsidTr="005455D1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66DD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DD70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Automatizuoto šilumos punkto reguliatoriaus/valdiklio sudedamųjų dalių profilaktika, remontas ar jų pakeitimas (naujo įrenginio įsigijimą ar remonto kaštus apmoka įrenginių savininkas)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F18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</w:t>
            </w:r>
          </w:p>
        </w:tc>
      </w:tr>
      <w:tr w:rsidR="00E63159" w:rsidRPr="00E63159" w14:paraId="1B7D0D81" w14:textId="77777777" w:rsidTr="005455D1">
        <w:trPr>
          <w:tblHeader/>
        </w:trPr>
        <w:tc>
          <w:tcPr>
            <w:tcW w:w="3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3C20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5D7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Į patalpas tiekiamo karšto vandens temperatūros kontrolė ir, esant nuokrypiams, koregavimas, jeigu nėra nuotolinio stebėjimo ir valdymo sistemos</w:t>
            </w: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366F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510F63A0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C4CA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325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Karšto vandens šilumokaičių praplovimas cheminiu būdu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9C2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poreikį, dėl netinkamos vandens kokybės, bet ne rečiau kaip kas 4 metai</w:t>
            </w:r>
          </w:p>
        </w:tc>
      </w:tr>
      <w:tr w:rsidR="00E63159" w:rsidRPr="00E63159" w14:paraId="65AA9569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DAD9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9BF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Tiesioginio veikimo karšto vandens kiekio ir temperatūros reguliatorių ir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termorelių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apžiūra, remontas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F4A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poreikį, bet ne rečiau kaip įrangos charakteristikoje nurodytu periodiškumu</w:t>
            </w:r>
          </w:p>
        </w:tc>
      </w:tr>
      <w:tr w:rsidR="00E63159" w:rsidRPr="00E63159" w14:paraId="060F405F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BD9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A7D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Šalto vandens skaitiklių prieš karšto vandens šilumokaitį rodmenų nurašymas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AB1E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1 kartą per savaitę</w:t>
            </w:r>
            <w:r w:rsidRPr="00E6315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</w:tr>
      <w:tr w:rsidR="00E63159" w:rsidRPr="00E63159" w14:paraId="37F46550" w14:textId="77777777" w:rsidTr="005455D1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1EE8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6C12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Šildymo sistemos hidraulinis išbandymas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B47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darbus, bet ne rečiau kaip 1 kartą per metus</w:t>
            </w:r>
          </w:p>
        </w:tc>
      </w:tr>
      <w:tr w:rsidR="00E63159" w:rsidRPr="00E63159" w14:paraId="2F19DBB0" w14:textId="77777777" w:rsidTr="00E63159">
        <w:trPr>
          <w:tblHeader/>
        </w:trPr>
        <w:tc>
          <w:tcPr>
            <w:tcW w:w="3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10B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29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2FC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Aklių, apsaugančių namo šildymo sistemą nuo padidinto slėgio lauko tinklų hidraulinio bandymo metu, įrengimas šilumos punktuose prie įvadinių sklendžių</w:t>
            </w:r>
          </w:p>
        </w:tc>
        <w:tc>
          <w:tcPr>
            <w:tcW w:w="17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476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/atliekant šilumos trasų hidraulinius bandymus</w:t>
            </w:r>
          </w:p>
        </w:tc>
      </w:tr>
    </w:tbl>
    <w:p w14:paraId="217B89CB" w14:textId="77777777" w:rsidR="00E63159" w:rsidRPr="00E63159" w:rsidRDefault="00E63159">
      <w:pPr>
        <w:rPr>
          <w:rFonts w:ascii="Times New Roman" w:hAnsi="Times New Roman" w:cs="Times New Roman"/>
        </w:rPr>
      </w:pPr>
    </w:p>
    <w:p w14:paraId="3FD6E33E" w14:textId="77777777" w:rsidR="00E63159" w:rsidRPr="00E63159" w:rsidRDefault="00E63159">
      <w:pPr>
        <w:rPr>
          <w:rFonts w:ascii="Times New Roman" w:hAnsi="Times New Roman" w:cs="Times New Roman"/>
        </w:rPr>
      </w:pPr>
    </w:p>
    <w:p w14:paraId="5FAA3AFD" w14:textId="77777777" w:rsidR="00E63159" w:rsidRPr="00E63159" w:rsidRDefault="00E63159">
      <w:pPr>
        <w:rPr>
          <w:rFonts w:ascii="Times New Roman" w:hAnsi="Times New Roman" w:cs="Times New Roman"/>
        </w:rPr>
      </w:pPr>
    </w:p>
    <w:p w14:paraId="15EBEE14" w14:textId="77777777" w:rsidR="00E63159" w:rsidRPr="00E63159" w:rsidRDefault="00E63159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8314"/>
        <w:gridCol w:w="4791"/>
      </w:tblGrid>
      <w:tr w:rsidR="00E63159" w:rsidRPr="00E63159" w14:paraId="7445C9F3" w14:textId="77777777" w:rsidTr="005455D1">
        <w:trPr>
          <w:tblHeader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F3AC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lastRenderedPageBreak/>
              <w:t>Dokumentacija:</w:t>
            </w:r>
          </w:p>
        </w:tc>
      </w:tr>
      <w:tr w:rsidR="00E63159" w:rsidRPr="00E63159" w14:paraId="547411E2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6B06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8B17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Duomenų apie pastebėtus įrenginių veikimo sutrikimus ir atliktus darbus juos šalinant, kitas profilaktikos priemones ar neperiodinius parametrų reguliavimo darbus įrašymas į šilumos punkte esantį žurnalą, jeigu nėra nuotolinio stebėjimo ir valdymo sistemos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B6E3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  <w:tr w:rsidR="00E63159" w:rsidRPr="00E63159" w14:paraId="333AF6A6" w14:textId="77777777" w:rsidTr="005455D1">
        <w:trPr>
          <w:tblHeader/>
        </w:trPr>
        <w:tc>
          <w:tcPr>
            <w:tcW w:w="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E8C4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5CA1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 xml:space="preserve">Šilumos tiekėjo dispečerio informavimas apie pastebėtus </w:t>
            </w:r>
            <w:proofErr w:type="spellStart"/>
            <w:r w:rsidRPr="00E63159">
              <w:rPr>
                <w:rFonts w:ascii="Times New Roman" w:hAnsi="Times New Roman" w:cs="Times New Roman"/>
                <w:sz w:val="24"/>
              </w:rPr>
              <w:t>šilumnešio</w:t>
            </w:r>
            <w:proofErr w:type="spellEnd"/>
            <w:r w:rsidRPr="00E63159">
              <w:rPr>
                <w:rFonts w:ascii="Times New Roman" w:hAnsi="Times New Roman" w:cs="Times New Roman"/>
                <w:sz w:val="24"/>
              </w:rPr>
              <w:t xml:space="preserve"> parametrų nuokrypius šilumos perdavimo tinkle (įvade) ir šilumos apskaitos prietaiso sutrikimus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5385" w14:textId="77777777" w:rsidR="00E63159" w:rsidRPr="00E63159" w:rsidRDefault="00E63159" w:rsidP="005455D1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</w:rPr>
            </w:pPr>
            <w:r w:rsidRPr="00E63159">
              <w:rPr>
                <w:rFonts w:ascii="Times New Roman" w:hAnsi="Times New Roman" w:cs="Times New Roman"/>
                <w:sz w:val="24"/>
              </w:rPr>
              <w:t>Pagal poreikį ir atlikus šiame sąraše nurodytus remonto darbus</w:t>
            </w:r>
          </w:p>
        </w:tc>
      </w:tr>
    </w:tbl>
    <w:p w14:paraId="78151658" w14:textId="018235C9" w:rsidR="00E63159" w:rsidRPr="00E63159" w:rsidRDefault="00E63159" w:rsidP="00E63159">
      <w:pPr>
        <w:autoSpaceDN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  <w:r w:rsidRPr="00E63159">
        <w:rPr>
          <w:rFonts w:ascii="Times New Roman" w:hAnsi="Times New Roman" w:cs="Times New Roman"/>
        </w:rPr>
        <w:t> </w:t>
      </w:r>
      <w:r w:rsidRPr="00E63159">
        <w:rPr>
          <w:rFonts w:ascii="Times New Roman" w:hAnsi="Times New Roman" w:cs="Times New Roman"/>
          <w:sz w:val="24"/>
        </w:rPr>
        <w:t>Šilumos punkto priežiūros ir eksploatacijos sąnaudos, įskaitant remonto darbams reikalingas medžiagas ir įrengimus, kurios nėra įskaičiuotos į priežiūros tarifą, apmoka šildymo ir karšto vandens sistemos įrenginių savininkas jų priežiūros sutartyse arba teisės aktuose nustatyta tvarka.</w:t>
      </w:r>
    </w:p>
    <w:p w14:paraId="5C071837" w14:textId="77777777" w:rsidR="00E63159" w:rsidRPr="00E63159" w:rsidRDefault="00E63159" w:rsidP="00E63159">
      <w:pPr>
        <w:autoSpaceDN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</w:rPr>
      </w:pPr>
    </w:p>
    <w:tbl>
      <w:tblPr>
        <w:tblW w:w="13183" w:type="dxa"/>
        <w:tblInd w:w="279" w:type="dxa"/>
        <w:tblLook w:val="0000" w:firstRow="0" w:lastRow="0" w:firstColumn="0" w:lastColumn="0" w:noHBand="0" w:noVBand="0"/>
      </w:tblPr>
      <w:tblGrid>
        <w:gridCol w:w="7087"/>
        <w:gridCol w:w="6096"/>
      </w:tblGrid>
      <w:tr w:rsidR="00E63159" w:rsidRPr="00E63159" w14:paraId="7B6EB320" w14:textId="77777777" w:rsidTr="00E63159">
        <w:trPr>
          <w:trHeight w:val="2515"/>
        </w:trPr>
        <w:tc>
          <w:tcPr>
            <w:tcW w:w="7087" w:type="dxa"/>
          </w:tcPr>
          <w:p w14:paraId="1738E5B4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  Direktorius</w:t>
            </w:r>
          </w:p>
          <w:p w14:paraId="7CD0D732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Audrius Arcišauskas</w:t>
            </w:r>
          </w:p>
          <w:p w14:paraId="72DC8AD4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</w:p>
          <w:p w14:paraId="11C6D5FD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</w:t>
            </w:r>
          </w:p>
          <w:p w14:paraId="140BFED7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....................................................................   </w:t>
            </w:r>
          </w:p>
          <w:p w14:paraId="2B3C2CDD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            (parašas)       </w:t>
            </w:r>
          </w:p>
          <w:p w14:paraId="3E91DAF3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6096" w:type="dxa"/>
          </w:tcPr>
          <w:p w14:paraId="7C896CBF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Teismo kanclerė</w:t>
            </w:r>
          </w:p>
          <w:p w14:paraId="3F1DDEBD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Aistė Jurkšaitienė</w:t>
            </w:r>
          </w:p>
          <w:p w14:paraId="77F6BC2B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4F9DB0B6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</w:p>
          <w:p w14:paraId="6F910FF4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...................................................................   </w:t>
            </w:r>
          </w:p>
          <w:p w14:paraId="2B1DFBAD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                   (parašas)       </w:t>
            </w:r>
          </w:p>
          <w:p w14:paraId="384CF563" w14:textId="77777777" w:rsidR="00E63159" w:rsidRPr="00E63159" w:rsidRDefault="00E63159" w:rsidP="005455D1">
            <w:pPr>
              <w:rPr>
                <w:rFonts w:ascii="Times New Roman" w:hAnsi="Times New Roman" w:cs="Times New Roman"/>
              </w:rPr>
            </w:pPr>
            <w:r w:rsidRPr="00E63159">
              <w:rPr>
                <w:rFonts w:ascii="Times New Roman" w:hAnsi="Times New Roman" w:cs="Times New Roman"/>
              </w:rPr>
              <w:t xml:space="preserve">   A.V.                                                                              </w:t>
            </w:r>
          </w:p>
        </w:tc>
      </w:tr>
    </w:tbl>
    <w:p w14:paraId="3D817892" w14:textId="77777777" w:rsidR="00E63159" w:rsidRDefault="00E63159"/>
    <w:sectPr w:rsidR="00E63159" w:rsidSect="00E63159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59"/>
    <w:rsid w:val="0010671C"/>
    <w:rsid w:val="00310561"/>
    <w:rsid w:val="005A7F83"/>
    <w:rsid w:val="00B6669C"/>
    <w:rsid w:val="00E63159"/>
    <w:rsid w:val="00ED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A50E"/>
  <w15:chartTrackingRefBased/>
  <w15:docId w15:val="{CB7B0F12-C5CD-4F8C-A832-FB39882B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63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3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1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1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1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1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1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1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1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1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31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1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159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semiHidden/>
    <w:rsid w:val="00E63159"/>
    <w:pPr>
      <w:autoSpaceDN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63159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5126</Words>
  <Characters>2922</Characters>
  <Application>Microsoft Office Word</Application>
  <DocSecurity>0</DocSecurity>
  <Lines>24</Lines>
  <Paragraphs>16</Paragraphs>
  <ScaleCrop>false</ScaleCrop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Sakalauskienė</dc:creator>
  <cp:keywords/>
  <dc:description/>
  <cp:lastModifiedBy>Agnė Kasmauskienė</cp:lastModifiedBy>
  <cp:revision>2</cp:revision>
  <dcterms:created xsi:type="dcterms:W3CDTF">2025-03-13T11:39:00Z</dcterms:created>
  <dcterms:modified xsi:type="dcterms:W3CDTF">2025-03-13T11:39:00Z</dcterms:modified>
</cp:coreProperties>
</file>