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2EB7" w14:textId="29BF2521" w:rsidR="00B301D3" w:rsidRPr="00B301D3" w:rsidRDefault="00F04BCB" w:rsidP="00F04BCB">
      <w:pPr>
        <w:keepNext/>
        <w:keepLines/>
        <w:spacing w:before="120" w:after="0" w:line="240" w:lineRule="auto"/>
        <w:ind w:left="5103"/>
        <w:jc w:val="right"/>
        <w:outlineLvl w:val="1"/>
        <w:rPr>
          <w:rFonts w:ascii="Calibri" w:eastAsia="Calibri" w:hAnsi="Calibri" w:cs="Calibri"/>
          <w:kern w:val="0"/>
          <w:sz w:val="22"/>
          <w:szCs w:val="22"/>
          <w:lang w:eastAsia="lt-LT"/>
          <w14:ligatures w14:val="none"/>
        </w:rPr>
      </w:pPr>
      <w:r>
        <w:rPr>
          <w:rFonts w:ascii="Calibri" w:eastAsia="Calibri" w:hAnsi="Calibri" w:cs="Calibri"/>
          <w:kern w:val="0"/>
          <w:sz w:val="22"/>
          <w:szCs w:val="22"/>
          <w:lang w:eastAsia="lt-LT"/>
          <w14:ligatures w14:val="none"/>
        </w:rPr>
        <w:t>Priedas Nr. 1</w:t>
      </w:r>
    </w:p>
    <w:p w14:paraId="31BAE611" w14:textId="77777777" w:rsidR="00B301D3" w:rsidRPr="00B301D3" w:rsidRDefault="00B301D3" w:rsidP="00B301D3">
      <w:pPr>
        <w:spacing w:line="276" w:lineRule="auto"/>
        <w:jc w:val="center"/>
        <w:rPr>
          <w:rFonts w:ascii="Calibri" w:eastAsia="Calibri" w:hAnsi="Calibri" w:cs="Calibri"/>
          <w:b/>
          <w:bCs/>
          <w:kern w:val="0"/>
          <w:sz w:val="22"/>
          <w:szCs w:val="22"/>
          <w:lang w:eastAsia="lt-LT"/>
          <w14:ligatures w14:val="none"/>
        </w:rPr>
      </w:pPr>
    </w:p>
    <w:p w14:paraId="6A18EDDE" w14:textId="77777777" w:rsidR="00B301D3" w:rsidRPr="00B301D3" w:rsidRDefault="00B301D3" w:rsidP="00B301D3">
      <w:pPr>
        <w:numPr>
          <w:ilvl w:val="1"/>
          <w:numId w:val="0"/>
        </w:numPr>
        <w:spacing w:after="240" w:line="276" w:lineRule="auto"/>
        <w:jc w:val="center"/>
        <w:rPr>
          <w:rFonts w:ascii="Calibri" w:eastAsia="Calibri" w:hAnsi="Calibri" w:cs="Calibri"/>
          <w:b/>
          <w:bCs/>
          <w:caps/>
          <w:spacing w:val="20"/>
          <w:kern w:val="0"/>
          <w:sz w:val="22"/>
          <w:szCs w:val="22"/>
          <w:lang w:eastAsia="lt-LT"/>
          <w14:ligatures w14:val="none"/>
        </w:rPr>
      </w:pPr>
      <w:r w:rsidRPr="00B301D3">
        <w:rPr>
          <w:rFonts w:ascii="Calibri" w:eastAsia="Calibri" w:hAnsi="Calibri" w:cs="Calibri"/>
          <w:b/>
          <w:bCs/>
          <w:caps/>
          <w:spacing w:val="20"/>
          <w:kern w:val="0"/>
          <w:sz w:val="22"/>
          <w:szCs w:val="22"/>
          <w:lang w:eastAsia="lt-LT"/>
          <w14:ligatures w14:val="none"/>
        </w:rPr>
        <w:t>TECHNINĖ SPECIFIKACIJA</w:t>
      </w:r>
    </w:p>
    <w:p w14:paraId="596A59BA" w14:textId="77777777" w:rsidR="00B301D3" w:rsidRPr="00B301D3" w:rsidRDefault="00B301D3" w:rsidP="00B301D3">
      <w:pPr>
        <w:suppressAutoHyphens/>
        <w:spacing w:after="0" w:line="240" w:lineRule="auto"/>
        <w:jc w:val="both"/>
        <w:rPr>
          <w:rFonts w:ascii="Calibri" w:eastAsia="Times New Roman" w:hAnsi="Calibri" w:cs="Calibri"/>
          <w:bCs/>
          <w:color w:val="000000"/>
          <w:kern w:val="0"/>
          <w:sz w:val="22"/>
          <w:szCs w:val="22"/>
          <w:lang w:eastAsia="lt-LT"/>
          <w14:ligatures w14:val="none"/>
        </w:rPr>
      </w:pPr>
      <w:r w:rsidRPr="00B301D3">
        <w:rPr>
          <w:rFonts w:ascii="Calibri" w:eastAsia="Times New Roman" w:hAnsi="Calibri" w:cs="Calibri"/>
          <w:bCs/>
          <w:color w:val="000000"/>
          <w:kern w:val="0"/>
          <w:sz w:val="22"/>
          <w:szCs w:val="22"/>
          <w:lang w:eastAsia="lt-LT"/>
          <w14:ligatures w14:val="none"/>
        </w:rPr>
        <w:t>Viešoji įstaiga Vilniaus miesto klinikinė ligoninė (toliau – Pirkėjas, Ligoninė) planuoja įsigyti ligonių pervežimo paslaugą visą parą, įskaitant šventines ir išeigines dienas, iš Ligoninės į kitas asmens sveikatos priežiūros įstaigas (ASPĮ) bei iš kitų ASPĮ į Ligoninę pagal iškvietimą.</w:t>
      </w:r>
    </w:p>
    <w:p w14:paraId="60012CFA" w14:textId="77777777" w:rsidR="00B301D3" w:rsidRPr="00B301D3" w:rsidRDefault="00B301D3" w:rsidP="00B301D3">
      <w:pPr>
        <w:suppressAutoHyphens/>
        <w:spacing w:after="0" w:line="240" w:lineRule="auto"/>
        <w:jc w:val="both"/>
        <w:rPr>
          <w:rFonts w:ascii="Calibri" w:eastAsia="Times New Roman" w:hAnsi="Calibri" w:cs="Calibri"/>
          <w:b/>
          <w:color w:val="000000"/>
          <w:kern w:val="0"/>
          <w:sz w:val="22"/>
          <w:szCs w:val="22"/>
          <w:lang w:eastAsia="lt-LT"/>
          <w14:ligatures w14:val="none"/>
        </w:rPr>
      </w:pPr>
    </w:p>
    <w:p w14:paraId="28276F0E"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r w:rsidRPr="00B301D3">
        <w:rPr>
          <w:rFonts w:ascii="Calibri" w:eastAsia="Times New Roman" w:hAnsi="Calibri" w:cs="Calibri"/>
          <w:b/>
          <w:color w:val="000000"/>
          <w:kern w:val="0"/>
          <w:sz w:val="22"/>
          <w:szCs w:val="22"/>
          <w:lang w:eastAsia="lt-LT"/>
          <w14:ligatures w14:val="none"/>
        </w:rPr>
        <w:t>I. Bendrieji  reikalavimai</w:t>
      </w:r>
    </w:p>
    <w:p w14:paraId="0BDC25B6"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r w:rsidRPr="00B301D3">
        <w:rPr>
          <w:rFonts w:ascii="Calibri" w:eastAsia="Times New Roman" w:hAnsi="Calibri" w:cs="Calibri"/>
          <w:color w:val="000000"/>
          <w:kern w:val="0"/>
          <w:sz w:val="22"/>
          <w:szCs w:val="22"/>
          <w:lang w:eastAsia="lt-LT"/>
          <w14:ligatures w14:val="none"/>
        </w:rPr>
        <w:t>1. Tiekėjas</w:t>
      </w:r>
      <w:r w:rsidRPr="00B301D3">
        <w:rPr>
          <w:rFonts w:ascii="Calibri" w:eastAsia="Calibri" w:hAnsi="Calibri" w:cs="Calibri"/>
          <w:kern w:val="0"/>
          <w:sz w:val="22"/>
          <w:szCs w:val="22"/>
          <w:lang w:eastAsia="zh-CN"/>
          <w14:ligatures w14:val="none"/>
        </w:rPr>
        <w:t xml:space="preserve"> teikdamas Paslaugas įsipareigoja laikytis:</w:t>
      </w:r>
    </w:p>
    <w:p w14:paraId="179F5E62"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 LR Sveikatos apsaugos ministro 2007 lapkričio 6 d. įsakyme Nr. V-895 „Dėl greitosios medicinos pagalbos paslaugų teikimo reikalavimai“ nustatytų reikalavimų;</w:t>
      </w:r>
    </w:p>
    <w:p w14:paraId="57F48FF8"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 LR Sveikatos apsaugos ministro 2003 m. liepos 11 d. įsakyme Nr. V-428 „Dėl privalomų medicinos prietaisų, vaistų, asmeninių apsaugos priemonių, gelbėjimo ir apsaugos bei ryšio priemonių greitosios medicinos pagalbos transporto priemonėse sąrašo patvirtinimo“ nustatytų reikalavimų;</w:t>
      </w:r>
    </w:p>
    <w:p w14:paraId="5C440A0A"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 LR Sveikatos apsaugos ministro 2010 gruodžio 27 d. įsakyme Nr. V1131 „Greitosios medicinos pagalbos paslaugų teikimo ir išlaidų apmokėjimo tvarkos aprašu“ nustatytų reikalavimų.</w:t>
      </w:r>
    </w:p>
    <w:p w14:paraId="3941FF85"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2. Paslaugos turi būti vykdomos vadovaujantis LR teisės aktų nuostatomis.</w:t>
      </w:r>
    </w:p>
    <w:p w14:paraId="33F45BA5"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p>
    <w:p w14:paraId="406CA9F9" w14:textId="77777777" w:rsidR="00B301D3" w:rsidRPr="00B301D3" w:rsidRDefault="00B301D3" w:rsidP="00B301D3">
      <w:pPr>
        <w:suppressAutoHyphens/>
        <w:spacing w:after="0" w:line="240" w:lineRule="auto"/>
        <w:jc w:val="both"/>
        <w:rPr>
          <w:rFonts w:ascii="Calibri" w:eastAsia="Calibri" w:hAnsi="Calibri" w:cs="Calibri"/>
          <w:b/>
          <w:bCs/>
          <w:kern w:val="0"/>
          <w:sz w:val="22"/>
          <w:szCs w:val="22"/>
          <w:lang w:eastAsia="zh-CN"/>
          <w14:ligatures w14:val="none"/>
        </w:rPr>
      </w:pPr>
      <w:r w:rsidRPr="00B301D3">
        <w:rPr>
          <w:rFonts w:ascii="Calibri" w:eastAsia="Calibri" w:hAnsi="Calibri" w:cs="Calibri"/>
          <w:b/>
          <w:bCs/>
          <w:kern w:val="0"/>
          <w:sz w:val="22"/>
          <w:szCs w:val="22"/>
          <w:lang w:eastAsia="zh-CN"/>
          <w14:ligatures w14:val="none"/>
        </w:rPr>
        <w:t>II. Paslaugų teikimo reikalavimai</w:t>
      </w:r>
    </w:p>
    <w:p w14:paraId="23C197EA" w14:textId="77777777" w:rsidR="00B301D3" w:rsidRPr="00B301D3" w:rsidRDefault="00B301D3" w:rsidP="00B301D3">
      <w:pPr>
        <w:spacing w:after="0" w:line="240" w:lineRule="auto"/>
        <w:jc w:val="both"/>
        <w:rPr>
          <w:rFonts w:ascii="Calibri" w:eastAsia="Calibri" w:hAnsi="Calibri" w:cs="Calibri"/>
          <w:kern w:val="0"/>
          <w:sz w:val="22"/>
          <w:szCs w:val="22"/>
          <w:lang w:eastAsia="lt-LT"/>
          <w14:ligatures w14:val="none"/>
        </w:rPr>
      </w:pPr>
      <w:r w:rsidRPr="00B301D3">
        <w:rPr>
          <w:rFonts w:ascii="Calibri" w:eastAsia="Calibri" w:hAnsi="Calibri" w:cs="Calibri"/>
          <w:kern w:val="0"/>
          <w:sz w:val="22"/>
          <w:szCs w:val="22"/>
          <w:lang w:eastAsia="lt-LT"/>
          <w14:ligatures w14:val="none"/>
        </w:rPr>
        <w:t>3. Paslaugos teikiamos pagal Ligoninės atsakingo asmens iškvietimą (toliau – Užsakymas) telefonu arba elektroniniu paštu.</w:t>
      </w:r>
    </w:p>
    <w:p w14:paraId="54EDB968" w14:textId="77777777" w:rsidR="00B301D3" w:rsidRPr="00B301D3" w:rsidRDefault="00B301D3" w:rsidP="00B301D3">
      <w:pPr>
        <w:spacing w:after="0" w:line="240" w:lineRule="auto"/>
        <w:jc w:val="both"/>
        <w:rPr>
          <w:rFonts w:ascii="Calibri" w:eastAsia="Calibri" w:hAnsi="Calibri" w:cs="Calibri"/>
          <w:kern w:val="0"/>
          <w:sz w:val="22"/>
          <w:szCs w:val="22"/>
          <w:lang w:eastAsia="lt-LT"/>
          <w14:ligatures w14:val="none"/>
        </w:rPr>
      </w:pPr>
      <w:r w:rsidRPr="00B301D3">
        <w:rPr>
          <w:rFonts w:ascii="Calibri" w:eastAsia="Calibri" w:hAnsi="Calibri" w:cs="Calibri"/>
          <w:kern w:val="0"/>
          <w:sz w:val="22"/>
          <w:szCs w:val="22"/>
          <w:lang w:eastAsia="lt-LT"/>
          <w14:ligatures w14:val="none"/>
        </w:rPr>
        <w:t>4. Paslaugų suteikimo terminas (atvykimas į Ligoninę pagal iškvietimą) – ne vėliau kaip 45 min. nuo gauto Užsakymo.</w:t>
      </w:r>
    </w:p>
    <w:p w14:paraId="3EEEBCF9" w14:textId="77777777" w:rsidR="00B301D3" w:rsidRPr="00B301D3" w:rsidRDefault="00B301D3" w:rsidP="00B301D3">
      <w:pPr>
        <w:spacing w:after="0" w:line="240" w:lineRule="auto"/>
        <w:jc w:val="both"/>
        <w:rPr>
          <w:rFonts w:ascii="Calibri" w:eastAsia="Calibri" w:hAnsi="Calibri" w:cs="Calibri"/>
          <w:kern w:val="0"/>
          <w:sz w:val="22"/>
          <w:szCs w:val="22"/>
          <w:lang w:eastAsia="lt-LT"/>
          <w14:ligatures w14:val="none"/>
        </w:rPr>
      </w:pPr>
      <w:r w:rsidRPr="00B301D3">
        <w:rPr>
          <w:rFonts w:ascii="Calibri" w:eastAsia="Calibri" w:hAnsi="Calibri" w:cs="Calibri"/>
          <w:kern w:val="0"/>
          <w:sz w:val="22"/>
          <w:szCs w:val="22"/>
          <w:lang w:eastAsia="lt-LT"/>
          <w14:ligatures w14:val="none"/>
        </w:rPr>
        <w:t xml:space="preserve">5. Tiekėjas privalo teikti Paslaugas pagal Ligoninės užsakymą, </w:t>
      </w:r>
      <w:proofErr w:type="spellStart"/>
      <w:r w:rsidRPr="00B301D3">
        <w:rPr>
          <w:rFonts w:ascii="Calibri" w:eastAsia="Calibri" w:hAnsi="Calibri" w:cs="Calibri"/>
          <w:kern w:val="0"/>
          <w:sz w:val="22"/>
          <w:szCs w:val="22"/>
          <w:lang w:eastAsia="lt-LT"/>
          <w14:ligatures w14:val="none"/>
        </w:rPr>
        <w:t>t.y</w:t>
      </w:r>
      <w:proofErr w:type="spellEnd"/>
      <w:r w:rsidRPr="00B301D3">
        <w:rPr>
          <w:rFonts w:ascii="Calibri" w:eastAsia="Calibri" w:hAnsi="Calibri" w:cs="Calibri"/>
          <w:kern w:val="0"/>
          <w:sz w:val="22"/>
          <w:szCs w:val="22"/>
          <w:lang w:eastAsia="lt-LT"/>
          <w14:ligatures w14:val="none"/>
        </w:rPr>
        <w:t>., jei Ligoninė užsako Pradinio gyvybės palaikymo pervežimo paslaugas, tačiau Tiekėjas dėl objektyvių priežasčių negali jų suteikti ir vietoje to teikia Pažangaus gyvybės palaikymo pervežimą, Ligoninė už suteiktas Paslaugas apmoka pagal Pradinio gyvybės palaikymo pervežimo paslaugų įkainį.</w:t>
      </w:r>
    </w:p>
    <w:p w14:paraId="67D46F67" w14:textId="77777777" w:rsidR="00B301D3" w:rsidRPr="00B301D3" w:rsidRDefault="00B301D3" w:rsidP="00B301D3">
      <w:pPr>
        <w:spacing w:after="0" w:line="240" w:lineRule="auto"/>
        <w:jc w:val="both"/>
        <w:rPr>
          <w:rFonts w:ascii="Calibri" w:eastAsia="Calibri" w:hAnsi="Calibri" w:cs="Calibri"/>
          <w:kern w:val="0"/>
          <w:sz w:val="22"/>
          <w:szCs w:val="22"/>
          <w:lang w:eastAsia="lt-LT"/>
          <w14:ligatures w14:val="none"/>
        </w:rPr>
      </w:pPr>
    </w:p>
    <w:p w14:paraId="5BC29F2E" w14:textId="77777777" w:rsidR="00B301D3" w:rsidRPr="00B301D3" w:rsidRDefault="00B301D3" w:rsidP="00B301D3">
      <w:pPr>
        <w:spacing w:after="0" w:line="240" w:lineRule="auto"/>
        <w:jc w:val="both"/>
        <w:rPr>
          <w:rFonts w:ascii="Calibri" w:eastAsia="Calibri" w:hAnsi="Calibri" w:cs="Calibri"/>
          <w:b/>
          <w:bCs/>
          <w:kern w:val="0"/>
          <w:sz w:val="22"/>
          <w:szCs w:val="22"/>
          <w:lang w:eastAsia="lt-LT"/>
          <w14:ligatures w14:val="none"/>
        </w:rPr>
      </w:pPr>
      <w:r w:rsidRPr="00B301D3">
        <w:rPr>
          <w:rFonts w:ascii="Calibri" w:eastAsia="Calibri" w:hAnsi="Calibri" w:cs="Calibri"/>
          <w:b/>
          <w:bCs/>
          <w:kern w:val="0"/>
          <w:sz w:val="22"/>
          <w:szCs w:val="22"/>
          <w:lang w:eastAsia="lt-LT"/>
          <w14:ligatures w14:val="none"/>
        </w:rPr>
        <w:t>III. Preliminarus Paslaugų kiekis:</w:t>
      </w:r>
    </w:p>
    <w:p w14:paraId="54617C9B" w14:textId="77777777" w:rsidR="00B301D3" w:rsidRPr="00B301D3" w:rsidRDefault="00B301D3" w:rsidP="00B301D3">
      <w:pPr>
        <w:spacing w:after="0" w:line="240" w:lineRule="auto"/>
        <w:jc w:val="both"/>
        <w:rPr>
          <w:rFonts w:ascii="Calibri" w:eastAsia="Calibri" w:hAnsi="Calibri" w:cs="Calibri"/>
          <w:b/>
          <w:bCs/>
          <w:kern w:val="0"/>
          <w:sz w:val="22"/>
          <w:szCs w:val="22"/>
          <w:lang w:eastAsia="lt-LT"/>
          <w14:ligatures w14:val="none"/>
        </w:rPr>
      </w:pPr>
      <w:r w:rsidRPr="00B301D3">
        <w:rPr>
          <w:rFonts w:ascii="Calibri" w:eastAsia="Calibri" w:hAnsi="Calibri" w:cs="Calibri"/>
          <w:b/>
          <w:bCs/>
          <w:kern w:val="0"/>
          <w:sz w:val="22"/>
          <w:szCs w:val="22"/>
          <w:lang w:eastAsia="lt-LT"/>
          <w14:ligatures w14:val="none"/>
        </w:rPr>
        <w:t>I-ai pirkimo objekto daliai:</w:t>
      </w:r>
    </w:p>
    <w:tbl>
      <w:tblPr>
        <w:tblW w:w="0" w:type="auto"/>
        <w:tblInd w:w="-181" w:type="dxa"/>
        <w:tblLayout w:type="fixed"/>
        <w:tblLook w:val="0000" w:firstRow="0" w:lastRow="0" w:firstColumn="0" w:lastColumn="0" w:noHBand="0" w:noVBand="0"/>
      </w:tblPr>
      <w:tblGrid>
        <w:gridCol w:w="568"/>
        <w:gridCol w:w="7121"/>
        <w:gridCol w:w="2410"/>
      </w:tblGrid>
      <w:tr w:rsidR="00B301D3" w:rsidRPr="00B301D3" w14:paraId="39B74775" w14:textId="77777777" w:rsidTr="001F2864">
        <w:trPr>
          <w:trHeight w:val="282"/>
        </w:trPr>
        <w:tc>
          <w:tcPr>
            <w:tcW w:w="568" w:type="dxa"/>
            <w:tcBorders>
              <w:top w:val="single" w:sz="4" w:space="0" w:color="000000"/>
              <w:left w:val="single" w:sz="4" w:space="0" w:color="000000"/>
              <w:bottom w:val="single" w:sz="4" w:space="0" w:color="000000"/>
            </w:tcBorders>
            <w:vAlign w:val="center"/>
          </w:tcPr>
          <w:p w14:paraId="3AF6186E"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proofErr w:type="spellStart"/>
            <w:r w:rsidRPr="00B301D3">
              <w:rPr>
                <w:rFonts w:ascii="Calibri" w:eastAsia="Calibri" w:hAnsi="Calibri" w:cs="Calibri"/>
                <w:kern w:val="0"/>
                <w:sz w:val="22"/>
                <w:szCs w:val="22"/>
                <w:lang w:eastAsia="zh-CN"/>
                <w14:ligatures w14:val="none"/>
              </w:rPr>
              <w:t>Eil.Nr</w:t>
            </w:r>
            <w:proofErr w:type="spellEnd"/>
            <w:r w:rsidRPr="00B301D3">
              <w:rPr>
                <w:rFonts w:ascii="Calibri" w:eastAsia="Calibri" w:hAnsi="Calibri" w:cs="Calibri"/>
                <w:kern w:val="0"/>
                <w:sz w:val="22"/>
                <w:szCs w:val="22"/>
                <w:lang w:eastAsia="zh-CN"/>
                <w14:ligatures w14:val="none"/>
              </w:rPr>
              <w:t>.</w:t>
            </w:r>
          </w:p>
        </w:tc>
        <w:tc>
          <w:tcPr>
            <w:tcW w:w="7121" w:type="dxa"/>
            <w:tcBorders>
              <w:top w:val="single" w:sz="4" w:space="0" w:color="000000"/>
              <w:left w:val="single" w:sz="4" w:space="0" w:color="000000"/>
              <w:bottom w:val="single" w:sz="4" w:space="0" w:color="000000"/>
            </w:tcBorders>
            <w:vAlign w:val="center"/>
          </w:tcPr>
          <w:p w14:paraId="0E1410CD"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Pavadinimas</w:t>
            </w:r>
          </w:p>
        </w:tc>
        <w:tc>
          <w:tcPr>
            <w:tcW w:w="2410" w:type="dxa"/>
            <w:tcBorders>
              <w:top w:val="single" w:sz="4" w:space="0" w:color="000000"/>
              <w:left w:val="single" w:sz="4" w:space="0" w:color="000000"/>
              <w:bottom w:val="single" w:sz="4" w:space="0" w:color="000000"/>
            </w:tcBorders>
            <w:vAlign w:val="center"/>
          </w:tcPr>
          <w:p w14:paraId="32D53DF9"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Preliminarus* paslaugų kiekis per 36 mėn. (val.)</w:t>
            </w:r>
          </w:p>
        </w:tc>
      </w:tr>
      <w:tr w:rsidR="00B301D3" w:rsidRPr="00B301D3" w14:paraId="19BDF772" w14:textId="77777777" w:rsidTr="00B301D3">
        <w:trPr>
          <w:trHeight w:val="282"/>
        </w:trPr>
        <w:tc>
          <w:tcPr>
            <w:tcW w:w="568" w:type="dxa"/>
            <w:tcBorders>
              <w:top w:val="single" w:sz="4" w:space="0" w:color="000000"/>
              <w:left w:val="single" w:sz="4" w:space="0" w:color="000000"/>
              <w:bottom w:val="single" w:sz="4" w:space="0" w:color="000000"/>
            </w:tcBorders>
            <w:shd w:val="clear" w:color="auto" w:fill="F2F2F2"/>
          </w:tcPr>
          <w:p w14:paraId="473D30B7" w14:textId="77777777" w:rsidR="00B301D3" w:rsidRPr="00B301D3" w:rsidRDefault="00B301D3" w:rsidP="00B301D3">
            <w:pPr>
              <w:suppressAutoHyphens/>
              <w:snapToGrid w:val="0"/>
              <w:spacing w:after="0" w:line="240" w:lineRule="auto"/>
              <w:jc w:val="center"/>
              <w:rPr>
                <w:rFonts w:ascii="Calibri" w:eastAsia="Calibri" w:hAnsi="Calibri" w:cs="Calibri"/>
                <w:i/>
                <w:iCs/>
                <w:kern w:val="0"/>
                <w:sz w:val="20"/>
                <w:szCs w:val="20"/>
                <w:lang w:eastAsia="zh-CN"/>
                <w14:ligatures w14:val="none"/>
              </w:rPr>
            </w:pPr>
            <w:r w:rsidRPr="00B301D3">
              <w:rPr>
                <w:rFonts w:ascii="Calibri" w:eastAsia="Calibri" w:hAnsi="Calibri" w:cs="Calibri"/>
                <w:i/>
                <w:iCs/>
                <w:kern w:val="0"/>
                <w:sz w:val="20"/>
                <w:szCs w:val="20"/>
                <w:lang w:eastAsia="zh-CN"/>
                <w14:ligatures w14:val="none"/>
              </w:rPr>
              <w:t>1</w:t>
            </w:r>
          </w:p>
        </w:tc>
        <w:tc>
          <w:tcPr>
            <w:tcW w:w="7121" w:type="dxa"/>
            <w:tcBorders>
              <w:top w:val="single" w:sz="4" w:space="0" w:color="000000"/>
              <w:left w:val="single" w:sz="4" w:space="0" w:color="000000"/>
              <w:bottom w:val="single" w:sz="4" w:space="0" w:color="000000"/>
            </w:tcBorders>
            <w:shd w:val="clear" w:color="auto" w:fill="F2F2F2"/>
          </w:tcPr>
          <w:p w14:paraId="1182B4D3" w14:textId="77777777" w:rsidR="00B301D3" w:rsidRPr="00B301D3" w:rsidRDefault="00B301D3" w:rsidP="00B301D3">
            <w:pPr>
              <w:suppressAutoHyphens/>
              <w:snapToGrid w:val="0"/>
              <w:spacing w:after="0" w:line="240" w:lineRule="auto"/>
              <w:jc w:val="center"/>
              <w:rPr>
                <w:rFonts w:ascii="Calibri" w:eastAsia="Calibri" w:hAnsi="Calibri" w:cs="Calibri"/>
                <w:i/>
                <w:iCs/>
                <w:kern w:val="0"/>
                <w:sz w:val="20"/>
                <w:szCs w:val="20"/>
                <w:lang w:eastAsia="zh-CN"/>
                <w14:ligatures w14:val="none"/>
              </w:rPr>
            </w:pPr>
            <w:r w:rsidRPr="00B301D3">
              <w:rPr>
                <w:rFonts w:ascii="Calibri" w:eastAsia="Calibri" w:hAnsi="Calibri" w:cs="Calibri"/>
                <w:i/>
                <w:iCs/>
                <w:kern w:val="0"/>
                <w:sz w:val="20"/>
                <w:szCs w:val="20"/>
                <w:lang w:eastAsia="zh-CN"/>
                <w14:ligatures w14:val="none"/>
              </w:rPr>
              <w:t>2</w:t>
            </w:r>
          </w:p>
        </w:tc>
        <w:tc>
          <w:tcPr>
            <w:tcW w:w="2410" w:type="dxa"/>
            <w:tcBorders>
              <w:top w:val="single" w:sz="4" w:space="0" w:color="000000"/>
              <w:left w:val="single" w:sz="4" w:space="0" w:color="000000"/>
              <w:bottom w:val="single" w:sz="4" w:space="0" w:color="000000"/>
            </w:tcBorders>
            <w:shd w:val="clear" w:color="auto" w:fill="F2F2F2"/>
          </w:tcPr>
          <w:p w14:paraId="5E5FBC0C" w14:textId="77777777" w:rsidR="00B301D3" w:rsidRPr="00B301D3" w:rsidRDefault="00B301D3" w:rsidP="00B301D3">
            <w:pPr>
              <w:suppressAutoHyphens/>
              <w:snapToGrid w:val="0"/>
              <w:spacing w:after="0" w:line="240" w:lineRule="auto"/>
              <w:jc w:val="center"/>
              <w:rPr>
                <w:rFonts w:ascii="Calibri" w:eastAsia="Calibri" w:hAnsi="Calibri" w:cs="Calibri"/>
                <w:i/>
                <w:iCs/>
                <w:kern w:val="0"/>
                <w:sz w:val="20"/>
                <w:szCs w:val="20"/>
                <w:lang w:eastAsia="zh-CN"/>
                <w14:ligatures w14:val="none"/>
              </w:rPr>
            </w:pPr>
            <w:r w:rsidRPr="00B301D3">
              <w:rPr>
                <w:rFonts w:ascii="Calibri" w:eastAsia="Calibri" w:hAnsi="Calibri" w:cs="Calibri"/>
                <w:i/>
                <w:iCs/>
                <w:kern w:val="0"/>
                <w:sz w:val="20"/>
                <w:szCs w:val="20"/>
                <w:lang w:eastAsia="zh-CN"/>
                <w14:ligatures w14:val="none"/>
              </w:rPr>
              <w:t>3</w:t>
            </w:r>
          </w:p>
        </w:tc>
      </w:tr>
      <w:tr w:rsidR="00B301D3" w:rsidRPr="00B301D3" w14:paraId="08B4732B" w14:textId="77777777" w:rsidTr="001F2864">
        <w:trPr>
          <w:trHeight w:val="282"/>
        </w:trPr>
        <w:tc>
          <w:tcPr>
            <w:tcW w:w="568" w:type="dxa"/>
            <w:tcBorders>
              <w:top w:val="single" w:sz="4" w:space="0" w:color="000000"/>
              <w:left w:val="single" w:sz="4" w:space="0" w:color="000000"/>
              <w:bottom w:val="single" w:sz="4" w:space="0" w:color="000000"/>
            </w:tcBorders>
          </w:tcPr>
          <w:p w14:paraId="27CA9726"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1.</w:t>
            </w:r>
          </w:p>
        </w:tc>
        <w:tc>
          <w:tcPr>
            <w:tcW w:w="7121" w:type="dxa"/>
            <w:tcBorders>
              <w:top w:val="single" w:sz="4" w:space="0" w:color="000000"/>
              <w:left w:val="single" w:sz="4" w:space="0" w:color="000000"/>
              <w:bottom w:val="single" w:sz="4" w:space="0" w:color="000000"/>
            </w:tcBorders>
            <w:vAlign w:val="center"/>
          </w:tcPr>
          <w:p w14:paraId="22155244" w14:textId="77777777" w:rsidR="00B301D3" w:rsidRPr="00B301D3" w:rsidRDefault="00B301D3" w:rsidP="00B301D3">
            <w:pPr>
              <w:suppressAutoHyphens/>
              <w:spacing w:after="0" w:line="240" w:lineRule="auto"/>
              <w:rPr>
                <w:rFonts w:ascii="Calibri" w:eastAsia="Calibri" w:hAnsi="Calibri" w:cs="Calibri"/>
                <w:color w:val="000000"/>
                <w:kern w:val="0"/>
                <w:sz w:val="22"/>
                <w:szCs w:val="22"/>
                <w:shd w:val="clear" w:color="auto" w:fill="FFFFFF"/>
                <w:lang w:eastAsia="lt-LT"/>
                <w14:ligatures w14:val="none"/>
              </w:rPr>
            </w:pPr>
            <w:bookmarkStart w:id="0" w:name="_Hlk146613091"/>
            <w:bookmarkStart w:id="1" w:name="_Hlk146613056"/>
            <w:r w:rsidRPr="00B301D3">
              <w:rPr>
                <w:rFonts w:ascii="Calibri" w:eastAsia="Calibri" w:hAnsi="Calibri" w:cs="Calibri"/>
                <w:color w:val="000000"/>
                <w:kern w:val="0"/>
                <w:sz w:val="22"/>
                <w:szCs w:val="22"/>
                <w:shd w:val="clear" w:color="auto" w:fill="FFFFFF"/>
                <w:lang w:eastAsia="lt-LT"/>
                <w14:ligatures w14:val="none"/>
              </w:rPr>
              <w:t>Pradinio gyvybės palaikymo greitosios medicinos brigados vykdomas pacientų pervežimas</w:t>
            </w:r>
            <w:bookmarkEnd w:id="0"/>
            <w:bookmarkEnd w:id="1"/>
          </w:p>
        </w:tc>
        <w:tc>
          <w:tcPr>
            <w:tcW w:w="2410" w:type="dxa"/>
            <w:tcBorders>
              <w:top w:val="single" w:sz="4" w:space="0" w:color="000000"/>
              <w:left w:val="single" w:sz="4" w:space="0" w:color="000000"/>
              <w:bottom w:val="single" w:sz="4" w:space="0" w:color="000000"/>
            </w:tcBorders>
            <w:vAlign w:val="center"/>
          </w:tcPr>
          <w:p w14:paraId="2701BCCB" w14:textId="77777777" w:rsidR="00B301D3" w:rsidRPr="00B301D3" w:rsidRDefault="00B301D3" w:rsidP="00B301D3">
            <w:pPr>
              <w:suppressAutoHyphens/>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1500</w:t>
            </w:r>
          </w:p>
        </w:tc>
      </w:tr>
    </w:tbl>
    <w:p w14:paraId="0DB2EDAC" w14:textId="77777777" w:rsidR="00B301D3" w:rsidRPr="00B301D3" w:rsidRDefault="00B301D3" w:rsidP="00B301D3">
      <w:pPr>
        <w:suppressAutoHyphens/>
        <w:spacing w:after="0" w:line="240" w:lineRule="auto"/>
        <w:jc w:val="both"/>
        <w:rPr>
          <w:rFonts w:ascii="Calibri" w:eastAsia="Calibri" w:hAnsi="Calibri" w:cs="Calibri"/>
          <w:i/>
          <w:iCs/>
          <w:color w:val="000000"/>
          <w:kern w:val="0"/>
          <w:sz w:val="22"/>
          <w:szCs w:val="22"/>
          <w:lang w:eastAsia="lt-LT"/>
          <w14:ligatures w14:val="none"/>
        </w:rPr>
      </w:pPr>
      <w:bookmarkStart w:id="2" w:name="_Toc137733754"/>
      <w:r w:rsidRPr="00B301D3">
        <w:rPr>
          <w:rFonts w:ascii="Calibri" w:eastAsia="Calibri" w:hAnsi="Calibri" w:cs="Calibri"/>
          <w:b/>
          <w:bCs/>
          <w:kern w:val="0"/>
          <w:sz w:val="22"/>
          <w:szCs w:val="22"/>
          <w:lang w:eastAsia="zh-CN"/>
          <w14:ligatures w14:val="none"/>
        </w:rPr>
        <w:t>*</w:t>
      </w:r>
      <w:r w:rsidRPr="00B301D3">
        <w:rPr>
          <w:rFonts w:ascii="Calibri" w:eastAsia="Calibri" w:hAnsi="Calibri" w:cs="Calibri"/>
          <w:i/>
          <w:iCs/>
          <w:color w:val="000000"/>
          <w:kern w:val="0"/>
          <w:sz w:val="22"/>
          <w:szCs w:val="22"/>
          <w:lang w:eastAsia="lt-LT"/>
          <w14:ligatures w14:val="none"/>
        </w:rPr>
        <w:t xml:space="preserve"> VšĮ Vilniaus miesto klinikinė ligoninė neįsipareigoja išpirkti viso nurodyto paslaugų kiekio, paslaugos bus perkamos tik esant poreikiui neviršijant 36 mėn. pirkimui skirtos lėšų sumos – 158.250,00 Eur su PVM.</w:t>
      </w:r>
    </w:p>
    <w:p w14:paraId="2454AA0A" w14:textId="77777777" w:rsidR="00B301D3" w:rsidRPr="00B301D3" w:rsidRDefault="00B301D3" w:rsidP="00B301D3">
      <w:pPr>
        <w:suppressAutoHyphens/>
        <w:spacing w:after="0" w:line="240" w:lineRule="auto"/>
        <w:jc w:val="both"/>
        <w:rPr>
          <w:rFonts w:ascii="Calibri" w:eastAsia="Calibri" w:hAnsi="Calibri" w:cs="Calibri"/>
          <w:b/>
          <w:bCs/>
          <w:kern w:val="0"/>
          <w:sz w:val="22"/>
          <w:szCs w:val="22"/>
          <w:lang w:eastAsia="zh-CN"/>
          <w14:ligatures w14:val="none"/>
        </w:rPr>
      </w:pPr>
    </w:p>
    <w:p w14:paraId="5F0C1135" w14:textId="77777777" w:rsidR="00B301D3" w:rsidRPr="00B301D3" w:rsidRDefault="00B301D3" w:rsidP="00B301D3">
      <w:pPr>
        <w:suppressAutoHyphens/>
        <w:spacing w:after="0" w:line="240" w:lineRule="auto"/>
        <w:jc w:val="both"/>
        <w:rPr>
          <w:rFonts w:ascii="Calibri" w:eastAsia="Calibri" w:hAnsi="Calibri" w:cs="Calibri"/>
          <w:b/>
          <w:bCs/>
          <w:kern w:val="0"/>
          <w:sz w:val="22"/>
          <w:szCs w:val="22"/>
          <w:lang w:eastAsia="zh-CN"/>
          <w14:ligatures w14:val="none"/>
        </w:rPr>
      </w:pPr>
      <w:r w:rsidRPr="00B301D3">
        <w:rPr>
          <w:rFonts w:ascii="Calibri" w:eastAsia="Calibri" w:hAnsi="Calibri" w:cs="Calibri"/>
          <w:b/>
          <w:bCs/>
          <w:kern w:val="0"/>
          <w:sz w:val="22"/>
          <w:szCs w:val="22"/>
          <w:lang w:eastAsia="zh-CN"/>
          <w14:ligatures w14:val="none"/>
        </w:rPr>
        <w:t>II-ai pirkimo objekto daliai:</w:t>
      </w:r>
    </w:p>
    <w:tbl>
      <w:tblPr>
        <w:tblW w:w="0" w:type="auto"/>
        <w:tblInd w:w="-181" w:type="dxa"/>
        <w:tblLayout w:type="fixed"/>
        <w:tblLook w:val="0000" w:firstRow="0" w:lastRow="0" w:firstColumn="0" w:lastColumn="0" w:noHBand="0" w:noVBand="0"/>
      </w:tblPr>
      <w:tblGrid>
        <w:gridCol w:w="568"/>
        <w:gridCol w:w="7121"/>
        <w:gridCol w:w="2410"/>
      </w:tblGrid>
      <w:tr w:rsidR="00B301D3" w:rsidRPr="00B301D3" w14:paraId="0FD129EF" w14:textId="77777777" w:rsidTr="001F2864">
        <w:trPr>
          <w:trHeight w:val="282"/>
        </w:trPr>
        <w:tc>
          <w:tcPr>
            <w:tcW w:w="568" w:type="dxa"/>
            <w:tcBorders>
              <w:top w:val="single" w:sz="4" w:space="0" w:color="000000"/>
              <w:left w:val="single" w:sz="4" w:space="0" w:color="000000"/>
              <w:bottom w:val="single" w:sz="4" w:space="0" w:color="000000"/>
            </w:tcBorders>
            <w:vAlign w:val="center"/>
          </w:tcPr>
          <w:p w14:paraId="6CFCF458"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proofErr w:type="spellStart"/>
            <w:r w:rsidRPr="00B301D3">
              <w:rPr>
                <w:rFonts w:ascii="Calibri" w:eastAsia="Calibri" w:hAnsi="Calibri" w:cs="Calibri"/>
                <w:kern w:val="0"/>
                <w:sz w:val="22"/>
                <w:szCs w:val="22"/>
                <w:lang w:eastAsia="zh-CN"/>
                <w14:ligatures w14:val="none"/>
              </w:rPr>
              <w:t>Eil.Nr</w:t>
            </w:r>
            <w:proofErr w:type="spellEnd"/>
            <w:r w:rsidRPr="00B301D3">
              <w:rPr>
                <w:rFonts w:ascii="Calibri" w:eastAsia="Calibri" w:hAnsi="Calibri" w:cs="Calibri"/>
                <w:kern w:val="0"/>
                <w:sz w:val="22"/>
                <w:szCs w:val="22"/>
                <w:lang w:eastAsia="zh-CN"/>
                <w14:ligatures w14:val="none"/>
              </w:rPr>
              <w:t>.</w:t>
            </w:r>
          </w:p>
        </w:tc>
        <w:tc>
          <w:tcPr>
            <w:tcW w:w="7121" w:type="dxa"/>
            <w:tcBorders>
              <w:top w:val="single" w:sz="4" w:space="0" w:color="000000"/>
              <w:left w:val="single" w:sz="4" w:space="0" w:color="000000"/>
              <w:bottom w:val="single" w:sz="4" w:space="0" w:color="000000"/>
            </w:tcBorders>
            <w:vAlign w:val="center"/>
          </w:tcPr>
          <w:p w14:paraId="3F36C8DB"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Pavadinimas</w:t>
            </w:r>
          </w:p>
        </w:tc>
        <w:tc>
          <w:tcPr>
            <w:tcW w:w="2410" w:type="dxa"/>
            <w:tcBorders>
              <w:top w:val="single" w:sz="4" w:space="0" w:color="000000"/>
              <w:left w:val="single" w:sz="4" w:space="0" w:color="000000"/>
              <w:bottom w:val="single" w:sz="4" w:space="0" w:color="000000"/>
            </w:tcBorders>
            <w:vAlign w:val="center"/>
          </w:tcPr>
          <w:p w14:paraId="33C4612F"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Preliminarus* paslaugų kiekis per 36 mėn. (val.)</w:t>
            </w:r>
          </w:p>
        </w:tc>
      </w:tr>
      <w:tr w:rsidR="00B301D3" w:rsidRPr="00B301D3" w14:paraId="16302939" w14:textId="77777777" w:rsidTr="00B301D3">
        <w:trPr>
          <w:trHeight w:val="282"/>
        </w:trPr>
        <w:tc>
          <w:tcPr>
            <w:tcW w:w="568" w:type="dxa"/>
            <w:tcBorders>
              <w:top w:val="single" w:sz="4" w:space="0" w:color="000000"/>
              <w:left w:val="single" w:sz="4" w:space="0" w:color="000000"/>
              <w:bottom w:val="single" w:sz="4" w:space="0" w:color="000000"/>
            </w:tcBorders>
            <w:shd w:val="clear" w:color="auto" w:fill="F2F2F2"/>
          </w:tcPr>
          <w:p w14:paraId="664271D7" w14:textId="77777777" w:rsidR="00B301D3" w:rsidRPr="00B301D3" w:rsidRDefault="00B301D3" w:rsidP="00B301D3">
            <w:pPr>
              <w:suppressAutoHyphens/>
              <w:snapToGrid w:val="0"/>
              <w:spacing w:after="0" w:line="240" w:lineRule="auto"/>
              <w:jc w:val="center"/>
              <w:rPr>
                <w:rFonts w:ascii="Calibri" w:eastAsia="Calibri" w:hAnsi="Calibri" w:cs="Calibri"/>
                <w:i/>
                <w:iCs/>
                <w:kern w:val="0"/>
                <w:sz w:val="20"/>
                <w:szCs w:val="20"/>
                <w:lang w:eastAsia="zh-CN"/>
                <w14:ligatures w14:val="none"/>
              </w:rPr>
            </w:pPr>
            <w:r w:rsidRPr="00B301D3">
              <w:rPr>
                <w:rFonts w:ascii="Calibri" w:eastAsia="Calibri" w:hAnsi="Calibri" w:cs="Calibri"/>
                <w:i/>
                <w:iCs/>
                <w:kern w:val="0"/>
                <w:sz w:val="20"/>
                <w:szCs w:val="20"/>
                <w:lang w:eastAsia="zh-CN"/>
                <w14:ligatures w14:val="none"/>
              </w:rPr>
              <w:t>1</w:t>
            </w:r>
          </w:p>
        </w:tc>
        <w:tc>
          <w:tcPr>
            <w:tcW w:w="7121" w:type="dxa"/>
            <w:tcBorders>
              <w:top w:val="single" w:sz="4" w:space="0" w:color="000000"/>
              <w:left w:val="single" w:sz="4" w:space="0" w:color="000000"/>
              <w:bottom w:val="single" w:sz="4" w:space="0" w:color="000000"/>
            </w:tcBorders>
            <w:shd w:val="clear" w:color="auto" w:fill="F2F2F2"/>
          </w:tcPr>
          <w:p w14:paraId="1E1631E7" w14:textId="77777777" w:rsidR="00B301D3" w:rsidRPr="00B301D3" w:rsidRDefault="00B301D3" w:rsidP="00B301D3">
            <w:pPr>
              <w:suppressAutoHyphens/>
              <w:snapToGrid w:val="0"/>
              <w:spacing w:after="0" w:line="240" w:lineRule="auto"/>
              <w:jc w:val="center"/>
              <w:rPr>
                <w:rFonts w:ascii="Calibri" w:eastAsia="Calibri" w:hAnsi="Calibri" w:cs="Calibri"/>
                <w:i/>
                <w:iCs/>
                <w:kern w:val="0"/>
                <w:sz w:val="20"/>
                <w:szCs w:val="20"/>
                <w:lang w:eastAsia="zh-CN"/>
                <w14:ligatures w14:val="none"/>
              </w:rPr>
            </w:pPr>
            <w:r w:rsidRPr="00B301D3">
              <w:rPr>
                <w:rFonts w:ascii="Calibri" w:eastAsia="Calibri" w:hAnsi="Calibri" w:cs="Calibri"/>
                <w:i/>
                <w:iCs/>
                <w:kern w:val="0"/>
                <w:sz w:val="20"/>
                <w:szCs w:val="20"/>
                <w:lang w:eastAsia="zh-CN"/>
                <w14:ligatures w14:val="none"/>
              </w:rPr>
              <w:t>2</w:t>
            </w:r>
          </w:p>
        </w:tc>
        <w:tc>
          <w:tcPr>
            <w:tcW w:w="2410" w:type="dxa"/>
            <w:tcBorders>
              <w:top w:val="single" w:sz="4" w:space="0" w:color="000000"/>
              <w:left w:val="single" w:sz="4" w:space="0" w:color="000000"/>
              <w:bottom w:val="single" w:sz="4" w:space="0" w:color="000000"/>
            </w:tcBorders>
            <w:shd w:val="clear" w:color="auto" w:fill="F2F2F2"/>
          </w:tcPr>
          <w:p w14:paraId="54853ADE" w14:textId="77777777" w:rsidR="00B301D3" w:rsidRPr="00B301D3" w:rsidRDefault="00B301D3" w:rsidP="00B301D3">
            <w:pPr>
              <w:suppressAutoHyphens/>
              <w:snapToGrid w:val="0"/>
              <w:spacing w:after="0" w:line="240" w:lineRule="auto"/>
              <w:jc w:val="center"/>
              <w:rPr>
                <w:rFonts w:ascii="Calibri" w:eastAsia="Calibri" w:hAnsi="Calibri" w:cs="Calibri"/>
                <w:i/>
                <w:iCs/>
                <w:kern w:val="0"/>
                <w:sz w:val="20"/>
                <w:szCs w:val="20"/>
                <w:lang w:eastAsia="zh-CN"/>
                <w14:ligatures w14:val="none"/>
              </w:rPr>
            </w:pPr>
            <w:r w:rsidRPr="00B301D3">
              <w:rPr>
                <w:rFonts w:ascii="Calibri" w:eastAsia="Calibri" w:hAnsi="Calibri" w:cs="Calibri"/>
                <w:i/>
                <w:iCs/>
                <w:kern w:val="0"/>
                <w:sz w:val="20"/>
                <w:szCs w:val="20"/>
                <w:lang w:eastAsia="zh-CN"/>
                <w14:ligatures w14:val="none"/>
              </w:rPr>
              <w:t>3</w:t>
            </w:r>
          </w:p>
        </w:tc>
      </w:tr>
      <w:tr w:rsidR="00B301D3" w:rsidRPr="00B301D3" w14:paraId="245C94F5" w14:textId="77777777" w:rsidTr="001F2864">
        <w:trPr>
          <w:trHeight w:val="282"/>
        </w:trPr>
        <w:tc>
          <w:tcPr>
            <w:tcW w:w="568" w:type="dxa"/>
            <w:tcBorders>
              <w:top w:val="single" w:sz="4" w:space="0" w:color="000000"/>
              <w:left w:val="single" w:sz="4" w:space="0" w:color="000000"/>
              <w:bottom w:val="single" w:sz="4" w:space="0" w:color="000000"/>
            </w:tcBorders>
          </w:tcPr>
          <w:p w14:paraId="50AA29A0" w14:textId="77777777" w:rsidR="00B301D3" w:rsidRPr="00B301D3" w:rsidRDefault="00B301D3" w:rsidP="00B301D3">
            <w:pPr>
              <w:suppressAutoHyphens/>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1.</w:t>
            </w:r>
          </w:p>
        </w:tc>
        <w:tc>
          <w:tcPr>
            <w:tcW w:w="7121" w:type="dxa"/>
            <w:tcBorders>
              <w:top w:val="single" w:sz="4" w:space="0" w:color="000000"/>
              <w:left w:val="single" w:sz="4" w:space="0" w:color="000000"/>
              <w:bottom w:val="single" w:sz="4" w:space="0" w:color="000000"/>
            </w:tcBorders>
            <w:vAlign w:val="center"/>
          </w:tcPr>
          <w:p w14:paraId="2B0BC8A0" w14:textId="77777777" w:rsidR="00B301D3" w:rsidRPr="00B301D3" w:rsidRDefault="00B301D3" w:rsidP="00B301D3">
            <w:pPr>
              <w:suppressAutoHyphens/>
              <w:spacing w:after="0" w:line="240" w:lineRule="auto"/>
              <w:rPr>
                <w:rFonts w:ascii="Calibri" w:eastAsia="Calibri" w:hAnsi="Calibri" w:cs="Calibri"/>
                <w:color w:val="000000"/>
                <w:kern w:val="0"/>
                <w:sz w:val="22"/>
                <w:szCs w:val="22"/>
                <w:shd w:val="clear" w:color="auto" w:fill="FFFFFF"/>
                <w:lang w:eastAsia="lt-LT"/>
                <w14:ligatures w14:val="none"/>
              </w:rPr>
            </w:pPr>
            <w:r w:rsidRPr="00B301D3">
              <w:rPr>
                <w:rFonts w:ascii="Calibri" w:eastAsia="Calibri" w:hAnsi="Calibri" w:cs="Calibri"/>
                <w:color w:val="000000"/>
                <w:kern w:val="0"/>
                <w:sz w:val="22"/>
                <w:szCs w:val="22"/>
                <w:shd w:val="clear" w:color="auto" w:fill="FFFFFF"/>
                <w:lang w:eastAsia="lt-LT"/>
                <w14:ligatures w14:val="none"/>
              </w:rPr>
              <w:t>Pažangaus gyvybės palaikymo greitosios medicinos brigados vykdomas pacientų pervežimas</w:t>
            </w:r>
          </w:p>
        </w:tc>
        <w:tc>
          <w:tcPr>
            <w:tcW w:w="2410" w:type="dxa"/>
            <w:tcBorders>
              <w:top w:val="single" w:sz="4" w:space="0" w:color="000000"/>
              <w:left w:val="single" w:sz="4" w:space="0" w:color="000000"/>
              <w:bottom w:val="single" w:sz="4" w:space="0" w:color="000000"/>
            </w:tcBorders>
            <w:vAlign w:val="center"/>
          </w:tcPr>
          <w:p w14:paraId="7E1C725F" w14:textId="77777777" w:rsidR="00B301D3" w:rsidRPr="00B301D3" w:rsidRDefault="00B301D3" w:rsidP="00B301D3">
            <w:pPr>
              <w:suppressAutoHyphens/>
              <w:snapToGrid w:val="0"/>
              <w:spacing w:after="0" w:line="240" w:lineRule="auto"/>
              <w:jc w:val="center"/>
              <w:rPr>
                <w:rFonts w:ascii="Calibri" w:eastAsia="Calibri" w:hAnsi="Calibri" w:cs="Calibri"/>
                <w:kern w:val="0"/>
                <w:sz w:val="22"/>
                <w:szCs w:val="22"/>
                <w:lang w:eastAsia="zh-CN"/>
                <w14:ligatures w14:val="none"/>
              </w:rPr>
            </w:pPr>
            <w:r w:rsidRPr="00B301D3">
              <w:rPr>
                <w:rFonts w:ascii="Calibri" w:eastAsia="Calibri" w:hAnsi="Calibri" w:cs="Calibri"/>
                <w:kern w:val="0"/>
                <w:sz w:val="22"/>
                <w:szCs w:val="22"/>
                <w:lang w:eastAsia="zh-CN"/>
                <w14:ligatures w14:val="none"/>
              </w:rPr>
              <w:t>500</w:t>
            </w:r>
          </w:p>
        </w:tc>
      </w:tr>
    </w:tbl>
    <w:p w14:paraId="0ECB4AF5" w14:textId="77777777" w:rsidR="00B301D3" w:rsidRPr="00B301D3" w:rsidRDefault="00B301D3" w:rsidP="00B301D3">
      <w:pPr>
        <w:suppressAutoHyphens/>
        <w:spacing w:after="0" w:line="240" w:lineRule="auto"/>
        <w:jc w:val="both"/>
        <w:rPr>
          <w:rFonts w:ascii="Calibri" w:eastAsia="Calibri" w:hAnsi="Calibri" w:cs="Calibri"/>
          <w:b/>
          <w:bCs/>
          <w:kern w:val="0"/>
          <w:sz w:val="22"/>
          <w:szCs w:val="22"/>
          <w:lang w:eastAsia="zh-CN"/>
          <w14:ligatures w14:val="none"/>
        </w:rPr>
      </w:pPr>
      <w:r w:rsidRPr="00B301D3">
        <w:rPr>
          <w:rFonts w:ascii="Calibri" w:eastAsia="Calibri" w:hAnsi="Calibri" w:cs="Calibri"/>
          <w:b/>
          <w:bCs/>
          <w:kern w:val="0"/>
          <w:sz w:val="22"/>
          <w:szCs w:val="22"/>
          <w:lang w:eastAsia="zh-CN"/>
          <w14:ligatures w14:val="none"/>
        </w:rPr>
        <w:t>*</w:t>
      </w:r>
      <w:r w:rsidRPr="00B301D3">
        <w:rPr>
          <w:rFonts w:ascii="Calibri" w:eastAsia="Calibri" w:hAnsi="Calibri" w:cs="Calibri"/>
          <w:i/>
          <w:iCs/>
          <w:color w:val="000000"/>
          <w:kern w:val="0"/>
          <w:sz w:val="22"/>
          <w:szCs w:val="22"/>
          <w:lang w:eastAsia="lt-LT"/>
          <w14:ligatures w14:val="none"/>
        </w:rPr>
        <w:t xml:space="preserve"> VšĮ Vilniaus miesto klinikinė ligoninė neįsipareigoja išpirkti viso nurodyto paslaugų kiekio, paslaugos bus perkamos tik esant poreikiui neviršijant 36 mėn. pirkimui skirtos lėšų sumos – 66.750,00 Eur su PVM.</w:t>
      </w:r>
    </w:p>
    <w:p w14:paraId="28074537" w14:textId="77777777" w:rsidR="00B301D3" w:rsidRPr="00B301D3" w:rsidRDefault="00B301D3" w:rsidP="00B301D3">
      <w:pPr>
        <w:suppressAutoHyphens/>
        <w:spacing w:after="0" w:line="240" w:lineRule="auto"/>
        <w:jc w:val="both"/>
        <w:rPr>
          <w:rFonts w:ascii="Calibri" w:eastAsia="Calibri" w:hAnsi="Calibri" w:cs="Calibri"/>
          <w:b/>
          <w:bCs/>
          <w:kern w:val="0"/>
          <w:sz w:val="22"/>
          <w:szCs w:val="22"/>
          <w:lang w:eastAsia="zh-CN"/>
          <w14:ligatures w14:val="none"/>
        </w:rPr>
      </w:pPr>
    </w:p>
    <w:p w14:paraId="39F708E7" w14:textId="77777777" w:rsidR="00B301D3" w:rsidRPr="00B301D3" w:rsidRDefault="00B301D3" w:rsidP="00B301D3">
      <w:pPr>
        <w:suppressAutoHyphens/>
        <w:spacing w:after="0" w:line="240" w:lineRule="auto"/>
        <w:jc w:val="both"/>
        <w:rPr>
          <w:rFonts w:ascii="Calibri" w:eastAsia="Calibri" w:hAnsi="Calibri" w:cs="Calibri"/>
          <w:b/>
          <w:bCs/>
          <w:kern w:val="0"/>
          <w:sz w:val="22"/>
          <w:szCs w:val="22"/>
          <w:lang w:eastAsia="zh-CN"/>
          <w14:ligatures w14:val="none"/>
        </w:rPr>
      </w:pPr>
      <w:r w:rsidRPr="00B301D3">
        <w:rPr>
          <w:rFonts w:ascii="Calibri" w:eastAsia="Calibri" w:hAnsi="Calibri" w:cs="Calibri"/>
          <w:b/>
          <w:bCs/>
          <w:kern w:val="0"/>
          <w:sz w:val="22"/>
          <w:szCs w:val="22"/>
          <w:lang w:eastAsia="zh-CN"/>
          <w14:ligatures w14:val="none"/>
        </w:rPr>
        <w:t>IV. Kiti reikalavimai</w:t>
      </w:r>
    </w:p>
    <w:p w14:paraId="551D490E" w14:textId="77777777" w:rsidR="00B301D3" w:rsidRPr="00B301D3" w:rsidRDefault="00B301D3" w:rsidP="00B301D3">
      <w:pPr>
        <w:suppressAutoHyphens/>
        <w:spacing w:after="0" w:line="240" w:lineRule="auto"/>
        <w:jc w:val="both"/>
        <w:rPr>
          <w:rFonts w:ascii="Calibri" w:eastAsia="Calibri" w:hAnsi="Calibri" w:cs="Calibri"/>
          <w:kern w:val="0"/>
          <w:sz w:val="22"/>
          <w:szCs w:val="22"/>
          <w:lang w:eastAsia="zh-CN"/>
          <w14:ligatures w14:val="none"/>
        </w:rPr>
      </w:pPr>
      <w:r w:rsidRPr="00B301D3">
        <w:rPr>
          <w:rFonts w:ascii="Calibri" w:eastAsia="Times New Roman" w:hAnsi="Calibri" w:cs="Calibri"/>
          <w:color w:val="000000"/>
          <w:kern w:val="0"/>
          <w:sz w:val="22"/>
          <w:szCs w:val="22"/>
          <w:lang w:eastAsia="lt-LT"/>
          <w14:ligatures w14:val="none"/>
        </w:rPr>
        <w:lastRenderedPageBreak/>
        <w:t xml:space="preserve">6. Ligoninei </w:t>
      </w:r>
      <w:r w:rsidRPr="00B301D3">
        <w:rPr>
          <w:rFonts w:ascii="Calibri" w:eastAsia="Calibri" w:hAnsi="Calibri" w:cs="Calibri"/>
          <w:kern w:val="0"/>
          <w:sz w:val="22"/>
          <w:szCs w:val="22"/>
          <w:lang w:eastAsia="zh-CN"/>
          <w14:ligatures w14:val="none"/>
        </w:rPr>
        <w:t>paprašius, Tiekėjas privalo raštu pateikti tikslią informaciją, kiek laiko truko Paslaugos teikimas konkretaus Užsakymo atveju, nurodant brigados išvykimo pagal Užsakymą laiką ir Paslaugų suteikimo (paciento nuvežimo į konkrečią ASPĮ įstaigą ar adresu) pabaigos laiką.</w:t>
      </w:r>
    </w:p>
    <w:p w14:paraId="5F886E55" w14:textId="77777777" w:rsidR="00B301D3" w:rsidRPr="00B301D3" w:rsidRDefault="00B301D3" w:rsidP="00B301D3">
      <w:pPr>
        <w:spacing w:after="0" w:line="240" w:lineRule="auto"/>
        <w:jc w:val="both"/>
        <w:rPr>
          <w:rFonts w:ascii="Calibri" w:eastAsia="Calibri" w:hAnsi="Calibri" w:cs="Calibri"/>
          <w:sz w:val="22"/>
          <w:szCs w:val="22"/>
          <w:shd w:val="clear" w:color="auto" w:fill="FFFFFF"/>
          <w:lang w:eastAsia="lt-LT"/>
          <w14:ligatures w14:val="none"/>
        </w:rPr>
      </w:pPr>
      <w:r w:rsidRPr="00B301D3">
        <w:rPr>
          <w:rFonts w:ascii="Calibri" w:eastAsia="Times New Roman" w:hAnsi="Calibri" w:cs="Calibri"/>
          <w:color w:val="000000"/>
          <w:kern w:val="0"/>
          <w:sz w:val="22"/>
          <w:szCs w:val="22"/>
          <w:lang w:eastAsia="lt-LT"/>
          <w14:ligatures w14:val="none"/>
        </w:rPr>
        <w:t xml:space="preserve">7. </w:t>
      </w:r>
      <w:r w:rsidRPr="00B301D3">
        <w:rPr>
          <w:rFonts w:ascii="Calibri" w:eastAsia="Calibri" w:hAnsi="Calibri" w:cs="Calibri"/>
          <w:b/>
          <w:bCs/>
          <w:kern w:val="0"/>
          <w:sz w:val="22"/>
          <w:szCs w:val="22"/>
          <w:lang w:eastAsia="lt-LT"/>
          <w14:ligatures w14:val="none"/>
        </w:rPr>
        <w:t xml:space="preserve">Aplinkosauginiai reikalavimai: </w:t>
      </w:r>
      <w:r w:rsidRPr="00B301D3">
        <w:rPr>
          <w:rFonts w:ascii="Calibri" w:eastAsia="Calibri" w:hAnsi="Calibri" w:cs="Calibri"/>
          <w:sz w:val="22"/>
          <w:szCs w:val="22"/>
          <w:shd w:val="clear" w:color="auto" w:fill="FFFFFF"/>
          <w:lang w:eastAsia="lt-LT"/>
          <w14:ligatures w14:val="none"/>
        </w:rPr>
        <w:t>Tiekėjas įsipareigoja:</w:t>
      </w:r>
    </w:p>
    <w:p w14:paraId="0FFDA154" w14:textId="77777777" w:rsidR="00B301D3" w:rsidRPr="00B301D3" w:rsidRDefault="00B301D3" w:rsidP="00B301D3">
      <w:pPr>
        <w:spacing w:after="0" w:line="240" w:lineRule="auto"/>
        <w:jc w:val="both"/>
        <w:rPr>
          <w:rFonts w:ascii="Calibri" w:eastAsia="Calibri" w:hAnsi="Calibri" w:cs="Calibri"/>
          <w:sz w:val="22"/>
          <w:szCs w:val="22"/>
          <w:shd w:val="clear" w:color="auto" w:fill="FFFFFF"/>
          <w:lang w:eastAsia="lt-LT"/>
          <w14:ligatures w14:val="none"/>
        </w:rPr>
      </w:pPr>
      <w:r w:rsidRPr="00B301D3">
        <w:rPr>
          <w:rFonts w:ascii="Calibri" w:eastAsia="Calibri" w:hAnsi="Calibri" w:cs="Calibri"/>
          <w:sz w:val="22"/>
          <w:szCs w:val="22"/>
          <w:shd w:val="clear" w:color="auto" w:fill="FFFFFF"/>
          <w:lang w:eastAsia="lt-LT"/>
          <w14:ligatures w14:val="none"/>
        </w:rPr>
        <w:t>1) susidariusias medicinines atliekas tvarkyti ir apskaityti laikantis aplinkos apsaugos reikalavimų. Tam patvirtinti Tiekėjas turi turėti galiojančią sutartį dėl aplinkos apsaugos reikalavimus atitinkančią medicininių atliekų tvarkymo, naudojant GPAIS apskaitos sistemą.</w:t>
      </w:r>
    </w:p>
    <w:p w14:paraId="1022BCF4" w14:textId="77777777" w:rsidR="00B301D3" w:rsidRDefault="00B301D3" w:rsidP="00B301D3">
      <w:pPr>
        <w:suppressAutoHyphens/>
        <w:spacing w:after="0" w:line="240" w:lineRule="auto"/>
        <w:jc w:val="both"/>
        <w:rPr>
          <w:rFonts w:ascii="Calibri" w:eastAsia="Calibri" w:hAnsi="Calibri" w:cs="Calibri"/>
          <w:kern w:val="0"/>
          <w:sz w:val="22"/>
          <w:szCs w:val="22"/>
          <w:lang w:eastAsia="lt-LT"/>
          <w14:ligatures w14:val="none"/>
        </w:rPr>
      </w:pPr>
      <w:r w:rsidRPr="00B301D3">
        <w:rPr>
          <w:rFonts w:ascii="Calibri" w:eastAsia="Calibri" w:hAnsi="Calibri" w:cs="Calibri"/>
          <w:kern w:val="0"/>
          <w:sz w:val="22"/>
          <w:szCs w:val="22"/>
          <w:lang w:eastAsia="lt-LT"/>
          <w14:ligatures w14:val="none"/>
        </w:rPr>
        <w:t xml:space="preserve">2) </w:t>
      </w:r>
      <w:r w:rsidRPr="00B301D3">
        <w:rPr>
          <w:rFonts w:ascii="Calibri" w:eastAsia="Calibri" w:hAnsi="Calibri" w:cs="Calibri"/>
          <w:kern w:val="0"/>
          <w:sz w:val="22"/>
          <w:szCs w:val="22"/>
          <w:shd w:val="clear" w:color="auto" w:fill="FFFFFF"/>
          <w:lang w:eastAsia="lt-LT"/>
          <w14:ligatures w14:val="none"/>
        </w:rPr>
        <w:t xml:space="preserve">Paslaugų teikimui naudoti transporto priemones, </w:t>
      </w:r>
      <w:r w:rsidRPr="00B301D3">
        <w:rPr>
          <w:rFonts w:ascii="Calibri" w:eastAsia="Calibri" w:hAnsi="Calibri" w:cs="Calibri"/>
          <w:kern w:val="0"/>
          <w:sz w:val="22"/>
          <w:szCs w:val="22"/>
          <w:lang w:eastAsia="lt-LT"/>
          <w14:ligatures w14:val="none"/>
        </w:rPr>
        <w:t>atitinkančias ne žemesnio kaip EURO 6 standarto (arba lygiaverčio) reikalavimus.</w:t>
      </w:r>
    </w:p>
    <w:p w14:paraId="4FF11F5B" w14:textId="77777777" w:rsidR="00F04BCB" w:rsidRPr="00B301D3" w:rsidRDefault="00F04BCB" w:rsidP="00B301D3">
      <w:pPr>
        <w:suppressAutoHyphens/>
        <w:spacing w:after="0" w:line="240" w:lineRule="auto"/>
        <w:jc w:val="both"/>
        <w:rPr>
          <w:rFonts w:ascii="Calibri" w:eastAsia="Times New Roman" w:hAnsi="Calibri" w:cs="Calibri"/>
          <w:color w:val="000000"/>
          <w:kern w:val="0"/>
          <w:sz w:val="22"/>
          <w:szCs w:val="22"/>
          <w:lang w:eastAsia="lt-LT"/>
          <w14:ligatures w14:val="none"/>
        </w:rPr>
      </w:pPr>
    </w:p>
    <w:bookmarkEnd w:id="2"/>
    <w:p w14:paraId="769F3507" w14:textId="77777777" w:rsidR="00F04BCB" w:rsidRPr="009B47EB" w:rsidRDefault="00F04BCB" w:rsidP="00F04BCB">
      <w:pPr>
        <w:pStyle w:val="Antrat1"/>
        <w:spacing w:before="0" w:line="240" w:lineRule="auto"/>
        <w:jc w:val="center"/>
        <w:rPr>
          <w:rFonts w:ascii="Calibri" w:hAnsi="Calibri" w:cs="Calibri"/>
          <w:b/>
          <w:bCs/>
          <w:sz w:val="22"/>
          <w:szCs w:val="22"/>
        </w:rPr>
      </w:pPr>
      <w:r w:rsidRPr="009B47EB">
        <w:rPr>
          <w:rFonts w:ascii="Calibri" w:hAnsi="Calibri" w:cs="Calibri"/>
          <w:b/>
          <w:bCs/>
          <w:color w:val="auto"/>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F04BCB" w:rsidRPr="009B47EB" w14:paraId="43A9950A" w14:textId="77777777" w:rsidTr="00FF1358">
        <w:tc>
          <w:tcPr>
            <w:tcW w:w="5224" w:type="dxa"/>
          </w:tcPr>
          <w:p w14:paraId="54C24820" w14:textId="77777777" w:rsidR="00F04BCB" w:rsidRPr="009B47EB" w:rsidRDefault="00F04BCB" w:rsidP="00FF1358">
            <w:pPr>
              <w:jc w:val="center"/>
              <w:rPr>
                <w:rFonts w:ascii="Calibri" w:hAnsi="Calibri" w:cs="Calibri"/>
                <w:b/>
                <w:sz w:val="22"/>
                <w:szCs w:val="22"/>
              </w:rPr>
            </w:pPr>
            <w:r w:rsidRPr="009B47EB">
              <w:rPr>
                <w:rFonts w:ascii="Calibri" w:hAnsi="Calibri" w:cs="Calibri"/>
                <w:b/>
                <w:sz w:val="22"/>
                <w:szCs w:val="22"/>
              </w:rPr>
              <w:t>PIRKĖJAS</w:t>
            </w:r>
          </w:p>
        </w:tc>
        <w:tc>
          <w:tcPr>
            <w:tcW w:w="4311" w:type="dxa"/>
          </w:tcPr>
          <w:p w14:paraId="3C55D3C2" w14:textId="77777777" w:rsidR="00F04BCB" w:rsidRPr="009B47EB" w:rsidRDefault="00F04BCB" w:rsidP="00FF1358">
            <w:pPr>
              <w:jc w:val="center"/>
              <w:rPr>
                <w:rFonts w:ascii="Calibri" w:hAnsi="Calibri" w:cs="Calibri"/>
                <w:b/>
                <w:sz w:val="22"/>
                <w:szCs w:val="22"/>
              </w:rPr>
            </w:pPr>
            <w:r w:rsidRPr="009B47EB">
              <w:rPr>
                <w:rFonts w:ascii="Calibri" w:hAnsi="Calibri" w:cs="Calibri"/>
                <w:b/>
                <w:sz w:val="22"/>
                <w:szCs w:val="22"/>
              </w:rPr>
              <w:t>TIEKĖJAS</w:t>
            </w:r>
          </w:p>
        </w:tc>
      </w:tr>
      <w:tr w:rsidR="00F04BCB" w:rsidRPr="009B47EB" w14:paraId="273298D9" w14:textId="77777777" w:rsidTr="00FF1358">
        <w:tc>
          <w:tcPr>
            <w:tcW w:w="5224" w:type="dxa"/>
          </w:tcPr>
          <w:p w14:paraId="5BC7791F" w14:textId="77777777" w:rsidR="00F04BCB" w:rsidRPr="009B47EB" w:rsidRDefault="00F04BCB" w:rsidP="00FF1358">
            <w:pPr>
              <w:jc w:val="center"/>
              <w:rPr>
                <w:rFonts w:ascii="Calibri" w:hAnsi="Calibri" w:cs="Calibri"/>
                <w:color w:val="4472C4"/>
                <w:sz w:val="22"/>
                <w:szCs w:val="22"/>
              </w:rPr>
            </w:pPr>
            <w:r w:rsidRPr="00DA4621">
              <w:t xml:space="preserve">Direktorė Aušra </w:t>
            </w:r>
            <w:proofErr w:type="spellStart"/>
            <w:r w:rsidRPr="00DA4621">
              <w:t>Bilotienė</w:t>
            </w:r>
            <w:proofErr w:type="spellEnd"/>
            <w:r w:rsidRPr="00DA4621">
              <w:t xml:space="preserve"> Motiejūnienė</w:t>
            </w:r>
          </w:p>
        </w:tc>
        <w:tc>
          <w:tcPr>
            <w:tcW w:w="4311" w:type="dxa"/>
          </w:tcPr>
          <w:p w14:paraId="0E7E87F6" w14:textId="77777777" w:rsidR="00F04BCB" w:rsidRPr="009B47EB" w:rsidRDefault="00F04BCB" w:rsidP="00FF1358">
            <w:pPr>
              <w:jc w:val="center"/>
              <w:rPr>
                <w:rFonts w:ascii="Calibri" w:hAnsi="Calibri" w:cs="Calibri"/>
                <w:b/>
                <w:sz w:val="22"/>
                <w:szCs w:val="22"/>
              </w:rPr>
            </w:pPr>
            <w:r>
              <w:rPr>
                <w:rFonts w:ascii="Calibri" w:hAnsi="Calibri" w:cs="Calibri"/>
                <w:sz w:val="22"/>
                <w:szCs w:val="22"/>
              </w:rPr>
              <w:t xml:space="preserve">Vilniaus filialo l. v. direktoriaus pareigas </w:t>
            </w:r>
            <w:proofErr w:type="spellStart"/>
            <w:r>
              <w:rPr>
                <w:rFonts w:ascii="Calibri" w:hAnsi="Calibri" w:cs="Calibri"/>
                <w:sz w:val="22"/>
                <w:szCs w:val="22"/>
              </w:rPr>
              <w:t>Tadeušas</w:t>
            </w:r>
            <w:proofErr w:type="spellEnd"/>
            <w:r>
              <w:rPr>
                <w:rFonts w:ascii="Calibri" w:hAnsi="Calibri" w:cs="Calibri"/>
                <w:sz w:val="22"/>
                <w:szCs w:val="22"/>
              </w:rPr>
              <w:t xml:space="preserve"> </w:t>
            </w:r>
            <w:proofErr w:type="spellStart"/>
            <w:r>
              <w:rPr>
                <w:rFonts w:ascii="Calibri" w:hAnsi="Calibri" w:cs="Calibri"/>
                <w:sz w:val="22"/>
                <w:szCs w:val="22"/>
              </w:rPr>
              <w:t>Rodz</w:t>
            </w:r>
            <w:proofErr w:type="spellEnd"/>
          </w:p>
        </w:tc>
      </w:tr>
      <w:tr w:rsidR="00F04BCB" w:rsidRPr="009B47EB" w14:paraId="1B37CB49" w14:textId="77777777" w:rsidTr="00FF1358">
        <w:tc>
          <w:tcPr>
            <w:tcW w:w="5224" w:type="dxa"/>
          </w:tcPr>
          <w:p w14:paraId="5B1E8450" w14:textId="77777777" w:rsidR="00F04BCB" w:rsidRPr="009B47EB" w:rsidRDefault="00F04BCB" w:rsidP="00FF1358">
            <w:pPr>
              <w:jc w:val="center"/>
              <w:rPr>
                <w:rFonts w:ascii="Calibri" w:hAnsi="Calibri" w:cs="Calibri"/>
                <w:color w:val="4472C4"/>
                <w:sz w:val="22"/>
                <w:szCs w:val="22"/>
              </w:rPr>
            </w:pPr>
            <w:r w:rsidRPr="009B47EB">
              <w:rPr>
                <w:rFonts w:ascii="Calibri" w:hAnsi="Calibri" w:cs="Calibri"/>
                <w:color w:val="4472C4"/>
                <w:sz w:val="22"/>
                <w:szCs w:val="22"/>
              </w:rPr>
              <w:t>(parašas)</w:t>
            </w:r>
          </w:p>
          <w:p w14:paraId="3CC6D5D7" w14:textId="77777777" w:rsidR="00F04BCB" w:rsidRPr="009B47EB" w:rsidRDefault="00F04BCB" w:rsidP="00FF1358">
            <w:pPr>
              <w:jc w:val="center"/>
              <w:rPr>
                <w:rFonts w:ascii="Calibri" w:hAnsi="Calibri" w:cs="Calibri"/>
                <w:color w:val="4472C4"/>
                <w:sz w:val="22"/>
                <w:szCs w:val="22"/>
              </w:rPr>
            </w:pPr>
          </w:p>
        </w:tc>
        <w:tc>
          <w:tcPr>
            <w:tcW w:w="4311" w:type="dxa"/>
          </w:tcPr>
          <w:p w14:paraId="33067EB6" w14:textId="77777777" w:rsidR="00F04BCB" w:rsidRPr="009B47EB" w:rsidRDefault="00F04BCB" w:rsidP="00FF1358">
            <w:pPr>
              <w:jc w:val="center"/>
              <w:rPr>
                <w:rFonts w:ascii="Calibri" w:hAnsi="Calibri" w:cs="Calibri"/>
                <w:color w:val="4472C4"/>
                <w:sz w:val="22"/>
                <w:szCs w:val="22"/>
              </w:rPr>
            </w:pPr>
            <w:r w:rsidRPr="009B47EB">
              <w:rPr>
                <w:rFonts w:ascii="Calibri" w:hAnsi="Calibri" w:cs="Calibri"/>
                <w:color w:val="4472C4"/>
                <w:sz w:val="22"/>
                <w:szCs w:val="22"/>
              </w:rPr>
              <w:t>(parašas)</w:t>
            </w:r>
          </w:p>
        </w:tc>
      </w:tr>
    </w:tbl>
    <w:p w14:paraId="1FB7A147" w14:textId="77777777" w:rsidR="00B301D3" w:rsidRPr="00B301D3" w:rsidRDefault="00B301D3" w:rsidP="00B301D3">
      <w:pPr>
        <w:spacing w:after="0" w:line="240" w:lineRule="auto"/>
        <w:ind w:firstLine="567"/>
        <w:contextualSpacing/>
        <w:jc w:val="both"/>
        <w:rPr>
          <w:rFonts w:ascii="Calibri" w:eastAsia="Calibri" w:hAnsi="Calibri" w:cs="Calibri"/>
          <w:kern w:val="0"/>
          <w:sz w:val="22"/>
          <w:szCs w:val="22"/>
          <w:lang w:eastAsia="lt-LT"/>
          <w14:ligatures w14:val="none"/>
        </w:rPr>
      </w:pPr>
    </w:p>
    <w:sectPr w:rsidR="00B301D3" w:rsidRPr="00B301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3"/>
    <w:rsid w:val="000A3BE7"/>
    <w:rsid w:val="003749E9"/>
    <w:rsid w:val="005C6E23"/>
    <w:rsid w:val="00B301D3"/>
    <w:rsid w:val="00C752B8"/>
    <w:rsid w:val="00F04BCB"/>
    <w:rsid w:val="00FF4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1757"/>
  <w15:chartTrackingRefBased/>
  <w15:docId w15:val="{161BB06D-B314-451A-9666-5C3CF407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E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6E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6E2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6E2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6E2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6E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6E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6E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6E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6E2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6E2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6E2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6E2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6E2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6E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6E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6E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6E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6E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E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6E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6E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6E23"/>
    <w:rPr>
      <w:i/>
      <w:iCs/>
      <w:color w:val="404040" w:themeColor="text1" w:themeTint="BF"/>
    </w:rPr>
  </w:style>
  <w:style w:type="paragraph" w:styleId="Sraopastraipa">
    <w:name w:val="List Paragraph"/>
    <w:basedOn w:val="prastasis"/>
    <w:uiPriority w:val="34"/>
    <w:qFormat/>
    <w:rsid w:val="005C6E23"/>
    <w:pPr>
      <w:ind w:left="720"/>
      <w:contextualSpacing/>
    </w:pPr>
  </w:style>
  <w:style w:type="character" w:styleId="Rykuspabraukimas">
    <w:name w:val="Intense Emphasis"/>
    <w:basedOn w:val="Numatytasispastraiposriftas"/>
    <w:uiPriority w:val="21"/>
    <w:qFormat/>
    <w:rsid w:val="005C6E23"/>
    <w:rPr>
      <w:i/>
      <w:iCs/>
      <w:color w:val="2F5496" w:themeColor="accent1" w:themeShade="BF"/>
    </w:rPr>
  </w:style>
  <w:style w:type="paragraph" w:styleId="Iskirtacitata">
    <w:name w:val="Intense Quote"/>
    <w:basedOn w:val="prastasis"/>
    <w:next w:val="prastasis"/>
    <w:link w:val="IskirtacitataDiagrama"/>
    <w:uiPriority w:val="30"/>
    <w:qFormat/>
    <w:rsid w:val="005C6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6E23"/>
    <w:rPr>
      <w:i/>
      <w:iCs/>
      <w:color w:val="2F5496" w:themeColor="accent1" w:themeShade="BF"/>
    </w:rPr>
  </w:style>
  <w:style w:type="character" w:styleId="Rykinuoroda">
    <w:name w:val="Intense Reference"/>
    <w:basedOn w:val="Numatytasispastraiposriftas"/>
    <w:uiPriority w:val="32"/>
    <w:qFormat/>
    <w:rsid w:val="005C6E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2248</Words>
  <Characters>1282</Characters>
  <Application>Microsoft Office Word</Application>
  <DocSecurity>0</DocSecurity>
  <Lines>10</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NK-VP2</cp:lastModifiedBy>
  <cp:revision>2</cp:revision>
  <dcterms:created xsi:type="dcterms:W3CDTF">2026-02-11T07:56:00Z</dcterms:created>
  <dcterms:modified xsi:type="dcterms:W3CDTF">2026-02-11T07:56:00Z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58a42e4e-122a-4917-9fda-698fab85687b</vt:lpwstr>
  </property>
</Properties>
</file>