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559A" w14:textId="77777777" w:rsidR="003D528C" w:rsidRPr="00AB0F49" w:rsidRDefault="003D528C" w:rsidP="00AB0F49">
      <w:pPr>
        <w:spacing w:after="0" w:line="240" w:lineRule="auto"/>
        <w:jc w:val="center"/>
        <w:rPr>
          <w:rFonts w:ascii="Joost" w:hAnsi="Joost" w:cs="Times New Roman"/>
          <w:b/>
          <w:color w:val="008000"/>
          <w:sz w:val="23"/>
          <w:szCs w:val="23"/>
          <w:lang w:val="lt-LT"/>
        </w:rPr>
      </w:pPr>
      <w:r w:rsidRPr="00AB0F49">
        <w:rPr>
          <w:rFonts w:ascii="Joost" w:hAnsi="Joost" w:cs="Times New Roman"/>
          <w:b/>
          <w:color w:val="008000"/>
          <w:sz w:val="23"/>
          <w:szCs w:val="23"/>
          <w:lang w:val="lt-LT"/>
        </w:rPr>
        <w:t>TECHNINĖS SPECIFIKACIJOS BENDROJI DALIS</w:t>
      </w:r>
    </w:p>
    <w:p w14:paraId="3689D42E" w14:textId="77777777" w:rsidR="003D528C" w:rsidRPr="00AB0F49" w:rsidRDefault="003D528C" w:rsidP="00AB0F49">
      <w:pPr>
        <w:spacing w:after="0" w:line="240" w:lineRule="auto"/>
        <w:jc w:val="center"/>
        <w:rPr>
          <w:rFonts w:ascii="Joost" w:hAnsi="Joost" w:cs="Times New Roman"/>
          <w:b/>
          <w:color w:val="008000"/>
          <w:sz w:val="23"/>
          <w:szCs w:val="23"/>
          <w:lang w:val="lt-LT"/>
        </w:rPr>
      </w:pPr>
    </w:p>
    <w:p w14:paraId="609DBD74" w14:textId="77777777" w:rsidR="003D528C" w:rsidRPr="00AB0F49" w:rsidRDefault="003D528C" w:rsidP="00AB0F49">
      <w:pPr>
        <w:spacing w:after="0" w:line="240" w:lineRule="auto"/>
        <w:jc w:val="center"/>
        <w:rPr>
          <w:rFonts w:ascii="Joost" w:hAnsi="Joost" w:cs="Times New Roman"/>
          <w:b/>
          <w:color w:val="008000"/>
          <w:sz w:val="23"/>
          <w:szCs w:val="23"/>
          <w:lang w:val="lt-LT"/>
        </w:rPr>
      </w:pPr>
      <w:r w:rsidRPr="00AB0F49">
        <w:rPr>
          <w:rFonts w:ascii="Joost" w:hAnsi="Joost" w:cs="Times New Roman"/>
          <w:b/>
          <w:color w:val="008000"/>
          <w:sz w:val="23"/>
          <w:szCs w:val="23"/>
          <w:lang w:val="lt-LT"/>
        </w:rPr>
        <w:t xml:space="preserve">DUOMENŲ PERDAVIMO PASLAUGOS L2 </w:t>
      </w:r>
    </w:p>
    <w:p w14:paraId="1E79F5B1" w14:textId="77777777" w:rsidR="003D528C" w:rsidRPr="00AB0F49" w:rsidRDefault="003D528C" w:rsidP="00AB0F49">
      <w:pPr>
        <w:spacing w:after="0" w:line="240" w:lineRule="auto"/>
        <w:jc w:val="center"/>
        <w:rPr>
          <w:rFonts w:ascii="Joost" w:hAnsi="Joost" w:cs="Times New Roman"/>
          <w:b/>
          <w:color w:val="008000"/>
          <w:sz w:val="23"/>
          <w:szCs w:val="23"/>
          <w:lang w:val="lt-LT"/>
        </w:rPr>
      </w:pPr>
    </w:p>
    <w:p w14:paraId="47D34604" w14:textId="77777777" w:rsidR="003D528C" w:rsidRPr="00AB0F49" w:rsidRDefault="003D528C" w:rsidP="00AB0F49">
      <w:pPr>
        <w:pStyle w:val="ListParagraph"/>
        <w:autoSpaceDE w:val="0"/>
        <w:autoSpaceDN w:val="0"/>
        <w:adjustRightInd w:val="0"/>
        <w:ind w:left="0"/>
        <w:rPr>
          <w:rFonts w:ascii="Joost" w:hAnsi="Joost"/>
          <w:b/>
          <w:bCs/>
          <w:color w:val="000000"/>
          <w:sz w:val="23"/>
          <w:szCs w:val="23"/>
          <w:lang w:val="lt-LT"/>
        </w:rPr>
      </w:pPr>
    </w:p>
    <w:p w14:paraId="0F31E292" w14:textId="77777777" w:rsidR="003D528C" w:rsidRPr="00AB0F49" w:rsidRDefault="003D528C" w:rsidP="00AB0F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hAnsi="Joost" w:cs="Times New Roman"/>
          <w:color w:val="000000"/>
          <w:sz w:val="23"/>
          <w:szCs w:val="23"/>
          <w:lang w:val="lt-LT"/>
        </w:rPr>
        <w:t xml:space="preserve">Kertinis valstybės telekomunikacijų centras (Pirkėjas) perka duomenų perdavimo L2 </w:t>
      </w:r>
      <w:r w:rsidRPr="00AB0F49">
        <w:rPr>
          <w:rFonts w:ascii="Joost" w:eastAsia="Tahoma" w:hAnsi="Joost" w:cs="Times New Roman"/>
          <w:color w:val="000000"/>
          <w:sz w:val="23"/>
          <w:szCs w:val="23"/>
          <w:lang w:val="lt-LT"/>
        </w:rPr>
        <w:t xml:space="preserve">paslaugas.  </w:t>
      </w:r>
    </w:p>
    <w:p w14:paraId="3601761C" w14:textId="77777777" w:rsidR="00AB0F49" w:rsidRPr="00AB0F49" w:rsidRDefault="00AB0F49" w:rsidP="00AB0F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eastAsia="Tahoma" w:hAnsi="Joost" w:cs="Times New Roman"/>
          <w:color w:val="FF0000"/>
          <w:sz w:val="23"/>
          <w:szCs w:val="23"/>
          <w:lang w:val="lt-LT"/>
        </w:rPr>
        <w:t>Konkretūs reikalavimai reikiamai greitaveikai, adresai tarp taškų A-B, paslaugų teikimo laikotarpis nurodyti Techninės specifikacijos specialiojoje dalyje.</w:t>
      </w:r>
      <w:r w:rsidRPr="00AB0F49">
        <w:rPr>
          <w:rFonts w:ascii="Joost" w:eastAsia="Tahoma" w:hAnsi="Joost" w:cs="Times New Roman"/>
          <w:color w:val="000000"/>
          <w:sz w:val="23"/>
          <w:szCs w:val="23"/>
          <w:lang w:val="lt-LT"/>
        </w:rPr>
        <w:t xml:space="preserve"> </w:t>
      </w:r>
    </w:p>
    <w:p w14:paraId="711CF2ED" w14:textId="77777777" w:rsidR="00AB0F49" w:rsidRPr="00AB0F49" w:rsidRDefault="00AB0F49" w:rsidP="00AB0F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hAnsi="Joost"/>
          <w:color w:val="000000"/>
          <w:sz w:val="23"/>
          <w:szCs w:val="23"/>
          <w:lang w:val="lt-LT"/>
        </w:rPr>
        <w:t xml:space="preserve">Paslaugos tiekėjas privalo iš anksto, ne vėliau kaip prieš 5 darbo dienas, el. paštu </w:t>
      </w:r>
      <w:hyperlink r:id="rId7" w:history="1">
        <w:r w:rsidRPr="00AB0F49">
          <w:rPr>
            <w:rStyle w:val="Hyperlink"/>
            <w:rFonts w:ascii="Joost" w:hAnsi="Joost" w:cs="Times New Roman"/>
            <w:sz w:val="23"/>
            <w:szCs w:val="23"/>
            <w:lang w:val="lt-LT"/>
          </w:rPr>
          <w:t>planiniaidarbai@kvtc.gov.lt</w:t>
        </w:r>
      </w:hyperlink>
      <w:r w:rsidRPr="00AB0F49">
        <w:rPr>
          <w:rFonts w:ascii="Joost" w:hAnsi="Joost"/>
          <w:sz w:val="23"/>
          <w:szCs w:val="23"/>
          <w:lang w:val="lt-LT"/>
        </w:rPr>
        <w:t xml:space="preserve"> </w:t>
      </w:r>
      <w:r w:rsidRPr="00AB0F49">
        <w:rPr>
          <w:rFonts w:ascii="Joost" w:hAnsi="Joost"/>
          <w:color w:val="000000"/>
          <w:sz w:val="23"/>
          <w:szCs w:val="23"/>
          <w:lang w:val="lt-LT"/>
        </w:rPr>
        <w:t xml:space="preserve"> informuoti apie </w:t>
      </w:r>
      <w:r w:rsidRPr="00AB0F49">
        <w:rPr>
          <w:rFonts w:ascii="Joost" w:hAnsi="Joost"/>
          <w:i/>
          <w:iCs/>
          <w:color w:val="000000"/>
          <w:sz w:val="23"/>
          <w:szCs w:val="23"/>
          <w:lang w:val="lt-LT"/>
        </w:rPr>
        <w:t>techninių galimybių tyrimo darbus</w:t>
      </w:r>
      <w:r w:rsidRPr="00AB0F49">
        <w:rPr>
          <w:rFonts w:ascii="Joost" w:hAnsi="Joost"/>
          <w:color w:val="000000"/>
          <w:sz w:val="23"/>
          <w:szCs w:val="23"/>
          <w:lang w:val="lt-LT"/>
        </w:rPr>
        <w:t xml:space="preserve">, ar darbus susijusius su </w:t>
      </w:r>
      <w:r w:rsidRPr="00AB0F49">
        <w:rPr>
          <w:rFonts w:ascii="Joost" w:hAnsi="Joost"/>
          <w:i/>
          <w:iCs/>
          <w:color w:val="000000"/>
          <w:sz w:val="23"/>
          <w:szCs w:val="23"/>
          <w:lang w:val="lt-LT"/>
        </w:rPr>
        <w:t>paslaugų diegimu</w:t>
      </w:r>
      <w:r w:rsidRPr="00AB0F49">
        <w:rPr>
          <w:rFonts w:ascii="Joost" w:hAnsi="Joost"/>
          <w:color w:val="000000"/>
          <w:sz w:val="23"/>
          <w:szCs w:val="23"/>
          <w:lang w:val="lt-LT"/>
        </w:rPr>
        <w:t>, kai darbai  vykdomi vykstant į objektą gyvai. El. pašte nurodyti: kokia įmonė planuoja atvykti, į kur planuoja atvykti (taško A adresas),  atvykimo tikslas (TG tyrimas, paslaugų diegimas), atvykimo laikas (dienos tikslumu), atvykstančio darbuotojo vardas, pavardė. Atvykstantys darbuotojai su savimi privalo turėti darbo pažymėjimus.</w:t>
      </w:r>
    </w:p>
    <w:p w14:paraId="070B8D84" w14:textId="146BCBDF" w:rsidR="003D528C" w:rsidRPr="00AB0F49" w:rsidRDefault="003D528C" w:rsidP="00AB0F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Joost" w:hAnsi="Joost" w:cs="Times New Roman"/>
          <w:sz w:val="23"/>
          <w:szCs w:val="23"/>
          <w:lang w:val="lt-LT"/>
        </w:rPr>
      </w:pPr>
      <w:r w:rsidRPr="00AB0F49">
        <w:rPr>
          <w:rFonts w:ascii="Joost" w:eastAsia="Calibri" w:hAnsi="Joost" w:cs="Times New Roman"/>
          <w:sz w:val="23"/>
          <w:szCs w:val="23"/>
          <w:lang w:val="lt-LT"/>
        </w:rPr>
        <w:t>Į paslaugos kainą turi būti įskaityti visi mokesčiai ir visos tiekėjo išlaidos, susijusios su pirkimo objektu (įskaitant, bet neapsiribojant:</w:t>
      </w:r>
      <w:r w:rsidRPr="00AB0F49">
        <w:rPr>
          <w:rFonts w:ascii="Joost" w:hAnsi="Joost" w:cs="Times New Roman"/>
          <w:sz w:val="23"/>
          <w:szCs w:val="23"/>
          <w:lang w:val="lt-LT"/>
        </w:rPr>
        <w:t xml:space="preserve"> </w:t>
      </w:r>
      <w:r w:rsidR="004B2446" w:rsidRPr="00AB0F49">
        <w:rPr>
          <w:rFonts w:ascii="Joost" w:eastAsia="Calibri" w:hAnsi="Joost" w:cs="Times New Roman"/>
          <w:sz w:val="23"/>
          <w:szCs w:val="23"/>
          <w:lang w:val="lt-LT"/>
        </w:rPr>
        <w:t>patiriamas už sąskaitų pateikimą informacinės sistemos „SABIS“ priemonėmis</w:t>
      </w:r>
      <w:r w:rsidRPr="00AB0F49">
        <w:rPr>
          <w:rFonts w:ascii="Joost" w:eastAsia="Calibri" w:hAnsi="Joost" w:cs="Times New Roman"/>
          <w:sz w:val="23"/>
          <w:szCs w:val="23"/>
          <w:lang w:val="lt-LT"/>
        </w:rPr>
        <w:t>; paslaugos paleidimą; naujų objektų prijungimo atveju – įrengimo mokestis ir pan.), išskyrus atvejus, kai konkrečiame pirkime, organizuojamame dinaminėje pirkimų sistemoje, būtų nurodyta kitaip;</w:t>
      </w:r>
    </w:p>
    <w:p w14:paraId="28561036" w14:textId="77777777" w:rsidR="00B934CF" w:rsidRPr="00AB0F49" w:rsidRDefault="003D528C" w:rsidP="00AB0F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hAnsi="Joost" w:cs="Times New Roman"/>
          <w:color w:val="000000"/>
          <w:sz w:val="23"/>
          <w:szCs w:val="23"/>
          <w:lang w:val="lt-LT"/>
        </w:rPr>
        <w:t>Paslaugų teikėjas turi savo lėšomis atlikti esamų paslaugų gedimo ir profilaktinius darbus per šios techninės specifikacijos 3 skyriuje „Reikalavimai techniniam aptarnavimui ir priežiūrai“ pateiktoje lentelėje nurodytą gedimų šalinimo laiką, užtikrinant ne prastesnius parametrus, kurie buvo prieš remontą.</w:t>
      </w:r>
    </w:p>
    <w:p w14:paraId="031ABFFA" w14:textId="51C5B24D" w:rsidR="00B934CF" w:rsidRPr="00AB0F49" w:rsidRDefault="00B934CF" w:rsidP="00AB0F4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hAnsi="Joost" w:cs="Times New Roman"/>
          <w:sz w:val="23"/>
          <w:szCs w:val="23"/>
          <w:lang w:val="lt-LT"/>
        </w:rPr>
        <w:t>Perkančioji organizacija, vadovaudamasi VPĮ 37 straipsnio 9 dalimi laikys, kad prekės ar paslaugos kelia grėsmę nacionaliniam saugumui, kai:</w:t>
      </w:r>
    </w:p>
    <w:p w14:paraId="344380EF" w14:textId="579953AE" w:rsidR="00B934CF" w:rsidRPr="00AB0F49" w:rsidRDefault="00B934CF" w:rsidP="00AB0F49">
      <w:pPr>
        <w:pStyle w:val="Default"/>
        <w:numPr>
          <w:ilvl w:val="1"/>
          <w:numId w:val="6"/>
        </w:numPr>
        <w:ind w:left="1134" w:hanging="567"/>
        <w:jc w:val="both"/>
        <w:rPr>
          <w:rFonts w:ascii="Joost" w:hAnsi="Joost"/>
          <w:sz w:val="23"/>
          <w:szCs w:val="23"/>
          <w:lang w:val="lt-LT"/>
        </w:rPr>
      </w:pPr>
      <w:r w:rsidRPr="00AB0F49">
        <w:rPr>
          <w:rFonts w:ascii="Joost" w:hAnsi="Joost"/>
          <w:sz w:val="23"/>
          <w:szCs w:val="23"/>
          <w:lang w:val="lt-LT"/>
        </w:rPr>
        <w:t xml:space="preserve"> techninės ar programinės įrangos gamintojas ar jį kontroliuojantis asmuo yra registruoti (jeigu gamintojas ar jį kontroliuojantis asmuo yra fizinis asmuo – nuolat gyvenantis ar turintis pilietybę) VPĮ 92 straipsnio 14 dalyje numatytame sąraše nurodytose valstybėse ar teritorijose;</w:t>
      </w:r>
    </w:p>
    <w:p w14:paraId="63A283B9" w14:textId="0BC0F939" w:rsidR="00B934CF" w:rsidRPr="00AB0F49" w:rsidRDefault="00B934CF" w:rsidP="00AB0F49">
      <w:pPr>
        <w:pStyle w:val="Default"/>
        <w:numPr>
          <w:ilvl w:val="1"/>
          <w:numId w:val="6"/>
        </w:numPr>
        <w:ind w:left="1134" w:hanging="567"/>
        <w:jc w:val="both"/>
        <w:rPr>
          <w:rFonts w:ascii="Joost" w:hAnsi="Joost"/>
          <w:sz w:val="23"/>
          <w:szCs w:val="23"/>
          <w:lang w:val="lt-LT"/>
        </w:rPr>
      </w:pPr>
      <w:r w:rsidRPr="00AB0F49">
        <w:rPr>
          <w:rFonts w:ascii="Joost" w:hAnsi="Joost"/>
          <w:sz w:val="23"/>
          <w:szCs w:val="23"/>
          <w:lang w:val="lt-LT"/>
        </w:rPr>
        <w:t xml:space="preserve"> techninės ar programinės įrangos priežiūra ar palaikymas būtų vykdomas iš VPĮ 92 straipsnio 14 dalyje numatytame sąraše nurodytų valstybių ar teritorijų.</w:t>
      </w:r>
    </w:p>
    <w:p w14:paraId="0AC3ECB9" w14:textId="77777777" w:rsidR="003D528C" w:rsidRPr="00AB0F49" w:rsidRDefault="003D528C" w:rsidP="00AB0F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hAnsi="Joost" w:cs="Times New Roman"/>
          <w:color w:val="000000"/>
          <w:sz w:val="23"/>
          <w:szCs w:val="23"/>
          <w:lang w:val="lt-LT"/>
        </w:rPr>
        <w:t xml:space="preserve">Paslaugos tiekėjas privalo iš anksto ne vėliau kaip prieš 14 darbo dienų el. paštu </w:t>
      </w:r>
      <w:hyperlink r:id="rId8" w:history="1">
        <w:r w:rsidRPr="00AB0F49">
          <w:rPr>
            <w:rFonts w:ascii="Joost" w:hAnsi="Joost" w:cs="Times New Roman"/>
            <w:color w:val="0000FF"/>
            <w:sz w:val="23"/>
            <w:szCs w:val="23"/>
            <w:u w:val="single"/>
            <w:lang w:val="lt-LT"/>
          </w:rPr>
          <w:t>info@kvtc.gov.lt</w:t>
        </w:r>
      </w:hyperlink>
      <w:r w:rsidRPr="00AB0F49">
        <w:rPr>
          <w:rFonts w:ascii="Joost" w:hAnsi="Joost" w:cs="Times New Roman"/>
          <w:color w:val="000000"/>
          <w:sz w:val="23"/>
          <w:szCs w:val="23"/>
          <w:lang w:val="lt-LT"/>
        </w:rPr>
        <w:t xml:space="preserve"> informuoti apie planuojamus remonto ir profilaktinius darbus galinčius trukdyti naudotis teikiama paslauga.</w:t>
      </w:r>
    </w:p>
    <w:p w14:paraId="195D2517" w14:textId="77777777" w:rsidR="003D528C" w:rsidRPr="00AB0F49" w:rsidRDefault="003D528C" w:rsidP="00AB0F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AB0F49">
        <w:rPr>
          <w:rFonts w:ascii="Joost" w:hAnsi="Joost" w:cs="Times New Roman"/>
          <w:color w:val="000000"/>
          <w:sz w:val="23"/>
          <w:szCs w:val="23"/>
          <w:lang w:val="lt-LT"/>
        </w:rPr>
        <w:t>Paslaugų  teikėjas, pasirašius sutartį, ne vėliau kaip per 1 darbo dieną turi pateikti  kontaktinio asmens duomenis avarijų ir gedimų registravimui.</w:t>
      </w:r>
    </w:p>
    <w:p w14:paraId="25649975" w14:textId="77777777" w:rsidR="003D528C" w:rsidRPr="00AB0F49" w:rsidRDefault="003D528C" w:rsidP="00AB0F49">
      <w:p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</w:p>
    <w:p w14:paraId="1F5FD687" w14:textId="77777777" w:rsidR="003D528C" w:rsidRPr="00AB0F49" w:rsidRDefault="003D528C" w:rsidP="00AB0F49">
      <w:pPr>
        <w:autoSpaceDE w:val="0"/>
        <w:autoSpaceDN w:val="0"/>
        <w:adjustRightInd w:val="0"/>
        <w:spacing w:after="0" w:line="240" w:lineRule="auto"/>
        <w:jc w:val="center"/>
        <w:rPr>
          <w:rFonts w:ascii="Joost" w:hAnsi="Joost" w:cs="Times New Roman"/>
          <w:b/>
          <w:color w:val="000000"/>
          <w:sz w:val="23"/>
          <w:szCs w:val="23"/>
          <w:lang w:val="lt-LT"/>
        </w:rPr>
      </w:pPr>
      <w:r w:rsidRPr="00AB0F49">
        <w:rPr>
          <w:rFonts w:ascii="Joost" w:hAnsi="Joost" w:cs="Times New Roman"/>
          <w:b/>
          <w:color w:val="000000"/>
          <w:sz w:val="23"/>
          <w:szCs w:val="23"/>
          <w:lang w:val="lt-LT"/>
        </w:rPr>
        <w:t xml:space="preserve">II. </w:t>
      </w:r>
      <w:r w:rsidRPr="00AB0F49">
        <w:rPr>
          <w:rFonts w:ascii="Joost" w:hAnsi="Joost" w:cs="Times New Roman"/>
          <w:b/>
          <w:bCs/>
          <w:color w:val="000000"/>
          <w:sz w:val="23"/>
          <w:szCs w:val="23"/>
          <w:lang w:val="lt-LT"/>
        </w:rPr>
        <w:t>REIKALAVIMAI DUOMENŲ PERDAVIMO TECHNOLOGIJAI</w:t>
      </w:r>
    </w:p>
    <w:p w14:paraId="3AB5B549" w14:textId="77777777" w:rsidR="003D528C" w:rsidRPr="00AB0F49" w:rsidRDefault="003D528C" w:rsidP="00AB0F49">
      <w:p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b/>
          <w:color w:val="000000"/>
          <w:sz w:val="23"/>
          <w:szCs w:val="23"/>
          <w:lang w:val="lt-LT"/>
        </w:rPr>
      </w:pPr>
    </w:p>
    <w:tbl>
      <w:tblPr>
        <w:tblW w:w="9674" w:type="dxa"/>
        <w:tblInd w:w="137" w:type="dxa"/>
        <w:tblLook w:val="04A0" w:firstRow="1" w:lastRow="0" w:firstColumn="1" w:lastColumn="0" w:noHBand="0" w:noVBand="1"/>
      </w:tblPr>
      <w:tblGrid>
        <w:gridCol w:w="3827"/>
        <w:gridCol w:w="5847"/>
      </w:tblGrid>
      <w:tr w:rsidR="003D528C" w:rsidRPr="00AB0F49" w14:paraId="5A0129EC" w14:textId="77777777" w:rsidTr="00314ABC">
        <w:trPr>
          <w:trHeight w:val="255"/>
        </w:trPr>
        <w:tc>
          <w:tcPr>
            <w:tcW w:w="3827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67F88CDB" w14:textId="77777777" w:rsidR="003D528C" w:rsidRPr="00AB0F49" w:rsidRDefault="003D528C" w:rsidP="00AB0F49">
            <w:pPr>
              <w:spacing w:after="0" w:line="240" w:lineRule="auto"/>
              <w:jc w:val="both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Paslaugos </w:t>
            </w:r>
            <w:proofErr w:type="spellStart"/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pateikiamumas</w:t>
            </w:r>
            <w:proofErr w:type="spellEnd"/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 (prieigos ir loginio sujungimo)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9782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Ne mažiau kaip 99</w:t>
            </w:r>
            <w:r w:rsidRPr="00AB0F49">
              <w:rPr>
                <w:rFonts w:ascii="Joost" w:eastAsia="Times New Roman" w:hAnsi="Joost" w:cs="Times New Roman"/>
                <w:sz w:val="23"/>
                <w:szCs w:val="23"/>
                <w:vertAlign w:val="superscript"/>
                <w:lang w:val="lt-LT"/>
              </w:rPr>
              <w:t xml:space="preserve"> </w:t>
            </w: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 procentai</w:t>
            </w:r>
          </w:p>
        </w:tc>
      </w:tr>
      <w:tr w:rsidR="003D528C" w:rsidRPr="00AB0F49" w14:paraId="6151C361" w14:textId="77777777" w:rsidTr="00314ABC">
        <w:trPr>
          <w:trHeight w:val="25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hideMark/>
          </w:tcPr>
          <w:p w14:paraId="79B21873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Galinės įrangos sietuvas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EC30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Elektrinis (ISO/IEC 8802-3, RJ-45 jungtis): 100/1000 Base-TX </w:t>
            </w:r>
          </w:p>
        </w:tc>
      </w:tr>
      <w:tr w:rsidR="003D528C" w:rsidRPr="00AB0F49" w14:paraId="087A4D72" w14:textId="77777777" w:rsidTr="00314ABC">
        <w:trPr>
          <w:trHeight w:val="50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vAlign w:val="center"/>
            <w:hideMark/>
          </w:tcPr>
          <w:p w14:paraId="18C14731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EC4E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Šviesolaidinis (SC/FC/LC jungtys): 100Base-FX (atskirais atvejais), 100Base-BX (atskirais atvejais), 1000Base-LX/LH/SX/ZX, 10GBase-LR</w:t>
            </w:r>
          </w:p>
        </w:tc>
      </w:tr>
      <w:tr w:rsidR="003D528C" w:rsidRPr="00AB0F49" w14:paraId="3A652626" w14:textId="77777777" w:rsidTr="00314ABC">
        <w:trPr>
          <w:trHeight w:val="2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56F9D179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Duomenų perdavimo lygmens protokolas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FE9A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IEEE 802.3 (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Ethernet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), IEEE 802.1Q (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VLANs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)</w:t>
            </w:r>
          </w:p>
        </w:tc>
      </w:tr>
      <w:tr w:rsidR="003D528C" w:rsidRPr="00AB0F49" w14:paraId="4D06419F" w14:textId="77777777" w:rsidTr="00314ABC">
        <w:trPr>
          <w:trHeight w:val="2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55754F3A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Sujungimui naudojamos tinklo technologijos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298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MPLS Metro-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Ethernet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,  NG-SDH, CWDM, DWDM ir/ar jų kombinacijos</w:t>
            </w:r>
          </w:p>
        </w:tc>
      </w:tr>
      <w:tr w:rsidR="003D528C" w:rsidRPr="00AB0F49" w14:paraId="2C74CAC4" w14:textId="77777777" w:rsidTr="00314ABC">
        <w:trPr>
          <w:trHeight w:val="4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vAlign w:val="center"/>
            <w:hideMark/>
          </w:tcPr>
          <w:p w14:paraId="041057A4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lastRenderedPageBreak/>
              <w:t xml:space="preserve">Taškas-daug taškų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point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-to-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multipoint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) </w:t>
            </w: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sujungimų palaikymas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F11E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Ne</w:t>
            </w:r>
          </w:p>
        </w:tc>
      </w:tr>
      <w:tr w:rsidR="003D528C" w:rsidRPr="00AB0F49" w14:paraId="1EDA0F98" w14:textId="77777777" w:rsidTr="00314ABC">
        <w:trPr>
          <w:trHeight w:val="2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179383E5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Daugtaškių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any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-to-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any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)</w:t>
            </w: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 sujungimų palaikymas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A5A3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Ne</w:t>
            </w:r>
          </w:p>
        </w:tc>
      </w:tr>
      <w:tr w:rsidR="003D528C" w:rsidRPr="00AB0F49" w14:paraId="52CC1661" w14:textId="77777777" w:rsidTr="00314ABC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vAlign w:val="center"/>
            <w:hideMark/>
          </w:tcPr>
          <w:p w14:paraId="2E950898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Tiesioginių taškas-taškas sujungimų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point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-to-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point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)</w:t>
            </w: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 palaikymas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88E9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Taip</w:t>
            </w:r>
          </w:p>
        </w:tc>
      </w:tr>
      <w:tr w:rsidR="003D528C" w:rsidRPr="00AB0F49" w14:paraId="242E8E5C" w14:textId="77777777" w:rsidTr="00314ABC">
        <w:trPr>
          <w:trHeight w:val="90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7A8368DE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Kliento duomenų perdavimas tinklu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007D" w14:textId="77777777" w:rsidR="003D528C" w:rsidRPr="00AB0F49" w:rsidRDefault="003D528C" w:rsidP="00AB0F49">
            <w:pPr>
              <w:spacing w:after="0" w:line="240" w:lineRule="auto"/>
              <w:jc w:val="both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Kliento perduodamo srauto STP </w:t>
            </w:r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Spanning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Tree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Protocol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 xml:space="preserve">) </w:t>
            </w: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apibrėžtas standartais IEEE 802.1D, IEEE 802.1w, IEEE 802.1s., 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Cisco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 PVST, PVST+ ), 802.1Q žymės (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Ethernet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 kadras, VLAN numeris, 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CoS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 bitai, Q-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in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-Q žymė) perduodamos skaidriai</w:t>
            </w:r>
          </w:p>
        </w:tc>
      </w:tr>
      <w:tr w:rsidR="003D528C" w:rsidRPr="00AB0F49" w14:paraId="44035332" w14:textId="77777777" w:rsidTr="00314ABC">
        <w:trPr>
          <w:trHeight w:val="5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vAlign w:val="center"/>
            <w:hideMark/>
          </w:tcPr>
          <w:p w14:paraId="291815D2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Maksimalus paketo dydis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(MTU –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Maximum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Transmission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Unit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EE2F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1540 baitai be kontrolinių bitų </w:t>
            </w:r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 xml:space="preserve">(angl. –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Frame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Check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sz w:val="23"/>
                <w:szCs w:val="23"/>
                <w:lang w:val="lt-LT"/>
              </w:rPr>
              <w:t>)</w:t>
            </w:r>
          </w:p>
        </w:tc>
      </w:tr>
      <w:tr w:rsidR="003D528C" w:rsidRPr="00AB0F49" w14:paraId="5C6E8D49" w14:textId="77777777" w:rsidTr="00314ABC">
        <w:trPr>
          <w:trHeight w:val="5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vAlign w:val="center"/>
          </w:tcPr>
          <w:p w14:paraId="4E9B8200" w14:textId="77777777" w:rsidR="003D528C" w:rsidRPr="00AB0F49" w:rsidRDefault="003D528C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Paslaugų teikimas viename taške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715DD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Vienas fizinis sietuvas – viena L2 sprendimų taškas-taškas paslauga</w:t>
            </w:r>
          </w:p>
        </w:tc>
      </w:tr>
      <w:tr w:rsidR="00C70E2E" w:rsidRPr="00AB0F49" w14:paraId="383DB930" w14:textId="77777777" w:rsidTr="00314ABC">
        <w:trPr>
          <w:trHeight w:val="5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vAlign w:val="center"/>
          </w:tcPr>
          <w:p w14:paraId="182F06BC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Virtualių prievadų skaičius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0C46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Daugiau nei 1 (vienas) VLAN;</w:t>
            </w:r>
          </w:p>
        </w:tc>
      </w:tr>
      <w:tr w:rsidR="00C70E2E" w:rsidRPr="00AB0F49" w14:paraId="25DB63F8" w14:textId="77777777" w:rsidTr="00314ABC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32F64586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Greitaveika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4AF5" w14:textId="77777777" w:rsidR="00AB0F49" w:rsidRPr="00AB0F49" w:rsidRDefault="00AB0F49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en-GB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Ne mažiau kaip 10 Mb/s ir ne daugiau kaip 100 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Gb</w:t>
            </w:r>
            <w:proofErr w:type="spellEnd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/s</w:t>
            </w:r>
            <w:r w:rsidRPr="00AB0F49">
              <w:rPr>
                <w:rFonts w:ascii="Joost" w:eastAsia="Times New Roman" w:hAnsi="Joost" w:cs="Times New Roman"/>
                <w:sz w:val="23"/>
                <w:szCs w:val="23"/>
                <w:lang w:val="en-GB"/>
              </w:rPr>
              <w:t xml:space="preserve"> </w:t>
            </w:r>
          </w:p>
          <w:p w14:paraId="2CD5EC6A" w14:textId="79B0079F" w:rsidR="00C70E2E" w:rsidRPr="00AB0F49" w:rsidRDefault="00C70E2E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C70E2E" w:rsidRPr="00AB0F49" w14:paraId="65C1E642" w14:textId="77777777" w:rsidTr="00314ABC">
        <w:trPr>
          <w:trHeight w:val="2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6C96E32E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Duomenų srautų greitaveikos ribojimas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3D7D" w14:textId="77777777" w:rsidR="00C70E2E" w:rsidRPr="00AB0F49" w:rsidRDefault="00C70E2E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Pagal 2 OSI lygmens informaciją</w:t>
            </w:r>
          </w:p>
        </w:tc>
      </w:tr>
      <w:tr w:rsidR="00C70E2E" w:rsidRPr="00AB0F49" w14:paraId="4DCDA904" w14:textId="77777777" w:rsidTr="00314ABC">
        <w:trPr>
          <w:trHeight w:val="2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5AAB69EF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Dvikryptis vėlinimas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Round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Trip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Delay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EE9B" w14:textId="77777777" w:rsidR="00C70E2E" w:rsidRPr="00AB0F49" w:rsidRDefault="00C70E2E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Ne daugiau kaip 25 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ms</w:t>
            </w:r>
            <w:proofErr w:type="spellEnd"/>
          </w:p>
        </w:tc>
      </w:tr>
      <w:tr w:rsidR="00C70E2E" w:rsidRPr="00AB0F49" w14:paraId="51881BC6" w14:textId="77777777" w:rsidTr="00314ABC">
        <w:trPr>
          <w:trHeight w:val="2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65D9F044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Vėlinimo pokytis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Jitter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5D88" w14:textId="77777777" w:rsidR="00C70E2E" w:rsidRPr="00AB0F49" w:rsidRDefault="00C70E2E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 xml:space="preserve">Ne daugiau kaip 10 </w:t>
            </w:r>
            <w:proofErr w:type="spellStart"/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ms</w:t>
            </w:r>
            <w:proofErr w:type="spellEnd"/>
          </w:p>
        </w:tc>
      </w:tr>
      <w:tr w:rsidR="00C70E2E" w:rsidRPr="00AB0F49" w14:paraId="1EF45264" w14:textId="77777777" w:rsidTr="00314ABC">
        <w:trPr>
          <w:trHeight w:val="2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97D"/>
            </w:tcBorders>
            <w:noWrap/>
            <w:vAlign w:val="center"/>
            <w:hideMark/>
          </w:tcPr>
          <w:p w14:paraId="6D9E4E06" w14:textId="77777777" w:rsidR="00C70E2E" w:rsidRPr="00AB0F49" w:rsidRDefault="00C70E2E" w:rsidP="00AB0F49">
            <w:pPr>
              <w:spacing w:after="0" w:line="240" w:lineRule="auto"/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 xml:space="preserve">Paketų praradimas </w:t>
            </w:r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(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Packet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Loss</w:t>
            </w:r>
            <w:proofErr w:type="spellEnd"/>
            <w:r w:rsidRPr="00AB0F49">
              <w:rPr>
                <w:rFonts w:ascii="Joost" w:eastAsia="Times New Roman" w:hAnsi="Joost" w:cs="Times New Roman"/>
                <w:i/>
                <w:iCs/>
                <w:color w:val="000000"/>
                <w:sz w:val="23"/>
                <w:szCs w:val="23"/>
                <w:lang w:val="lt-LT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26E0" w14:textId="77777777" w:rsidR="00C70E2E" w:rsidRPr="00AB0F49" w:rsidRDefault="00C70E2E" w:rsidP="00AB0F49">
            <w:pPr>
              <w:spacing w:after="0" w:line="240" w:lineRule="auto"/>
              <w:jc w:val="center"/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Ne daugiau kaip 0,05 %</w:t>
            </w:r>
          </w:p>
        </w:tc>
      </w:tr>
    </w:tbl>
    <w:p w14:paraId="1E099947" w14:textId="77777777" w:rsidR="003D528C" w:rsidRPr="00AB0F49" w:rsidRDefault="003D528C" w:rsidP="00AB0F49">
      <w:pPr>
        <w:spacing w:after="0" w:line="240" w:lineRule="auto"/>
        <w:rPr>
          <w:rFonts w:ascii="Joost" w:hAnsi="Joost" w:cs="Times New Roman"/>
          <w:sz w:val="23"/>
          <w:szCs w:val="23"/>
          <w:lang w:val="lt-LT"/>
        </w:rPr>
      </w:pPr>
    </w:p>
    <w:p w14:paraId="7149EF30" w14:textId="77777777" w:rsidR="003D528C" w:rsidRPr="00AB0F49" w:rsidRDefault="003D528C" w:rsidP="00AB0F49">
      <w:pPr>
        <w:pStyle w:val="ListParagraph"/>
        <w:keepNext/>
        <w:keepLines/>
        <w:numPr>
          <w:ilvl w:val="0"/>
          <w:numId w:val="2"/>
        </w:numPr>
        <w:ind w:left="0"/>
        <w:jc w:val="center"/>
        <w:rPr>
          <w:rFonts w:ascii="Joost" w:hAnsi="Joost"/>
          <w:b/>
          <w:bCs/>
          <w:color w:val="000000"/>
          <w:sz w:val="23"/>
          <w:szCs w:val="23"/>
          <w:lang w:val="lt-LT"/>
        </w:rPr>
      </w:pPr>
      <w:r w:rsidRPr="00AB0F49">
        <w:rPr>
          <w:rFonts w:ascii="Joost" w:hAnsi="Joost"/>
          <w:b/>
          <w:bCs/>
          <w:color w:val="000000"/>
          <w:sz w:val="23"/>
          <w:szCs w:val="23"/>
          <w:lang w:val="lt-LT"/>
        </w:rPr>
        <w:t>REIKALAVIMAI TECHNINIAM APTARNAVIMUI IR PRIEŽIŪRAI</w:t>
      </w:r>
    </w:p>
    <w:p w14:paraId="3C69FFB2" w14:textId="77777777" w:rsidR="003D528C" w:rsidRPr="00AB0F49" w:rsidRDefault="003D528C" w:rsidP="00AB0F49">
      <w:pPr>
        <w:keepNext/>
        <w:keepLines/>
        <w:spacing w:after="0" w:line="240" w:lineRule="auto"/>
        <w:rPr>
          <w:rFonts w:ascii="Joost" w:eastAsia="Times New Roman" w:hAnsi="Joost" w:cs="Times New Roman"/>
          <w:b/>
          <w:bCs/>
          <w:color w:val="000000"/>
          <w:sz w:val="23"/>
          <w:szCs w:val="23"/>
          <w:lang w:val="lt-LT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5812"/>
      </w:tblGrid>
      <w:tr w:rsidR="003D528C" w:rsidRPr="00AB0F49" w14:paraId="6FA52F4F" w14:textId="77777777" w:rsidTr="00F12BA1">
        <w:tc>
          <w:tcPr>
            <w:tcW w:w="3827" w:type="dxa"/>
          </w:tcPr>
          <w:p w14:paraId="498321DC" w14:textId="77777777" w:rsidR="003D528C" w:rsidRPr="00AB0F49" w:rsidRDefault="003D528C" w:rsidP="00AB0F49">
            <w:pPr>
              <w:keepNext/>
              <w:keepLines/>
              <w:spacing w:after="0" w:line="240" w:lineRule="auto"/>
              <w:ind w:firstLine="420"/>
              <w:jc w:val="center"/>
              <w:rPr>
                <w:rFonts w:ascii="Joost" w:eastAsia="Times New Roman" w:hAnsi="Joost" w:cs="Times New Roman"/>
                <w:b/>
                <w:color w:val="000000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b/>
                <w:color w:val="000000"/>
                <w:sz w:val="23"/>
                <w:szCs w:val="23"/>
                <w:lang w:val="lt-LT"/>
              </w:rPr>
              <w:t xml:space="preserve">Reikalavimai </w:t>
            </w:r>
          </w:p>
        </w:tc>
        <w:tc>
          <w:tcPr>
            <w:tcW w:w="5812" w:type="dxa"/>
          </w:tcPr>
          <w:p w14:paraId="46B6D8BA" w14:textId="77777777" w:rsidR="003D528C" w:rsidRPr="00AB0F49" w:rsidRDefault="003D528C" w:rsidP="00AB0F49">
            <w:pPr>
              <w:spacing w:after="0" w:line="240" w:lineRule="auto"/>
              <w:jc w:val="center"/>
              <w:rPr>
                <w:rFonts w:ascii="Joost" w:hAnsi="Joost" w:cs="Times New Roman"/>
                <w:b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b/>
                <w:sz w:val="23"/>
                <w:szCs w:val="23"/>
                <w:lang w:val="lt-LT"/>
              </w:rPr>
              <w:t xml:space="preserve">Reikalavimo užtikrinimo kriterijus </w:t>
            </w:r>
          </w:p>
        </w:tc>
      </w:tr>
      <w:tr w:rsidR="003D528C" w:rsidRPr="00AB0F49" w14:paraId="5C3934B7" w14:textId="77777777" w:rsidTr="00F12BA1">
        <w:tc>
          <w:tcPr>
            <w:tcW w:w="3827" w:type="dxa"/>
          </w:tcPr>
          <w:p w14:paraId="2F14DE70" w14:textId="77777777" w:rsidR="003D528C" w:rsidRPr="00AB0F49" w:rsidRDefault="003D528C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Techninės priežiūros laikotarpis</w:t>
            </w:r>
          </w:p>
        </w:tc>
        <w:tc>
          <w:tcPr>
            <w:tcW w:w="5812" w:type="dxa"/>
          </w:tcPr>
          <w:p w14:paraId="4EA64887" w14:textId="77777777" w:rsidR="003D528C" w:rsidRPr="00AB0F49" w:rsidRDefault="003D528C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Ne ilgesnis kaip 2 valandų per mėnesį</w:t>
            </w:r>
          </w:p>
        </w:tc>
      </w:tr>
      <w:tr w:rsidR="003C64C7" w:rsidRPr="00AB0F49" w14:paraId="39A3D5EA" w14:textId="77777777" w:rsidTr="00F12BA1">
        <w:tc>
          <w:tcPr>
            <w:tcW w:w="3827" w:type="dxa"/>
          </w:tcPr>
          <w:p w14:paraId="19A829DF" w14:textId="77777777" w:rsidR="003C64C7" w:rsidRPr="00AB0F49" w:rsidRDefault="003C64C7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Reakcijos laikas sutrikimų ir/ar gedimų šalinimui </w:t>
            </w:r>
          </w:p>
        </w:tc>
        <w:tc>
          <w:tcPr>
            <w:tcW w:w="5812" w:type="dxa"/>
          </w:tcPr>
          <w:p w14:paraId="635B1E3C" w14:textId="2EE4568C" w:rsidR="003C64C7" w:rsidRPr="00AB0F49" w:rsidRDefault="003C64C7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sz w:val="23"/>
                <w:szCs w:val="23"/>
                <w:lang w:val="lt-LT"/>
              </w:rPr>
              <w:t>Ne vėliau kaip per 30 min. nuo pranešimo (telefonu ir el. paštu) gavimo metu</w:t>
            </w:r>
          </w:p>
        </w:tc>
      </w:tr>
      <w:tr w:rsidR="003C64C7" w:rsidRPr="00AB0F49" w14:paraId="0075C97C" w14:textId="77777777" w:rsidTr="00F12BA1">
        <w:tc>
          <w:tcPr>
            <w:tcW w:w="3827" w:type="dxa"/>
          </w:tcPr>
          <w:p w14:paraId="5D523DFC" w14:textId="77777777" w:rsidR="003C64C7" w:rsidRPr="00AB0F49" w:rsidRDefault="003C64C7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Terminas sutrikimų ir/ar gedimų pašalinimui </w:t>
            </w:r>
          </w:p>
        </w:tc>
        <w:tc>
          <w:tcPr>
            <w:tcW w:w="5812" w:type="dxa"/>
          </w:tcPr>
          <w:p w14:paraId="3720CD6E" w14:textId="77777777" w:rsidR="003C64C7" w:rsidRPr="00AB0F49" w:rsidRDefault="003C64C7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sz w:val="23"/>
                <w:szCs w:val="23"/>
                <w:lang w:val="lt-LT"/>
              </w:rPr>
              <w:t>Ne vėliau kaip per 8 val. nuo pranešimo (telefonu ir el. paštu) gavimo metu</w:t>
            </w:r>
          </w:p>
        </w:tc>
      </w:tr>
      <w:tr w:rsidR="003C64C7" w:rsidRPr="00AB0F49" w14:paraId="06D73AAD" w14:textId="77777777" w:rsidTr="00F12BA1">
        <w:tc>
          <w:tcPr>
            <w:tcW w:w="3827" w:type="dxa"/>
          </w:tcPr>
          <w:p w14:paraId="41BF4954" w14:textId="77777777" w:rsidR="003C64C7" w:rsidRPr="00AB0F49" w:rsidRDefault="003C64C7" w:rsidP="00AB0F49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Numatomos planinių perjungimo (nutraukimo)  darbų derinimas </w:t>
            </w:r>
          </w:p>
        </w:tc>
        <w:tc>
          <w:tcPr>
            <w:tcW w:w="5812" w:type="dxa"/>
          </w:tcPr>
          <w:p w14:paraId="626CE698" w14:textId="77777777" w:rsidR="003C64C7" w:rsidRPr="00AB0F49" w:rsidRDefault="003C64C7" w:rsidP="00AB0F49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AB0F49">
              <w:rPr>
                <w:rFonts w:ascii="Joost" w:hAnsi="Joost" w:cs="Times New Roman"/>
                <w:sz w:val="23"/>
                <w:szCs w:val="23"/>
                <w:lang w:val="lt-LT"/>
              </w:rPr>
              <w:t>Su perkančiąja organizacija ne vėliau kaip prieš 14 darbo dienų suderinti planinių paslaugų perjungimo (nutraukimo) ir profilaktikos darbų, įtakosiančių paslaugų funkcionalumą,  vykdymo laiką</w:t>
            </w:r>
          </w:p>
        </w:tc>
      </w:tr>
    </w:tbl>
    <w:p w14:paraId="09F2B014" w14:textId="77777777" w:rsidR="00ED6E61" w:rsidRPr="00AB0F49" w:rsidRDefault="00ED6E61" w:rsidP="00AB0F49">
      <w:pPr>
        <w:spacing w:after="0" w:line="240" w:lineRule="auto"/>
        <w:rPr>
          <w:rFonts w:ascii="Joost" w:hAnsi="Joost"/>
          <w:sz w:val="23"/>
          <w:szCs w:val="23"/>
          <w:lang w:val="lt-LT"/>
        </w:rPr>
      </w:pPr>
    </w:p>
    <w:sectPr w:rsidR="00ED6E61" w:rsidRPr="00AB0F49" w:rsidSect="00AB0F49">
      <w:headerReference w:type="default" r:id="rId9"/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5959" w14:textId="77777777" w:rsidR="00342434" w:rsidRDefault="00342434" w:rsidP="00F64F4A">
      <w:pPr>
        <w:spacing w:after="0" w:line="240" w:lineRule="auto"/>
      </w:pPr>
      <w:r>
        <w:separator/>
      </w:r>
    </w:p>
  </w:endnote>
  <w:endnote w:type="continuationSeparator" w:id="0">
    <w:p w14:paraId="7915FE04" w14:textId="77777777" w:rsidR="00342434" w:rsidRDefault="00342434" w:rsidP="00F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177D" w14:textId="77777777" w:rsidR="00342434" w:rsidRDefault="00342434" w:rsidP="00F64F4A">
      <w:pPr>
        <w:spacing w:after="0" w:line="240" w:lineRule="auto"/>
      </w:pPr>
      <w:r>
        <w:separator/>
      </w:r>
    </w:p>
  </w:footnote>
  <w:footnote w:type="continuationSeparator" w:id="0">
    <w:p w14:paraId="162679C6" w14:textId="77777777" w:rsidR="00342434" w:rsidRDefault="00342434" w:rsidP="00F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C4FB" w14:textId="68AFAEC6" w:rsidR="00F64F4A" w:rsidRPr="00150E6C" w:rsidRDefault="00F64F4A" w:rsidP="00F64F4A">
    <w:pPr>
      <w:spacing w:after="200"/>
      <w:jc w:val="right"/>
      <w:rPr>
        <w:rFonts w:ascii="Joost" w:eastAsia="Times New Roman" w:hAnsi="Joost"/>
        <w:bCs/>
        <w:i/>
        <w:color w:val="4472C4" w:themeColor="accent5"/>
        <w:sz w:val="23"/>
        <w:szCs w:val="23"/>
        <w:lang w:val="lt-LT"/>
      </w:rPr>
    </w:pPr>
    <w:r w:rsidRPr="00150E6C">
      <w:rPr>
        <w:rFonts w:ascii="Joost" w:eastAsia="Times New Roman" w:hAnsi="Joost"/>
        <w:bCs/>
        <w:i/>
        <w:sz w:val="23"/>
        <w:szCs w:val="23"/>
        <w:lang w:val="lt-LT"/>
      </w:rPr>
      <w:t xml:space="preserve">Pirkimo dokumentų C dalies </w:t>
    </w:r>
    <w:r w:rsidRPr="00150E6C">
      <w:rPr>
        <w:rFonts w:ascii="Joost" w:eastAsia="Times New Roman" w:hAnsi="Joost"/>
        <w:i/>
        <w:sz w:val="23"/>
        <w:szCs w:val="23"/>
        <w:lang w:val="lt-LT"/>
      </w:rPr>
      <w:t>3</w:t>
    </w:r>
    <w:r w:rsidRPr="00150E6C">
      <w:rPr>
        <w:rFonts w:ascii="Joost" w:eastAsia="Times New Roman" w:hAnsi="Joost"/>
        <w:bCs/>
        <w:i/>
        <w:sz w:val="23"/>
        <w:szCs w:val="23"/>
        <w:lang w:val="lt-LT"/>
      </w:rPr>
      <w:t xml:space="preserve"> priedas </w:t>
    </w:r>
    <w:r w:rsidRPr="00150E6C">
      <w:rPr>
        <w:rFonts w:ascii="Joost" w:eastAsia="Times New Roman" w:hAnsi="Joost"/>
        <w:i/>
        <w:sz w:val="23"/>
        <w:szCs w:val="23"/>
        <w:lang w:val="lt-LT"/>
      </w:rPr>
      <w:t xml:space="preserve"> „</w:t>
    </w:r>
    <w:r w:rsidRPr="00150E6C">
      <w:rPr>
        <w:rFonts w:ascii="Joost" w:eastAsia="Times New Roman" w:hAnsi="Joost"/>
        <w:bCs/>
        <w:i/>
        <w:sz w:val="23"/>
        <w:szCs w:val="23"/>
        <w:lang w:val="lt-LT"/>
      </w:rPr>
      <w:t>Techninė specifikacija</w:t>
    </w:r>
    <w:r w:rsidRPr="00150E6C">
      <w:rPr>
        <w:rFonts w:ascii="Joost" w:eastAsia="Times New Roman" w:hAnsi="Joost"/>
        <w:bCs/>
        <w:i/>
        <w:color w:val="4472C4" w:themeColor="accent5"/>
        <w:sz w:val="23"/>
        <w:szCs w:val="23"/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339"/>
    <w:multiLevelType w:val="hybridMultilevel"/>
    <w:tmpl w:val="07C42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BA2"/>
    <w:multiLevelType w:val="hybridMultilevel"/>
    <w:tmpl w:val="07C42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0BCA"/>
    <w:multiLevelType w:val="multilevel"/>
    <w:tmpl w:val="70F49D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6D454F"/>
    <w:multiLevelType w:val="multilevel"/>
    <w:tmpl w:val="6EF657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8F2B3B"/>
    <w:multiLevelType w:val="multilevel"/>
    <w:tmpl w:val="4C08409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11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5" w15:restartNumberingAfterBreak="0">
    <w:nsid w:val="50AA5E21"/>
    <w:multiLevelType w:val="hybridMultilevel"/>
    <w:tmpl w:val="89FE60EE"/>
    <w:lvl w:ilvl="0" w:tplc="E580FCC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0091">
    <w:abstractNumId w:val="1"/>
  </w:num>
  <w:num w:numId="2" w16cid:durableId="493571384">
    <w:abstractNumId w:val="5"/>
  </w:num>
  <w:num w:numId="3" w16cid:durableId="1004556445">
    <w:abstractNumId w:val="0"/>
  </w:num>
  <w:num w:numId="4" w16cid:durableId="1323579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352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137488">
    <w:abstractNumId w:val="3"/>
  </w:num>
  <w:num w:numId="7" w16cid:durableId="151533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8C"/>
    <w:rsid w:val="000D7CE0"/>
    <w:rsid w:val="00342434"/>
    <w:rsid w:val="003C64C7"/>
    <w:rsid w:val="003D528C"/>
    <w:rsid w:val="003E5524"/>
    <w:rsid w:val="004B2446"/>
    <w:rsid w:val="006819BF"/>
    <w:rsid w:val="00725598"/>
    <w:rsid w:val="00A031CF"/>
    <w:rsid w:val="00AB0F49"/>
    <w:rsid w:val="00AE5258"/>
    <w:rsid w:val="00B304C3"/>
    <w:rsid w:val="00B934CF"/>
    <w:rsid w:val="00C03529"/>
    <w:rsid w:val="00C05CB1"/>
    <w:rsid w:val="00C70E2E"/>
    <w:rsid w:val="00CC0E0F"/>
    <w:rsid w:val="00ED6E61"/>
    <w:rsid w:val="00F12BA1"/>
    <w:rsid w:val="00F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2924"/>
  <w15:chartTrackingRefBased/>
  <w15:docId w15:val="{4944D2FB-BFFE-40D7-A371-FC087B19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8C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.Bullet,Lentele"/>
    <w:basedOn w:val="Normal"/>
    <w:link w:val="ListParagraphChar"/>
    <w:uiPriority w:val="34"/>
    <w:qFormat/>
    <w:rsid w:val="003D528C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1"/>
    <w:qFormat/>
    <w:locked/>
    <w:rsid w:val="003D528C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E5524"/>
    <w:rPr>
      <w:color w:val="0563C1"/>
      <w:u w:val="single"/>
    </w:rPr>
  </w:style>
  <w:style w:type="paragraph" w:customStyle="1" w:styleId="Default">
    <w:name w:val="Default"/>
    <w:rsid w:val="00B934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F49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0F4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tc.gov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iniaidarbai@kvtc.go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Edita Ališauskaitė Vorožeikinienė</cp:lastModifiedBy>
  <cp:revision>10</cp:revision>
  <dcterms:created xsi:type="dcterms:W3CDTF">2023-02-03T11:14:00Z</dcterms:created>
  <dcterms:modified xsi:type="dcterms:W3CDTF">2025-09-22T07:24:00Z</dcterms:modified>
</cp:coreProperties>
</file>