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firstLine="1276" w:left="4253"/>
        <w:rPr>
          <w:bCs/>
          <w:caps/>
        </w:rPr>
      </w:pPr>
      <w:r>
        <w:rPr>
          <w:bCs/>
          <w:caps/>
        </w:rPr>
        <w:t xml:space="preserve">  </w:t>
      </w:r>
      <w:r>
        <w:rPr>
          <w:bCs/>
          <w:caps/>
        </w:rPr>
        <w:tab/>
        <w:tab/>
      </w:r>
    </w:p>
    <w:p>
      <w:pPr>
        <w:pStyle w:val="Normal"/>
        <w:widowControl w:val="false"/>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widowControl w:val="false"/>
        <w:tabs>
          <w:tab w:val="clear" w:pos="1296"/>
          <w:tab w:val="left" w:pos="567" w:leader="none"/>
          <w:tab w:val="left" w:pos="851" w:leader="none"/>
        </w:tabs>
        <w:jc w:val="center"/>
        <w:rPr>
          <w:b/>
          <w:bCs/>
          <w:caps/>
          <w:szCs w:val="24"/>
        </w:rPr>
      </w:pPr>
      <w:r>
        <w:rPr>
          <w:b/>
          <w:bCs/>
          <w:caps/>
          <w:szCs w:val="24"/>
        </w:rPr>
      </w:r>
    </w:p>
    <w:p>
      <w:pPr>
        <w:pStyle w:val="Normal"/>
        <w:tabs>
          <w:tab w:val="clear" w:pos="1296"/>
          <w:tab w:val="left" w:pos="5400" w:leader="none"/>
        </w:tabs>
        <w:textAlignment w:val="center"/>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3"/>
        <w:gridCol w:w="2182"/>
        <w:gridCol w:w="2361"/>
        <w:gridCol w:w="2571"/>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Arial" w:hAnsi="Arial" w:cs="Arial"/>
                <w:b/>
                <w:bCs/>
                <w:caps/>
                <w:sz w:val="28"/>
                <w:szCs w:val="28"/>
                <w:shd w:fill="FFFFFF" w:val="clear"/>
              </w:rPr>
            </w:pPr>
            <w:r>
              <w:rPr>
                <w:rFonts w:cs="Arial" w:ascii="Arial" w:hAnsi="Arial"/>
                <w:b/>
                <w:bCs/>
                <w:sz w:val="28"/>
                <w:szCs w:val="28"/>
                <w:shd w:fill="FFFFFF" w:val="clear"/>
              </w:rPr>
              <w:t>BALBIERIŠKIO DVARO SODYBOS PARKO PRIENŲ R. SAV. TVARKYBOS DARBŲ PROJEKTAVIMAS</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82"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1"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Prienų rajono savivaldybės administracija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288742590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Laisvės a. 12, LT 59126 Prienai</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 PVM mokėtojas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pPr>
            <w:r>
              <w:rPr>
                <w:rFonts w:cs="Arial"/>
                <w:kern w:val="2"/>
                <w:szCs w:val="24"/>
              </w:rPr>
              <w:t>LT087300010076935559</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pPr>
            <w:r>
              <w:rPr>
                <w:rFonts w:cs="Arial"/>
                <w:kern w:val="2"/>
                <w:szCs w:val="24"/>
              </w:rPr>
              <w:t>AB bankas „Swedbank“, 73000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+370 319 61149</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administracija@prienai.lt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Direktorė Jūratė Mickevičienė</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Įstaigos nuostatai</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1.2. Tiekėjas</w:t>
            </w:r>
          </w:p>
          <w:p>
            <w:pPr>
              <w:pStyle w:val="Normal"/>
              <w:rPr>
                <w:color w:val="4472C4"/>
                <w:kern w:val="2"/>
                <w:szCs w:val="24"/>
              </w:rPr>
            </w:pPr>
            <w:r>
              <w:rPr/>
            </w:r>
          </w:p>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left"/>
              <w:rPr>
                <w:kern w:val="2"/>
                <w:szCs w:val="24"/>
              </w:rPr>
            </w:pPr>
            <w:r>
              <w:rPr>
                <w:kern w:val="2"/>
                <w:szCs w:val="24"/>
              </w:rPr>
              <w:t>MB „Aurimo Vengrio projektai“</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left"/>
              <w:rPr>
                <w:kern w:val="2"/>
                <w:szCs w:val="24"/>
              </w:rPr>
            </w:pPr>
            <w:r>
              <w:rPr>
                <w:kern w:val="2"/>
                <w:sz w:val="22"/>
                <w:szCs w:val="24"/>
              </w:rPr>
              <w:t>306340144</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left"/>
              <w:rPr>
                <w:kern w:val="2"/>
                <w:szCs w:val="24"/>
              </w:rPr>
            </w:pPr>
            <w:r>
              <w:rPr>
                <w:kern w:val="2"/>
                <w:sz w:val="22"/>
                <w:szCs w:val="24"/>
              </w:rPr>
              <w:t>Polocko g. 17-164, 01205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left"/>
              <w:rPr>
                <w:kern w:val="2"/>
                <w:szCs w:val="24"/>
              </w:rPr>
            </w:pPr>
            <w:r>
              <w:rPr>
                <w:kern w:val="2"/>
                <w:sz w:val="24"/>
                <w:szCs w:val="24"/>
              </w:rPr>
              <w:t>LT697300010178995824</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left"/>
              <w:rPr>
                <w:kern w:val="2"/>
                <w:szCs w:val="24"/>
              </w:rPr>
            </w:pPr>
            <w:r>
              <w:rPr>
                <w:kern w:val="2"/>
                <w:sz w:val="24"/>
                <w:szCs w:val="24"/>
              </w:rPr>
              <w:t xml:space="preserve">AB Swedbank, </w:t>
            </w:r>
            <w:r>
              <w:rPr>
                <w:kern w:val="2"/>
                <w:sz w:val="24"/>
                <w:szCs w:val="24"/>
              </w:rPr>
              <w:t>73000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left"/>
              <w:rPr>
                <w:kern w:val="2"/>
                <w:szCs w:val="24"/>
              </w:rPr>
            </w:pPr>
            <w:r>
              <w:rPr>
                <w:kern w:val="2"/>
                <w:sz w:val="24"/>
                <w:szCs w:val="24"/>
              </w:rPr>
              <w:t>+370 655 53245</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left"/>
              <w:rPr>
                <w:kern w:val="2"/>
                <w:szCs w:val="24"/>
              </w:rPr>
            </w:pPr>
            <w:r>
              <w:rPr>
                <w:kern w:val="2"/>
                <w:sz w:val="24"/>
                <w:szCs w:val="24"/>
              </w:rPr>
              <w:t>avengris@gmail.com</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left"/>
              <w:rPr>
                <w:kern w:val="2"/>
                <w:szCs w:val="24"/>
              </w:rPr>
            </w:pPr>
            <w:r>
              <w:rPr>
                <w:kern w:val="2"/>
                <w:szCs w:val="24"/>
              </w:rPr>
              <w:t>Vadovas Aurimas Vengris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left"/>
              <w:rPr>
                <w:kern w:val="2"/>
                <w:szCs w:val="24"/>
              </w:rPr>
            </w:pPr>
            <w:r>
              <w:rPr>
                <w:kern w:val="2"/>
                <w:szCs w:val="24"/>
              </w:rPr>
              <w:t>Įmonės nuostatai</w:t>
            </w:r>
          </w:p>
        </w:tc>
      </w:tr>
    </w:tbl>
    <w:p>
      <w:pPr>
        <w:pStyle w:val="Normal"/>
        <w:jc w:val="both"/>
        <w:rPr>
          <w:szCs w:val="24"/>
        </w:rPr>
      </w:pPr>
      <w:r>
        <w:rPr>
          <w:szCs w:val="24"/>
        </w:rPr>
      </w:r>
    </w:p>
    <w:tbl>
      <w:tblPr>
        <w:tblW w:w="95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93"/>
        <w:gridCol w:w="83"/>
        <w:gridCol w:w="2047"/>
        <w:gridCol w:w="4307"/>
      </w:tblGrid>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color w:val="000000"/>
                <w:kern w:val="2"/>
                <w:szCs w:val="24"/>
              </w:rPr>
              <w:t xml:space="preserve">Kultūros ir turizmo skyriaus vyriausioji specialistė Edita Jakimavičiūtė, Tel. +370 319 61190 </w:t>
              <w:br/>
              <w:t xml:space="preserve">El.p. </w:t>
            </w:r>
            <w:hyperlink r:id="rId2">
              <w:r>
                <w:rPr>
                  <w:rStyle w:val="Hyperlink"/>
                  <w:color w:val="000000"/>
                  <w:kern w:val="2"/>
                  <w:szCs w:val="24"/>
                </w:rPr>
                <w:t>edita.jakimaviciute@prienai.lt</w:t>
              </w:r>
            </w:hyperlink>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jc w:val="left"/>
              <w:rPr>
                <w:color w:val="000000"/>
                <w:kern w:val="2"/>
                <w:szCs w:val="24"/>
              </w:rPr>
            </w:pPr>
            <w:r>
              <w:rPr>
                <w:color w:val="000000"/>
                <w:kern w:val="2"/>
                <w:szCs w:val="24"/>
              </w:rPr>
              <w:t>Vadovas A</w:t>
            </w:r>
            <w:r>
              <w:rPr>
                <w:color w:val="000000"/>
                <w:kern w:val="2"/>
                <w:szCs w:val="24"/>
              </w:rPr>
              <w:t>u</w:t>
            </w:r>
            <w:r>
              <w:rPr>
                <w:color w:val="000000"/>
                <w:kern w:val="2"/>
                <w:szCs w:val="24"/>
              </w:rPr>
              <w:t xml:space="preserve">rimas Vengris, </w:t>
            </w:r>
            <w:r>
              <w:rPr>
                <w:color w:val="000000"/>
                <w:kern w:val="2"/>
                <w:szCs w:val="24"/>
              </w:rPr>
              <w:t xml:space="preserve">tel. </w:t>
            </w:r>
            <w:r>
              <w:rPr>
                <w:color w:val="000000"/>
                <w:kern w:val="2"/>
                <w:sz w:val="24"/>
                <w:szCs w:val="24"/>
              </w:rPr>
              <w:t>+370 655 53245, el.p. avengris@gmail.com</w:t>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kern w:val="2"/>
                <w:szCs w:val="24"/>
              </w:rPr>
              <w:t xml:space="preserve">Tiekėjas įsipareigoja Sutartyje numatytomis sąlygomis suteikti Pirkėjui </w:t>
            </w:r>
            <w:r>
              <w:rPr>
                <w:rFonts w:eastAsia="Calibri" w:cs="Arial" w:ascii="Arial" w:hAnsi="Arial"/>
                <w:b/>
                <w:bCs/>
                <w:color w:themeColor="text1" w:val="000000"/>
                <w:kern w:val="2"/>
                <w:sz w:val="20"/>
                <w:szCs w:val="20"/>
              </w:rPr>
              <w:t>Prienų r. sav. Balbieriškio dvaro sodybos parko tvarkybos ir pritaikymo darbų projektinės dokumentacijos parengimo paslaugas :</w:t>
            </w:r>
          </w:p>
          <w:p>
            <w:pPr>
              <w:pStyle w:val="ListParagraph"/>
              <w:tabs>
                <w:tab w:val="clear" w:pos="1296"/>
                <w:tab w:val="left" w:pos="900" w:leader="none"/>
              </w:tabs>
              <w:spacing w:lineRule="auto" w:line="240" w:before="0" w:after="0"/>
              <w:ind w:firstLine="567" w:left="0"/>
              <w:contextualSpacing/>
              <w:jc w:val="both"/>
              <w:rPr>
                <w:color w:val="FF4000"/>
                <w:sz w:val="20"/>
                <w:szCs w:val="20"/>
              </w:rPr>
            </w:pPr>
            <w:r>
              <w:rPr>
                <w:color w:val="FF4000"/>
                <w:sz w:val="20"/>
                <w:szCs w:val="20"/>
              </w:rPr>
            </w:r>
          </w:p>
          <w:p>
            <w:pPr>
              <w:pStyle w:val="Normal"/>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Pr>
                <w:color w:val="000000"/>
                <w:kern w:val="2"/>
                <w:szCs w:val="24"/>
                <w:shd w:fill="auto" w:val="clear"/>
              </w:rPr>
              <w:t xml:space="preserve"> </w:t>
            </w:r>
            <w:r>
              <w:rPr>
                <w:color w:val="000000"/>
                <w:kern w:val="2"/>
                <w:szCs w:val="24"/>
                <w:shd w:fill="auto" w:val="clear"/>
              </w:rPr>
              <w:t>1.</w:t>
            </w:r>
            <w:r>
              <w:rPr>
                <w:color w:val="000000"/>
                <w:kern w:val="2"/>
                <w:szCs w:val="24"/>
                <w:shd w:fill="auto" w:val="clear"/>
              </w:rPr>
              <w:t xml:space="preserve"> </w:t>
            </w:r>
            <w:r>
              <w:rPr>
                <w:color w:val="000000"/>
                <w:kern w:val="2"/>
                <w:szCs w:val="24"/>
              </w:rPr>
              <w:t>„</w:t>
            </w:r>
            <w:r>
              <w:rPr>
                <w:color w:val="000000"/>
                <w:kern w:val="2"/>
                <w:szCs w:val="24"/>
              </w:rPr>
              <w:t>Projektavimo užduotis</w:t>
            </w:r>
            <w:r>
              <w:rPr>
                <w:color w:val="000000"/>
                <w:kern w:val="2"/>
                <w:szCs w:val="24"/>
              </w:rPr>
              <w:t xml:space="preserve">“ (toliau – Techninė specifikacija) ir Sutarties priede Nr. </w:t>
            </w:r>
            <w:r>
              <w:rPr>
                <w:color w:val="000000"/>
                <w:kern w:val="2"/>
                <w:szCs w:val="24"/>
                <w:shd w:fill="auto" w:val="clear"/>
              </w:rPr>
              <w:t>2.</w:t>
            </w:r>
            <w:r>
              <w:rPr>
                <w:color w:val="000000"/>
                <w:kern w:val="2"/>
                <w:szCs w:val="24"/>
                <w:shd w:fill="auto" w:val="clear"/>
              </w:rPr>
              <w:t xml:space="preserve"> </w:t>
            </w:r>
            <w:r>
              <w:rPr>
                <w:color w:val="000000"/>
                <w:kern w:val="2"/>
                <w:szCs w:val="24"/>
              </w:rPr>
              <w:t>„Pasiūlymas“.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 xml:space="preserve">Balbieriškio parko tvarkybos darbų projektavimas, </w:t>
            </w:r>
          </w:p>
          <w:p>
            <w:pPr>
              <w:pStyle w:val="Normal"/>
              <w:rPr>
                <w:kern w:val="2"/>
                <w:szCs w:val="24"/>
              </w:rPr>
            </w:pPr>
            <w:r>
              <w:rPr>
                <w:kern w:val="2"/>
                <w:szCs w:val="24"/>
              </w:rPr>
              <w:t xml:space="preserve">Pirkimo Nr. </w:t>
            </w:r>
            <w:r>
              <w:rPr/>
              <w:t xml:space="preserve">3939393 </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kern w:val="2"/>
                <w:szCs w:val="24"/>
              </w:rPr>
            </w:pPr>
            <w:r>
              <w:rPr>
                <w:kern w:val="2"/>
                <w:szCs w:val="24"/>
              </w:rPr>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 xml:space="preserve">Tiekėjas Paslaugas įsipareigoja teikti </w:t>
            </w:r>
            <w:r>
              <w:rPr>
                <w:b w:val="false"/>
                <w:bCs w:val="false"/>
                <w:szCs w:val="24"/>
              </w:rPr>
              <w:t>nuo</w:t>
            </w:r>
            <w:r>
              <w:rPr>
                <w:szCs w:val="24"/>
              </w:rPr>
              <w:t xml:space="preserve"> </w:t>
            </w:r>
            <w:r>
              <w:rPr>
                <w:color w:val="000000"/>
                <w:szCs w:val="24"/>
              </w:rPr>
              <w:t>Sutarties įsigaliojimo dienos.</w:t>
            </w:r>
          </w:p>
          <w:p>
            <w:pPr>
              <w:pStyle w:val="Normal"/>
              <w:spacing w:lineRule="auto" w:line="240" w:before="0" w:after="0"/>
              <w:jc w:val="both"/>
              <w:rPr/>
            </w:pPr>
            <w:r>
              <w:rPr>
                <w:rFonts w:cs="Times New Roman"/>
                <w:color w:val="000000"/>
                <w:sz w:val="24"/>
                <w:szCs w:val="24"/>
              </w:rPr>
              <w:t>Projektinė dokumentacija parengiama, s</w:t>
            </w:r>
            <w:r>
              <w:rPr>
                <w:rFonts w:cs="Times New Roman"/>
                <w:color w:val="000000"/>
                <w:kern w:val="2"/>
                <w:sz w:val="24"/>
                <w:szCs w:val="24"/>
              </w:rPr>
              <w:t xml:space="preserve">tatybą leidžiantis dokumentas ir tvarkybos darbus leidžiantis į dokumentas </w:t>
            </w:r>
            <w:r>
              <w:rPr>
                <w:rFonts w:cs="Times New Roman"/>
                <w:color w:val="000000"/>
                <w:sz w:val="24"/>
                <w:szCs w:val="24"/>
              </w:rPr>
              <w:t xml:space="preserve"> pateikiamas Užsakovo suderinimui per 10</w:t>
            </w:r>
            <w:r>
              <w:rPr>
                <w:rFonts w:eastAsia="Calibri" w:cs="Times New Roman"/>
                <w:color w:val="000000"/>
                <w:sz w:val="24"/>
                <w:szCs w:val="24"/>
                <w:lang w:val="lt-LT" w:bidi="ar-SA"/>
              </w:rPr>
              <w:t xml:space="preserve"> </w:t>
            </w:r>
            <w:r>
              <w:rPr>
                <w:rFonts w:cs="Times New Roman"/>
                <w:color w:val="000000"/>
                <w:sz w:val="24"/>
                <w:szCs w:val="24"/>
              </w:rPr>
              <w:t>mėnesių nuo sutarties pasirašymo dienos.</w:t>
            </w:r>
          </w:p>
          <w:p>
            <w:pPr>
              <w:pStyle w:val="Normal"/>
              <w:spacing w:lineRule="auto" w:line="240" w:before="0" w:after="0"/>
              <w:jc w:val="both"/>
              <w:rPr>
                <w:rFonts w:cs="Times New Roman"/>
                <w:color w:val="000000"/>
                <w:kern w:val="2"/>
                <w:sz w:val="24"/>
                <w:szCs w:val="24"/>
              </w:rPr>
            </w:pPr>
            <w:r>
              <w:rPr>
                <w:rFonts w:cs="Times New Roman"/>
                <w:color w:val="000000"/>
                <w:kern w:val="2"/>
                <w:sz w:val="24"/>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4.2. Paslaugų / jų dalies / etapo / periodo suteikimo termino pratęsimas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Paslaugų suteikimo terminas gali būti pratęsiamas tik minėtų aplinkybių egzistavimo laikotarpiui, bet ne ilgiau nei 2 mėnesių laikotarpiui.</w:t>
            </w:r>
          </w:p>
          <w:p>
            <w:pPr>
              <w:pStyle w:val="Normal"/>
              <w:rPr>
                <w:kern w:val="2"/>
                <w:szCs w:val="24"/>
              </w:rPr>
            </w:pPr>
            <w:r>
              <w:rPr>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4.3. Užsakymų teikimo tvarka</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Netaikoma</w:t>
            </w:r>
          </w:p>
          <w:p>
            <w:pPr>
              <w:pStyle w:val="Normal"/>
              <w:rPr>
                <w:szCs w:val="24"/>
              </w:rPr>
            </w:pPr>
            <w:r>
              <w:rPr>
                <w:szCs w:val="24"/>
              </w:rPr>
            </w:r>
          </w:p>
          <w:p>
            <w:pPr>
              <w:pStyle w:val="Normal"/>
              <w:rPr>
                <w:color w:val="FF0000"/>
                <w:szCs w:val="24"/>
              </w:rPr>
            </w:pPr>
            <w:r>
              <w:rPr>
                <w:color w:val="FF0000"/>
                <w:szCs w:val="24"/>
              </w:rPr>
            </w:r>
          </w:p>
        </w:tc>
      </w:tr>
      <w:tr>
        <w:trPr>
          <w:trHeight w:val="1315"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4.4. Dėl minimalios Užsakymo vertės ar apimties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4.5. Pateikiami dokumentai</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Turi būti pateikiami šie dokumentai:</w:t>
            </w:r>
            <w:r>
              <w:rPr>
                <w:color w:val="4472C4"/>
                <w:kern w:val="2"/>
                <w:szCs w:val="24"/>
              </w:rPr>
              <w:t xml:space="preserve"> </w:t>
            </w:r>
            <w:r>
              <w:rPr>
                <w:color w:val="000000"/>
                <w:kern w:val="2"/>
                <w:szCs w:val="24"/>
              </w:rPr>
              <w:t>Paslaugų perdavimo-priėmimo aktas, Sąskaita, p</w:t>
            </w:r>
            <w:r>
              <w:rPr>
                <w:rFonts w:cs="Times New Roman"/>
                <w:color w:val="000000"/>
                <w:sz w:val="24"/>
                <w:szCs w:val="24"/>
              </w:rPr>
              <w:t>arengtas ir patvirtintas projektas, suderintas su atsakingomis institucijomis (</w:t>
            </w:r>
            <w:r>
              <w:rPr>
                <w:rFonts w:cs="Times New Roman"/>
                <w:color w:val="000000"/>
                <w:kern w:val="2"/>
                <w:sz w:val="24"/>
                <w:szCs w:val="24"/>
              </w:rPr>
              <w:t xml:space="preserve"> 2 projekto egzemplioriai ir 1 skaitmeninis projekto egzempliorius)</w:t>
            </w:r>
            <w:r>
              <w:rPr>
                <w:color w:val="000000"/>
                <w:kern w:val="2"/>
                <w:szCs w:val="24"/>
              </w:rPr>
              <w:t>.</w:t>
            </w:r>
            <w:r>
              <w:rPr>
                <w:kern w:val="2"/>
                <w:szCs w:val="24"/>
              </w:rPr>
              <w:t xml:space="preserve"> Tiekėjui nepateikus nurodytų dokumentų, laikoma, kad Paslaugos neatitinka Sutartyje nustatytų reikalavimų.</w:t>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r>
          </w:p>
          <w:p>
            <w:pPr>
              <w:pStyle w:val="Normal"/>
              <w:rPr>
                <w:kern w:val="2"/>
                <w:szCs w:val="24"/>
              </w:rPr>
            </w:pPr>
            <w:r>
              <w:rPr>
                <w:kern w:val="2"/>
                <w:szCs w:val="24"/>
              </w:rPr>
              <w:t>Fiksuotos kainos kainodara</w:t>
            </w:r>
          </w:p>
          <w:p>
            <w:pPr>
              <w:pStyle w:val="Normal"/>
              <w:rPr>
                <w:kern w:val="2"/>
                <w:szCs w:val="24"/>
              </w:rPr>
            </w:pPr>
            <w:r>
              <w:rPr>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jc w:val="both"/>
              <w:rPr>
                <w:b/>
                <w:color w:val="FF0000"/>
                <w:kern w:val="2"/>
                <w:szCs w:val="24"/>
              </w:rPr>
            </w:pPr>
            <w:r>
              <w:rPr>
                <w:b/>
                <w:color w:val="FF0000"/>
                <w:kern w:val="2"/>
                <w:szCs w:val="24"/>
              </w:rPr>
            </w:r>
          </w:p>
          <w:p>
            <w:pPr>
              <w:pStyle w:val="Normal"/>
              <w:rPr>
                <w:b/>
                <w:kern w:val="2"/>
                <w:szCs w:val="24"/>
              </w:rPr>
            </w:pPr>
            <w:r>
              <w:rPr>
                <w:b/>
                <w:kern w:val="2"/>
                <w:szCs w:val="24"/>
              </w:rPr>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 xml:space="preserve">Pradinės Sutarties vertė yra </w:t>
            </w:r>
            <w:r>
              <w:rPr>
                <w:kern w:val="2"/>
                <w:szCs w:val="24"/>
              </w:rPr>
              <w:t>50000</w:t>
            </w:r>
            <w:r>
              <w:rPr>
                <w:kern w:val="2"/>
                <w:szCs w:val="24"/>
              </w:rPr>
              <w:t xml:space="preserve"> Eur </w:t>
            </w:r>
            <w:r>
              <w:rPr>
                <w:color w:val="000000"/>
                <w:kern w:val="2"/>
                <w:szCs w:val="24"/>
              </w:rPr>
              <w:t>(</w:t>
            </w:r>
            <w:r>
              <w:rPr>
                <w:color w:val="000000"/>
                <w:kern w:val="2"/>
                <w:szCs w:val="24"/>
              </w:rPr>
              <w:t>penkiasdešimt tūkstančių)</w:t>
            </w:r>
            <w:r>
              <w:rPr>
                <w:color w:val="000000"/>
                <w:kern w:val="2"/>
                <w:szCs w:val="24"/>
              </w:rPr>
              <w:t xml:space="preserve"> be PVM.</w:t>
            </w:r>
          </w:p>
          <w:p>
            <w:pPr>
              <w:pStyle w:val="Normal"/>
              <w:rPr>
                <w:szCs w:val="24"/>
              </w:rPr>
            </w:pPr>
            <w:r>
              <w:rPr>
                <w:kern w:val="2"/>
                <w:szCs w:val="24"/>
              </w:rPr>
              <w:t xml:space="preserve">PVM sudaro </w:t>
            </w:r>
            <w:r>
              <w:rPr>
                <w:kern w:val="2"/>
                <w:szCs w:val="24"/>
              </w:rPr>
              <w:t xml:space="preserve">10500 </w:t>
            </w:r>
            <w:r>
              <w:rPr>
                <w:color w:val="000000"/>
                <w:kern w:val="2"/>
                <w:szCs w:val="24"/>
              </w:rPr>
              <w:t>(</w:t>
            </w:r>
            <w:r>
              <w:rPr>
                <w:color w:val="000000"/>
                <w:kern w:val="2"/>
                <w:szCs w:val="24"/>
              </w:rPr>
              <w:t>dešimt tūkstančių penki šimtai</w:t>
            </w:r>
            <w:r>
              <w:rPr>
                <w:color w:val="000000"/>
                <w:kern w:val="2"/>
                <w:szCs w:val="24"/>
              </w:rPr>
              <w:t>)</w:t>
            </w:r>
            <w:r>
              <w:rPr>
                <w:color w:val="000000"/>
                <w:kern w:val="2"/>
                <w:szCs w:val="24"/>
              </w:rPr>
              <w:t xml:space="preserve"> Eur .</w:t>
            </w:r>
          </w:p>
          <w:p>
            <w:pPr>
              <w:pStyle w:val="Normal"/>
              <w:rPr>
                <w:color w:val="000000"/>
              </w:rPr>
            </w:pPr>
            <w:r>
              <w:rPr>
                <w:color w:val="000000"/>
                <w:kern w:val="2"/>
                <w:szCs w:val="24"/>
              </w:rPr>
              <w:t xml:space="preserve">Sutarties kaina yra </w:t>
            </w:r>
            <w:r>
              <w:rPr>
                <w:color w:val="000000"/>
                <w:kern w:val="2"/>
                <w:szCs w:val="24"/>
              </w:rPr>
              <w:t>60500</w:t>
            </w:r>
            <w:r>
              <w:rPr>
                <w:color w:val="000000"/>
                <w:kern w:val="2"/>
                <w:szCs w:val="24"/>
              </w:rPr>
              <w:t xml:space="preserve"> Eur </w:t>
            </w:r>
            <w:r>
              <w:rPr>
                <w:color w:val="000000"/>
                <w:kern w:val="2"/>
                <w:szCs w:val="24"/>
              </w:rPr>
              <w:t>(</w:t>
            </w:r>
            <w:r>
              <w:rPr>
                <w:color w:val="000000"/>
                <w:kern w:val="2"/>
                <w:szCs w:val="24"/>
              </w:rPr>
              <w:t>šešiasdešimt tūkstančių penki šimtai Eur</w:t>
            </w:r>
            <w:r>
              <w:rPr>
                <w:color w:val="000000"/>
                <w:kern w:val="2"/>
                <w:szCs w:val="24"/>
              </w:rPr>
              <w:t>)</w:t>
            </w:r>
            <w:r>
              <w:rPr>
                <w:color w:val="000000"/>
                <w:kern w:val="2"/>
                <w:szCs w:val="24"/>
              </w:rPr>
              <w:t xml:space="preserve"> su PVM.</w:t>
            </w:r>
          </w:p>
          <w:p>
            <w:pPr>
              <w:pStyle w:val="Normal"/>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pPr>
              <w:pStyle w:val="Normal"/>
              <w:rPr>
                <w:b/>
                <w:kern w:val="2"/>
                <w:szCs w:val="24"/>
              </w:rPr>
            </w:pPr>
            <w:r>
              <w:rPr>
                <w:b/>
                <w:kern w:val="2"/>
                <w:szCs w:val="24"/>
              </w:rPr>
            </w:r>
          </w:p>
          <w:p>
            <w:pPr>
              <w:pStyle w:val="Normal"/>
              <w:rPr>
                <w:kern w:val="2"/>
                <w:szCs w:val="24"/>
              </w:rPr>
            </w:pPr>
            <w:r>
              <w:rPr>
                <w:kern w:val="2"/>
                <w:szCs w:val="24"/>
              </w:rPr>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 xml:space="preserve">Sutarties </w:t>
            </w:r>
            <w:r>
              <w:rPr>
                <w:color w:val="000000"/>
                <w:kern w:val="2"/>
                <w:szCs w:val="24"/>
              </w:rPr>
              <w:t xml:space="preserve">kaina </w:t>
            </w:r>
            <w:r>
              <w:rPr>
                <w:kern w:val="2"/>
                <w:szCs w:val="24"/>
              </w:rPr>
              <w:t>bus perskaičiuojam</w:t>
            </w:r>
            <w:r>
              <w:rPr>
                <w:kern w:val="2"/>
                <w:szCs w:val="24"/>
              </w:rPr>
              <w:t>a</w:t>
            </w:r>
            <w:r>
              <w:rPr>
                <w:kern w:val="2"/>
                <w:szCs w:val="24"/>
              </w:rPr>
              <w:t>:</w:t>
            </w:r>
          </w:p>
          <w:p>
            <w:pPr>
              <w:pStyle w:val="Normal"/>
              <w:rPr>
                <w:color w:val="FF0000"/>
                <w:kern w:val="2"/>
                <w:szCs w:val="24"/>
              </w:rPr>
            </w:pPr>
            <w:r>
              <w:rPr>
                <w:kern w:val="2"/>
                <w:szCs w:val="24"/>
              </w:rPr>
              <w:t>5.3.1. dėl PVM tarifo pasikeitimo;</w:t>
            </w:r>
          </w:p>
          <w:p>
            <w:pPr>
              <w:pStyle w:val="Normal"/>
              <w:rPr>
                <w:color w:val="000000"/>
              </w:rPr>
            </w:pPr>
            <w:r>
              <w:rPr>
                <w:color w:val="000000"/>
                <w:kern w:val="2"/>
                <w:szCs w:val="24"/>
              </w:rPr>
              <w:t>5.3.2. dėl kainų lygio pokyčio.</w:t>
            </w:r>
          </w:p>
          <w:p>
            <w:pPr>
              <w:pStyle w:val="Normal"/>
              <w:rPr>
                <w:color w:val="FF0000"/>
                <w:kern w:val="2"/>
                <w:szCs w:val="24"/>
              </w:rPr>
            </w:pPr>
            <w:r>
              <w:rPr>
                <w:color w:val="FF0000"/>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 įkainių peržiūra dėl PVM tarifo pasikeitimo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pPr>
              <w:pStyle w:val="Normal"/>
              <w:rPr>
                <w:kern w:val="2"/>
                <w:szCs w:val="24"/>
              </w:rPr>
            </w:pPr>
            <w:r>
              <w:rPr>
                <w:kern w:val="2"/>
                <w:szCs w:val="24"/>
              </w:rPr>
            </w:r>
          </w:p>
          <w:p>
            <w:pPr>
              <w:pStyle w:val="Normal"/>
              <w:rPr>
                <w:kern w:val="2"/>
                <w:szCs w:val="24"/>
              </w:rPr>
            </w:pPr>
            <w:r>
              <w:rPr>
                <w:color w:val="000000"/>
                <w:kern w:val="2"/>
                <w:szCs w:val="24"/>
              </w:rPr>
              <w:t>Perskaičiavimas įforminamas Susitarimu ne vėliau kaip per 10 (dešimt) darbo dienų nuo PVM mokėjimą reglamentuojančių teisės aktų pasikeitimo, kuris tampa neatskiriama Sutarties dalimi. Perskaičiuota (-as) Sutarties kaina taikoma už tą Paslaugų dalį, kurios bus teikiamos nuo Susitarime nurodytos dienos.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5.3.3. Sutarties kainos / įkainių peržiūra dėl kainų lygio pokyčio</w:t>
            </w:r>
          </w:p>
          <w:p>
            <w:pPr>
              <w:pStyle w:val="Normal"/>
              <w:rPr>
                <w:kern w:val="2"/>
                <w:szCs w:val="24"/>
              </w:rPr>
            </w:pPr>
            <w:r>
              <w:rPr>
                <w:kern w:val="2"/>
                <w:szCs w:val="24"/>
              </w:rPr>
            </w:r>
          </w:p>
          <w:p>
            <w:pPr>
              <w:pStyle w:val="Normal"/>
              <w:rPr>
                <w:b/>
                <w:kern w:val="2"/>
                <w:szCs w:val="24"/>
              </w:rPr>
            </w:pPr>
            <w:r>
              <w:rPr>
                <w:b/>
                <w:kern w:val="2"/>
                <w:szCs w:val="24"/>
              </w:rPr>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 5.3.3.6 punkte, viršija 5 procentus. Sutarties kainos peržiūra atliekama ne dažniau kaip kas 6 (šeši) mėnesiai. 5.3.3.2. Sutarties kaina peržiūrima tik tai Sutarties daliai, kuri nėra išpirkta, t. y. Paslaugoms, kurios nėra priimtos ir apmokėtos. Vėlesnė Sutarties kainos peržiūra negali apimti laikotarpio, už kurį jau buvo atlikta peržiūra.</w:t>
            </w:r>
          </w:p>
          <w:p>
            <w:pPr>
              <w:pStyle w:val="Normal"/>
              <w:rPr>
                <w:color w:val="000000"/>
              </w:rPr>
            </w:pPr>
            <w:r>
              <w:rPr>
                <w:color w:val="000000"/>
                <w:kern w:val="2"/>
                <w:szCs w:val="24"/>
              </w:rPr>
              <w:t>5.3.3.3. Jeigu Paslaugų teikimas vėluoja dėl Tiekėjo kaltės, uždelstų suteikti Paslaugų kaina nėra perskaičiuojama dėl kainų lygio kilimo (gali būti mažinami, tačiau negali būti didinami). 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pPr>
              <w:pStyle w:val="Normal"/>
              <w:rPr>
                <w:color w:val="000000"/>
              </w:rPr>
            </w:pPr>
            <w:r>
              <w:rPr>
                <w:color w:val="000000"/>
                <w:kern w:val="2"/>
                <w:szCs w:val="24"/>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pPr>
              <w:pStyle w:val="Normal"/>
              <w:rPr>
                <w:color w:val="000000"/>
              </w:rPr>
            </w:pPr>
            <w:r>
              <w:rPr>
                <w:color w:val="000000"/>
                <w:kern w:val="2"/>
                <w:szCs w:val="24"/>
              </w:rPr>
              <w:t>5.3.3.6. Nauja Sutarties kaina apskaičiuojami pagal žemiau pateiktą formulę:</w:t>
            </w:r>
          </w:p>
          <w:p>
            <w:pPr>
              <w:pStyle w:val="Normal"/>
              <w:rPr>
                <w:kern w:val="2"/>
                <w:szCs w:val="24"/>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FF0000"/>
                <w:kern w:val="2"/>
                <w:szCs w:val="24"/>
              </w:rPr>
              <w:t xml:space="preserve">, </w:t>
            </w:r>
            <w:r>
              <w:rPr>
                <w:color w:val="000000"/>
                <w:kern w:val="2"/>
                <w:szCs w:val="24"/>
              </w:rPr>
              <w:t>kur a – kaina (Eur be PVM) (jei peržiūra jau buvo atlikta, tai po paskutinio perskaičiavimo) a</w:t>
            </w:r>
            <w:r>
              <w:rPr>
                <w:color w:val="000000"/>
                <w:kern w:val="2"/>
                <w:szCs w:val="24"/>
                <w:vertAlign w:val="subscript"/>
              </w:rPr>
              <w:t>1</w:t>
            </w:r>
            <w:r>
              <w:rPr>
                <w:color w:val="000000"/>
                <w:kern w:val="2"/>
                <w:szCs w:val="24"/>
              </w:rPr>
              <w:t xml:space="preserve"> – perskaičiuota (pakeista) kaina (Eur be PVM)</w:t>
            </w:r>
          </w:p>
          <w:p>
            <w:pPr>
              <w:pStyle w:val="Normal"/>
              <w:rPr>
                <w:color w:val="000000"/>
              </w:rPr>
            </w:pPr>
            <w:r>
              <w:rPr>
                <w:color w:val="000000"/>
                <w:kern w:val="2"/>
                <w:szCs w:val="24"/>
              </w:rPr>
              <w:t>k – pagal paslaugų kainų indeksą M7111 „Architektūros veikla“ apskaičiuotas paslaugų kainų pokytis (padidėjimas arba sumažėjimas) (%). „k“ reikšmė skaičiuojama pagal formulę:</w:t>
            </w:r>
          </w:p>
          <w:p>
            <w:pPr>
              <w:pStyle w:val="Normal"/>
              <w:rPr>
                <w:color w:val="000000"/>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000000"/>
                <w:kern w:val="2"/>
                <w:szCs w:val="24"/>
              </w:rPr>
              <w:t>, (proc.) kur</w:t>
            </w:r>
          </w:p>
          <w:p>
            <w:pPr>
              <w:pStyle w:val="Normal"/>
              <w:rPr>
                <w:color w:val="000000"/>
              </w:rPr>
            </w:pPr>
            <w:r>
              <w:rPr>
                <w:color w:val="000000"/>
                <w:kern w:val="2"/>
                <w:szCs w:val="24"/>
              </w:rPr>
              <w:t>Ind</w:t>
            </w:r>
            <w:r>
              <w:rPr>
                <w:color w:val="000000"/>
                <w:kern w:val="2"/>
                <w:szCs w:val="24"/>
                <w:vertAlign w:val="subscript"/>
              </w:rPr>
              <w:t>naujausias</w:t>
            </w:r>
            <w:r>
              <w:rPr>
                <w:color w:val="000000"/>
                <w:kern w:val="2"/>
                <w:szCs w:val="24"/>
              </w:rPr>
              <w:t xml:space="preserve"> – kreipimosi dėl kainos peržiūros išsiuntimo kitai Šaliai dieną paskelbtas naujausias paslaugų kainų indeksas M7111 „Architektūros veikla“.</w:t>
            </w:r>
          </w:p>
          <w:p>
            <w:pPr>
              <w:pStyle w:val="Normal"/>
              <w:rPr>
                <w:color w:val="000000"/>
              </w:rPr>
            </w:pPr>
            <w:r>
              <w:rPr>
                <w:color w:val="000000"/>
                <w:kern w:val="2"/>
                <w:szCs w:val="24"/>
              </w:rPr>
              <w:t>Ind</w:t>
            </w:r>
            <w:r>
              <w:rPr>
                <w:color w:val="000000"/>
                <w:kern w:val="2"/>
                <w:szCs w:val="24"/>
                <w:vertAlign w:val="subscript"/>
              </w:rPr>
              <w:t>pradžia</w:t>
            </w:r>
            <w:r>
              <w:rPr>
                <w:color w:val="000000"/>
                <w:kern w:val="2"/>
                <w:szCs w:val="24"/>
              </w:rPr>
              <w:t xml:space="preserve"> – laikotarpio pradžios datos (mėnesio) paslaugų kainų indeksas M7111 „Architektūros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rPr>
                <w:color w:val="000000"/>
              </w:rPr>
            </w:pPr>
            <w:r>
              <w:rPr>
                <w:color w:val="000000"/>
                <w:kern w:val="2"/>
                <w:szCs w:val="24"/>
              </w:rPr>
              <w:t>5.3.3.7. Skaičiavimams indeksų reikšmės imamos keturių skaitmenų po kablelio tikslumu. Apskaičiuotas pokytis (k) tolimesniems skaičiavimams naudojamas suapvalinus iki vieno skaitmens po kablelio, o apskaičiuotas įkainis „a</w:t>
            </w:r>
            <w:r>
              <w:rPr>
                <w:color w:val="000000"/>
                <w:kern w:val="2"/>
                <w:szCs w:val="24"/>
                <w:vertAlign w:val="subscript"/>
              </w:rPr>
              <w:t>1</w:t>
            </w:r>
            <w:r>
              <w:rPr>
                <w:color w:val="000000"/>
                <w:kern w:val="2"/>
                <w:szCs w:val="24"/>
              </w:rPr>
              <w:t>“ suapvalinamas iki dviejų skaitmenų po kablelio.</w:t>
            </w:r>
          </w:p>
          <w:p>
            <w:pPr>
              <w:pStyle w:val="Normal"/>
              <w:rPr>
                <w:color w:val="000000"/>
              </w:rPr>
            </w:pPr>
            <w:r>
              <w:rPr>
                <w:color w:val="000000"/>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pPr>
              <w:pStyle w:val="Normal"/>
              <w:rPr>
                <w:color w:val="000000"/>
              </w:rPr>
            </w:pPr>
            <w:r>
              <w:rPr>
                <w:color w:val="000000"/>
                <w:kern w:val="2"/>
                <w:szCs w:val="24"/>
              </w:rPr>
              <w:t>5.3.3.9. Susitarimas turi būti sudarytas per 10 (dešimt) darbo dienų nuo Šalies pateikto tinkamo prašymo perskaičiuoti Sutarties kainą gavimo dienos.</w:t>
            </w:r>
          </w:p>
          <w:p>
            <w:pPr>
              <w:pStyle w:val="Normal"/>
              <w:rPr>
                <w:color w:val="FF0000"/>
                <w:kern w:val="2"/>
                <w:szCs w:val="24"/>
              </w:rPr>
            </w:pPr>
            <w:r>
              <w:rPr>
                <w:color w:val="000000"/>
                <w:kern w:val="2"/>
                <w:szCs w:val="24"/>
              </w:rPr>
              <w:t>5.3.3.10. Susitarimu Šalys neturi teisės keisti procedūroje nurodytos tvarkos ar kitų Sutarties nuostatų, išskyrus, jei keitimas atliekamas pagal VPĮ nuostatas.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p>
            <w:pPr>
              <w:pStyle w:val="Normal"/>
              <w:rPr>
                <w:color w:val="4472C4"/>
                <w:kern w:val="2"/>
                <w:szCs w:val="24"/>
              </w:rPr>
            </w:pPr>
            <w:r>
              <w:rPr>
                <w:color w:val="4472C4"/>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shd w:fill="FFFFFF" w:val="clear"/>
              </w:rPr>
              <w:t>Pirkėjas atsiskaito su Tiekėju ne vėliau kaip per 30 kalendorinių dienų nuo Sąskaitos gavimo dienos.</w:t>
            </w:r>
          </w:p>
          <w:p>
            <w:pPr>
              <w:pStyle w:val="Normal"/>
              <w:rPr>
                <w:color w:val="000000"/>
              </w:rPr>
            </w:pPr>
            <w:r>
              <w:rPr>
                <w:color w:val="000000"/>
                <w:kern w:val="2"/>
                <w:szCs w:val="24"/>
                <w:shd w:fill="FFFFFF" w:val="clear"/>
              </w:rPr>
              <w:t>Apmokėjimo sąlygos :</w:t>
            </w:r>
          </w:p>
          <w:p>
            <w:pPr>
              <w:pStyle w:val="Normal"/>
              <w:rPr/>
            </w:pPr>
            <w:r>
              <w:rPr>
                <w:color w:val="000000"/>
                <w:kern w:val="2"/>
                <w:szCs w:val="24"/>
                <w:shd w:fill="FFFFFF" w:val="clear"/>
              </w:rPr>
              <w:t>1) įvykdžius visus sutartinius įsipareigojimus, sumokama visa Sutarties kaina</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Bet kuriuo Sutarties galiojimo metu nustačius Paslaugų trūkumų, Tiekėjas turi ne vėliau kaip per terminą, nurodytą rašytinėje pretenzijoje, pašalinti Paslaugų trūkumus.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 xml:space="preserve">6.3. Kokybinių kriterijų įgyvendinimo </w:t>
            </w:r>
            <w:r>
              <w:rPr>
                <w:b/>
                <w:bCs/>
                <w:szCs w:val="24"/>
              </w:rPr>
              <w:t xml:space="preserve">ir </w:t>
            </w:r>
            <w:r>
              <w:rPr>
                <w:b/>
                <w:szCs w:val="24"/>
              </w:rPr>
              <w:t>tikrinimo tvarka</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Pirkėjas bet kuriuo sutarties vykdymo metu gali paprašyti pateikti informaciją apie projekto vadovą. Projekto vadovu gali būti tik pasiūlyme nurodytas asmuo.</w:t>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7.1. Sutarties vykdymui pasitelkiami subtiekėjai ir (ar) specialistai</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kern w:val="2"/>
                <w:szCs w:val="24"/>
              </w:rPr>
              <w:t xml:space="preserve">Sutarties vykdymui pasitelkiami subtiekėjai ir (ar) specialistai yra nurodyti Sutarties priede Nr. </w:t>
            </w:r>
            <w:r>
              <w:rPr>
                <w:kern w:val="2"/>
                <w:szCs w:val="24"/>
              </w:rPr>
              <w:t>3</w:t>
            </w:r>
            <w:r>
              <w:rPr>
                <w:kern w:val="2"/>
                <w:szCs w:val="24"/>
              </w:rPr>
              <w:t xml:space="preserve"> „Sutarties vykdymui pasitelkiami subtiekėjai ir (ar) specialistai“</w:t>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Prievolių pagal Sutartį įvykdymas užtikrinamas:</w:t>
            </w:r>
          </w:p>
          <w:p>
            <w:pPr>
              <w:pStyle w:val="Normal"/>
              <w:rPr>
                <w:kern w:val="2"/>
                <w:szCs w:val="24"/>
              </w:rPr>
            </w:pPr>
            <w:r>
              <w:rPr>
                <w:kern w:val="2"/>
                <w:szCs w:val="24"/>
              </w:rPr>
              <w:t>Netesybomis (delspinigiais);</w:t>
            </w:r>
          </w:p>
          <w:p>
            <w:pPr>
              <w:pStyle w:val="Normal"/>
              <w:rPr>
                <w:color w:val="000000"/>
              </w:rPr>
            </w:pPr>
            <w:r>
              <w:rPr>
                <w:color w:val="000000"/>
                <w:kern w:val="2"/>
                <w:szCs w:val="24"/>
              </w:rPr>
              <w:t>Pirmo pareikalavimo banko garantija</w:t>
            </w:r>
          </w:p>
          <w:p>
            <w:pPr>
              <w:pStyle w:val="Normal"/>
              <w:rPr>
                <w:color w:val="000000"/>
              </w:rPr>
            </w:pPr>
            <w:r>
              <w:rPr>
                <w:color w:val="000000"/>
                <w:kern w:val="2"/>
                <w:szCs w:val="24"/>
              </w:rPr>
              <w:t>arba</w:t>
            </w:r>
          </w:p>
          <w:p>
            <w:pPr>
              <w:pStyle w:val="Normal"/>
              <w:rPr>
                <w:color w:val="000000"/>
              </w:rPr>
            </w:pPr>
            <w:r>
              <w:rPr>
                <w:color w:val="000000"/>
                <w:kern w:val="2"/>
                <w:szCs w:val="24"/>
              </w:rPr>
              <w:t>Draudimo bendrovės laidavimo draudimu</w:t>
            </w:r>
          </w:p>
          <w:p>
            <w:pPr>
              <w:pStyle w:val="ListParagraph"/>
              <w:ind w:left="0"/>
              <w:jc w:val="both"/>
              <w:rPr>
                <w:color w:val="000000"/>
              </w:rPr>
            </w:pPr>
            <w:r>
              <w:rPr>
                <w:color w:val="000000"/>
                <w:kern w:val="2"/>
                <w:szCs w:val="24"/>
              </w:rPr>
              <w:t>Sutarties įvykdymo užtikrinimo dydis – 3 (trys) proc. nuo Pradinės Sutarties vertės (Eur be PVM).</w:t>
            </w:r>
            <w:bookmarkStart w:id="0" w:name="_Hlk193440454"/>
            <w:bookmarkEnd w:id="0"/>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color w:val="000000"/>
                <w:kern w:val="2"/>
                <w:szCs w:val="24"/>
                <w:shd w:fill="FFFFFF" w:val="clear"/>
              </w:rPr>
              <w:t>Tiekėjas ne vėliau kaip per kaip 10 (dešimt) darbo dienų nuo Sutarties pasirašymo dienos turi pateikti Pirkėjui 3 (trijų) proc. nuo Pradinės Sutarties vertės (Eur be PVM) dydžio pirmo pareikalavimo banko garantiją arba draudimo bendrovės laidavimo draudimo raštą</w:t>
            </w:r>
            <w:r>
              <w:rPr>
                <w:rFonts w:eastAsia="Cambria"/>
                <w:color w:val="000000"/>
                <w:kern w:val="2"/>
                <w:szCs w:val="24"/>
                <w:shd w:fill="FFFFFF" w:val="clear"/>
              </w:rPr>
              <w:t>(kartu su draudimo bendrovės laidavimo draudimo raštu turi būti pateiktas ir pasirašytas draudimo liudijimas (polisas) bei dokumentas, įrodantis, kad draudimo įmoka už išduotą laidavimo draudimo raštą yra sumokėta)</w:t>
            </w:r>
            <w:r>
              <w:rPr>
                <w:color w:val="000000"/>
                <w:kern w:val="2"/>
                <w:szCs w:val="24"/>
                <w:shd w:fill="FFFFFF" w:val="clear"/>
              </w:rPr>
              <w:t>, atitinkančius Bendrųjų sąlygų 10 skyriaus reikalavimus. Esant poreikiui, gavus Tiekėjo prašymą, šis terminas gali būti pratęstas Šalių suderintam terminui.</w:t>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 Pirkėjui taikomos netesybos už mokėjimų pagal Sutartį vėlavimą</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9.2. Tiekėjui taikomos netesybos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pPr>
              <w:pStyle w:val="Normal"/>
              <w:rPr>
                <w:color w:val="000000"/>
                <w:kern w:val="2"/>
                <w:szCs w:val="24"/>
              </w:rPr>
            </w:pPr>
            <w:r>
              <w:rPr>
                <w:color w:val="000000"/>
                <w:kern w:val="2"/>
                <w:szCs w:val="24"/>
              </w:rPr>
            </w:r>
          </w:p>
          <w:p>
            <w:pPr>
              <w:pStyle w:val="Normal"/>
              <w:rPr>
                <w:b w:val="false"/>
                <w:bCs w:val="false"/>
              </w:rPr>
            </w:pPr>
            <w:r>
              <w:rPr>
                <w:b w:val="false"/>
                <w:bCs w:val="false"/>
                <w:color w:val="000000"/>
                <w:kern w:val="2"/>
                <w:szCs w:val="24"/>
              </w:rPr>
              <w:t>9.2.2. Tiekėjas privalo sumokėti Pirkėjui netesybas per 30 dienų nuo Pirkėjo pareikalavimo, jeigu netesybų suma nėra išskaitoma iš Tiekėjui mokėtinos sumos.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9.3.1. Nutraukus Sutartį dėl esminio Sutarties pažeidimo, nustatyto Sutarties Specialiosiose sąlygose, mokama 5 procentų dydžio bauda nuo Pradinės Sutarties vertės, nurodytos Specialiųjų sąlygų 5.2 punkte.</w:t>
            </w:r>
          </w:p>
          <w:p>
            <w:pPr>
              <w:pStyle w:val="Normal"/>
              <w:rPr>
                <w:kern w:val="2"/>
                <w:szCs w:val="24"/>
              </w:rPr>
            </w:pPr>
            <w:r>
              <w:rPr>
                <w:kern w:val="2"/>
                <w:szCs w:val="24"/>
              </w:rPr>
            </w:r>
          </w:p>
          <w:p>
            <w:pPr>
              <w:pStyle w:val="Normal"/>
              <w:rPr>
                <w:color w:val="000000"/>
              </w:rPr>
            </w:pPr>
            <w:r>
              <w:rPr>
                <w:color w:val="000000"/>
                <w:kern w:val="2"/>
                <w:szCs w:val="24"/>
              </w:rPr>
              <w:t>9.3.2. Nepagrįstai nutraukus Sutarties vykdymą ne Sutartyje nustatyta tvarka, mokama 5 procentų dydžio bauda nuo Pradinės Sutarties vertės, nurodytos Specialiųjų sąlygų 5.2 punkte.</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500 Eur (penki šimtai Eur) taikoma už kiekvieną pažeidimo atvejį, įvertinant ir tai, ar Sutartį gali vykdyti subtiekėjas ir (ar) specialistas, kurio kvalifikacija buvo vertinama kokybiniams kriterijams pagrįsti)</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color w:val="000000"/>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9.7. Tiekėjui taikomos netesybos dėl pirkimo dokumentuose nustatytų kokybinių kriterijų nepasiekimo Sutarties vykdymo metu</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b w:val="false"/>
                <w:bCs w:val="false"/>
                <w:color w:val="000000"/>
                <w:szCs w:val="24"/>
              </w:rPr>
            </w:pPr>
            <w:r>
              <w:rPr>
                <w:b w:val="false"/>
                <w:bCs w:val="false"/>
                <w:color w:val="000000"/>
                <w:szCs w:val="24"/>
              </w:rPr>
              <w:t>Netaikoma</w:t>
            </w:r>
          </w:p>
          <w:p>
            <w:pPr>
              <w:pStyle w:val="Normal"/>
              <w:rPr>
                <w:color w:val="FF0000"/>
                <w:kern w:val="2"/>
                <w:szCs w:val="24"/>
              </w:rPr>
            </w:pPr>
            <w:r>
              <w:rPr>
                <w:color w:val="FF0000"/>
                <w:kern w:val="2"/>
                <w:szCs w:val="24"/>
              </w:rPr>
            </w:r>
          </w:p>
        </w:tc>
      </w:tr>
      <w:tr>
        <w:trPr>
          <w:trHeight w:val="1291"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bCs/>
                <w:szCs w:val="24"/>
              </w:rPr>
              <w:t>nepratęsimo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p>
            <w:pPr>
              <w:pStyle w:val="Normal"/>
              <w:rPr>
                <w:color w:val="000000"/>
                <w:szCs w:val="24"/>
              </w:rPr>
            </w:pPr>
            <w:r>
              <w:rPr>
                <w:color w:val="000000"/>
                <w:kern w:val="2"/>
                <w:szCs w:val="24"/>
              </w:rPr>
              <w:t>Netaikoma</w:t>
            </w:r>
          </w:p>
          <w:p>
            <w:pPr>
              <w:pStyle w:val="Normal"/>
              <w:rPr>
                <w:color w:val="4472C4"/>
                <w:kern w:val="2"/>
                <w:szCs w:val="24"/>
              </w:rPr>
            </w:pPr>
            <w:r>
              <w:rPr>
                <w:color w:val="4472C4"/>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9.9. </w:t>
            </w:r>
            <w:r>
              <w:rPr>
                <w:b/>
                <w:kern w:val="2"/>
                <w:szCs w:val="24"/>
              </w:rPr>
              <w:t>Kitos netesybos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Netaikoma</w:t>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b/>
                <w:kern w:val="2"/>
                <w:szCs w:val="24"/>
              </w:rPr>
              <w:t>10. ESMINĖS SUTARTIES SĄLYGOS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10.1. </w:t>
            </w:r>
            <w:r>
              <w:rPr>
                <w:b/>
                <w:kern w:val="2"/>
                <w:szCs w:val="24"/>
              </w:rPr>
              <w:t>Esminės Sutarties sąlygos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Esminėmis laikomos šios sutarties sąlygos:</w:t>
            </w:r>
          </w:p>
          <w:p>
            <w:pPr>
              <w:pStyle w:val="Normal"/>
              <w:rPr>
                <w:kern w:val="2"/>
                <w:szCs w:val="24"/>
              </w:rPr>
            </w:pPr>
            <w:r>
              <w:rPr>
                <w:kern w:val="2"/>
                <w:szCs w:val="24"/>
              </w:rPr>
              <w:t>1. Paslaugų teikimo terminas</w:t>
            </w:r>
          </w:p>
          <w:p>
            <w:pPr>
              <w:pStyle w:val="Normal"/>
              <w:rPr>
                <w:kern w:val="2"/>
                <w:szCs w:val="24"/>
              </w:rPr>
            </w:pPr>
            <w:r>
              <w:rPr>
                <w:kern w:val="2"/>
                <w:szCs w:val="24"/>
              </w:rPr>
            </w:r>
          </w:p>
          <w:p>
            <w:pPr>
              <w:pStyle w:val="Normal"/>
              <w:rPr>
                <w:color w:val="4472C4"/>
                <w:kern w:val="2"/>
                <w:szCs w:val="24"/>
              </w:rPr>
            </w:pPr>
            <w:r>
              <w:rPr>
                <w:color w:val="4472C4"/>
                <w:kern w:val="2"/>
                <w:szCs w:val="24"/>
              </w:rPr>
            </w:r>
          </w:p>
        </w:tc>
      </w:tr>
      <w:tr>
        <w:trPr>
          <w:trHeight w:val="300" w:hRule="atLeast"/>
        </w:trPr>
        <w:tc>
          <w:tcPr>
            <w:tcW w:w="3093" w:type="dxa"/>
            <w:tcBorders>
              <w:left w:val="single" w:sz="4" w:space="0" w:color="000000"/>
              <w:bottom w:val="single" w:sz="4" w:space="0" w:color="000000"/>
              <w:right w:val="single" w:sz="4" w:space="0" w:color="000000"/>
            </w:tcBorders>
          </w:tcPr>
          <w:p>
            <w:pPr>
              <w:pStyle w:val="Normal"/>
              <w:rPr>
                <w:b/>
                <w:kern w:val="2"/>
                <w:szCs w:val="24"/>
                <w:lang w:val="en-US"/>
              </w:rPr>
            </w:pPr>
            <w:r>
              <w:rPr>
                <w:b/>
                <w:bCs/>
              </w:rPr>
              <w:t>10.2. Dideli arba nuolatiniai esminės Sutarties sąlygos vykdymo trūkumai</w:t>
            </w:r>
          </w:p>
        </w:tc>
        <w:tc>
          <w:tcPr>
            <w:tcW w:w="6437" w:type="dxa"/>
            <w:gridSpan w:val="3"/>
            <w:tcBorders>
              <w:left w:val="single" w:sz="4" w:space="0" w:color="000000"/>
              <w:bottom w:val="single" w:sz="4" w:space="0" w:color="000000"/>
              <w:right w:val="single" w:sz="4" w:space="0" w:color="000000"/>
            </w:tcBorders>
          </w:tcPr>
          <w:p>
            <w:pPr>
              <w:pStyle w:val="Normal"/>
              <w:rPr>
                <w:color w:val="000000"/>
              </w:rPr>
            </w:pPr>
            <w:r>
              <w:rPr>
                <w:color w:val="000000"/>
                <w:lang w:val="lt-LT"/>
              </w:rPr>
              <w:t>1. Dideliu ar nuolatiniu esminės Sutarties sąlygos vykdymo trūkumu laikomas tiekėjo uždelsimas, trunkantis daugiau nei 1 mėn. suteikti paslaugas Techninėje specifikacijoje nustatytu terminu.</w:t>
            </w:r>
          </w:p>
          <w:p>
            <w:pPr>
              <w:pStyle w:val="Normal"/>
              <w:rPr>
                <w:kern w:val="2"/>
                <w:szCs w:val="24"/>
              </w:rPr>
            </w:pPr>
            <w:r>
              <w:rPr>
                <w:kern w:val="2"/>
                <w:szCs w:val="24"/>
              </w:rPr>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11.1. Sutarties sudarymas ir įsigaliojimas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Ši Sutartis laikoma sudaryta ir įsigalioja nuo Sutarties pasirašymo dienos (antrosios Šalies pasirašymo dieną).</w:t>
            </w:r>
          </w:p>
          <w:p>
            <w:pPr>
              <w:pStyle w:val="Normal"/>
              <w:rPr>
                <w:color w:val="4472C4"/>
                <w:kern w:val="2"/>
                <w:szCs w:val="24"/>
              </w:rPr>
            </w:pPr>
            <w:r>
              <w:rPr>
                <w:color w:val="000000"/>
                <w:kern w:val="2"/>
                <w:szCs w:val="24"/>
              </w:rPr>
              <w:t>Sutartis galioja iki visiško prievolių įvykdymo (kol bus išnaudota Pradinės Sutarties vertė, bet jos terminas negali būti ilgesnis kaip 13 mėn. (atsižvelgus į Paslaugų priėmimo ir apmokėjimo už Paslaugas terminus).</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3"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11.2. Sutarties galiojimo termino pratęsimas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kern w:val="2"/>
                <w:szCs w:val="24"/>
              </w:rPr>
              <w:t xml:space="preserve">Šalių abipusiu rašytiniu Susitarimu Sutartis tomis pačiomis sąlygomis </w:t>
            </w:r>
            <w:r>
              <w:rPr>
                <w:color w:val="000000"/>
                <w:szCs w:val="24"/>
              </w:rPr>
              <w:t xml:space="preserve">nedidinant Sutarties kainos </w:t>
            </w:r>
            <w:r>
              <w:rPr>
                <w:color w:val="000000"/>
                <w:kern w:val="2"/>
                <w:szCs w:val="24"/>
              </w:rPr>
              <w:t xml:space="preserve">gali būti pratęsta </w:t>
            </w:r>
            <w:r>
              <w:rPr>
                <w:color w:val="000000"/>
                <w:kern w:val="2"/>
                <w:szCs w:val="24"/>
                <w:shd w:fill="auto" w:val="clear"/>
              </w:rPr>
              <w:t>1 (vieną) kartą 1 (vienam)</w:t>
            </w:r>
            <w:r>
              <w:rPr>
                <w:color w:val="000000"/>
                <w:kern w:val="2"/>
                <w:szCs w:val="24"/>
              </w:rPr>
              <w:t xml:space="preserve"> mėnesiui, jeigu yra iškilęs poreikis ir esant šiai (šioms) aplinkybėms:</w:t>
            </w:r>
          </w:p>
          <w:p>
            <w:pPr>
              <w:pStyle w:val="Normal"/>
              <w:rPr>
                <w:color w:val="000000"/>
              </w:rPr>
            </w:pPr>
            <w:r>
              <w:rPr>
                <w:rFonts w:eastAsia="Calibri"/>
                <w:color w:val="000000"/>
                <w:szCs w:val="24"/>
              </w:rPr>
              <w:t>11.2.1. Teikėjas Pasaugas suteikė nepraleisdamas Paslaugų teikimo terminų / Paslaugų suteikimo terminas buvo praleistas ne daugiau nei 2 dienas;</w:t>
            </w:r>
          </w:p>
          <w:p>
            <w:pPr>
              <w:pStyle w:val="Normal"/>
              <w:rPr>
                <w:color w:val="000000"/>
              </w:rPr>
            </w:pPr>
            <w:r>
              <w:rPr>
                <w:rFonts w:eastAsia="Calibri"/>
                <w:color w:val="000000"/>
                <w:szCs w:val="24"/>
              </w:rPr>
              <w:t>11.2.2. Paslaugos suteiktos be trūkumų;</w:t>
            </w:r>
          </w:p>
          <w:p>
            <w:pPr>
              <w:pStyle w:val="Normal"/>
              <w:rPr>
                <w:color w:val="000000"/>
              </w:rPr>
            </w:pPr>
            <w:r>
              <w:rPr>
                <w:rFonts w:eastAsia="Calibri"/>
                <w:color w:val="000000"/>
                <w:kern w:val="2"/>
                <w:szCs w:val="24"/>
              </w:rPr>
              <w:t>11.2.3. Tiekėjas visą Sutarties vykdymo laikotarpį laikėsi Tiekėjo pasiūlyme nurodytų įsipareigojimų dėl kokybinių kriterijų;</w:t>
            </w:r>
          </w:p>
          <w:p>
            <w:pPr>
              <w:pStyle w:val="Normal"/>
              <w:rPr>
                <w:color w:val="FF0000"/>
                <w:kern w:val="2"/>
                <w:szCs w:val="24"/>
              </w:rPr>
            </w:pPr>
            <w:r>
              <w:rPr>
                <w:color w:val="FF0000"/>
                <w:kern w:val="2"/>
                <w:szCs w:val="24"/>
              </w:rPr>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12.1. Sutarties nutraukimo pagrindai</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Sutartis gali būti nutraukiama rašytiniu Šalių susitarimu arba vienašališkai, Bendrosiose sąlygose nustatyta tvarka.</w:t>
            </w:r>
          </w:p>
          <w:p>
            <w:pPr>
              <w:pStyle w:val="Normal"/>
              <w:rPr>
                <w:color w:val="FF0000"/>
                <w:kern w:val="2"/>
                <w:szCs w:val="24"/>
              </w:rPr>
            </w:pPr>
            <w:r>
              <w:rPr>
                <w:color w:val="FF0000"/>
                <w:kern w:val="2"/>
                <w:szCs w:val="24"/>
              </w:rPr>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12.2.1. jeigu Tiekėjas nevykdo prisiimtų įsipareigojimų už Sutartyje nustatytą Sutarties kainą;</w:t>
            </w:r>
          </w:p>
          <w:p>
            <w:pPr>
              <w:pStyle w:val="Normal"/>
              <w:rPr>
                <w:color w:val="000000"/>
              </w:rPr>
            </w:pPr>
            <w:r>
              <w:rPr>
                <w:color w:val="000000"/>
                <w:szCs w:val="24"/>
              </w:rPr>
              <w:t>12.2.2. jeigu Tiekėjas nepateikia Sutarties įvykdymo užtikrinimo pratęsimo ilgiau kaip 10 (dešimt) dienų nuo galiojančio Sutarties įvykdymo užtikrinimo termino pabaigos Bendrosiose sąlygose nustatyta tvarka (išskyrus pirminį Sutarties įvykdymo užtikrinimą);</w:t>
            </w:r>
          </w:p>
          <w:p>
            <w:pPr>
              <w:pStyle w:val="Normal"/>
              <w:rPr>
                <w:color w:val="000000"/>
              </w:rPr>
            </w:pPr>
            <w:r>
              <w:rPr>
                <w:color w:val="000000"/>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pPr>
              <w:pStyle w:val="Normal"/>
              <w:spacing w:lineRule="auto" w:line="252"/>
              <w:jc w:val="both"/>
              <w:rPr>
                <w:color w:val="000000"/>
              </w:rPr>
            </w:pPr>
            <w:r>
              <w:rPr>
                <w:rFonts w:eastAsia="Arial"/>
                <w:color w:val="000000"/>
                <w:kern w:val="2"/>
                <w:szCs w:val="24"/>
                <w:lang w:val="lt-LT"/>
              </w:rPr>
              <w:t>12.2.4. jeigu Tiekėjas nesilaiko Sutartyje nustatytų Paslaugų teikimo terminų 2 (du) kartus iš eilės arba vėluoja suteikti Paslaugas daugiau nei 10 darbo dienų nuo Sutartyje nustatyto Paslaugų suteikimo termino;</w:t>
            </w:r>
          </w:p>
          <w:p>
            <w:pPr>
              <w:pStyle w:val="Normal"/>
              <w:tabs>
                <w:tab w:val="clear" w:pos="1296"/>
                <w:tab w:val="left" w:pos="567" w:leader="none"/>
                <w:tab w:val="left" w:pos="851" w:leader="none"/>
                <w:tab w:val="left" w:pos="992" w:leader="none"/>
                <w:tab w:val="left" w:pos="1134" w:leader="none"/>
              </w:tabs>
              <w:spacing w:lineRule="auto" w:line="252"/>
              <w:jc w:val="both"/>
              <w:rPr>
                <w:color w:val="000000"/>
              </w:rPr>
            </w:pPr>
            <w:r>
              <w:rPr>
                <w:rFonts w:eastAsia="Arial"/>
                <w:color w:val="000000"/>
                <w:kern w:val="2"/>
                <w:szCs w:val="24"/>
                <w:lang w:val="lt-LT"/>
              </w:rPr>
              <w:t>12.2.5.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color w:val="000000"/>
              </w:rPr>
            </w:pPr>
            <w:r>
              <w:rPr>
                <w:rFonts w:eastAsia="Arial"/>
                <w:color w:val="000000"/>
                <w:kern w:val="2"/>
                <w:szCs w:val="24"/>
                <w:lang w:val="lt-LT"/>
              </w:rPr>
              <w:t>12.2.6.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2"/>
              <w:jc w:val="both"/>
              <w:rPr>
                <w:color w:val="000000"/>
              </w:rPr>
            </w:pPr>
            <w:r>
              <w:rPr>
                <w:rFonts w:eastAsia="Arial"/>
                <w:color w:val="000000"/>
                <w:kern w:val="2"/>
                <w:szCs w:val="24"/>
                <w:lang w:val="lt-LT"/>
              </w:rPr>
              <w:t>12.2.7. Tiekėjas daugiau kaip 2 (du) kartus suteikia Paslaugas, kurios neatitinka Sutartyje ir (ar) įstatymuose nustatytų reikalavimų Paslaugoms;</w:t>
            </w:r>
          </w:p>
          <w:p>
            <w:pPr>
              <w:pStyle w:val="Normal"/>
              <w:tabs>
                <w:tab w:val="clear" w:pos="1296"/>
                <w:tab w:val="left" w:pos="567" w:leader="none"/>
                <w:tab w:val="left" w:pos="851" w:leader="none"/>
                <w:tab w:val="left" w:pos="992" w:leader="none"/>
                <w:tab w:val="left" w:pos="1134" w:leader="none"/>
              </w:tabs>
              <w:spacing w:lineRule="auto" w:line="252"/>
              <w:jc w:val="both"/>
              <w:rPr>
                <w:color w:val="000000"/>
              </w:rPr>
            </w:pPr>
            <w:r>
              <w:rPr>
                <w:rFonts w:eastAsia="Arial"/>
                <w:color w:val="000000"/>
                <w:kern w:val="2"/>
                <w:szCs w:val="24"/>
                <w:lang w:val="lt-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spacing w:lineRule="auto" w:line="252"/>
              <w:rPr>
                <w:color w:val="000000"/>
              </w:rPr>
            </w:pPr>
            <w:r>
              <w:rPr>
                <w:rFonts w:eastAsia="Arial"/>
                <w:color w:val="000000"/>
                <w:kern w:val="2"/>
                <w:szCs w:val="24"/>
                <w:lang w:val="lt-LT"/>
              </w:rPr>
              <w:t>12.2.9. Tiekėjas pažeidžia Bendrųjų sąlygų nuostatas dėl Sutarties vykdymui pasitelkiamų naujų subtiekėjų ir (ar) specialistų / esamų subtiekėjų ir (ar) specialistų keitimo;</w:t>
            </w:r>
          </w:p>
          <w:p>
            <w:pPr>
              <w:pStyle w:val="Normal"/>
              <w:spacing w:lineRule="auto" w:line="252"/>
              <w:rPr>
                <w:color w:val="000000"/>
              </w:rPr>
            </w:pPr>
            <w:r>
              <w:rPr>
                <w:rFonts w:eastAsia="Arial"/>
                <w:color w:val="000000"/>
                <w:kern w:val="2"/>
                <w:szCs w:val="24"/>
                <w:lang w:val="lt-LT"/>
              </w:rPr>
              <w:t>12.2.10. Tiekėjas 2 (du) kartus pažeidžia esminę Sutarties sąlygą.</w:t>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b/>
                <w:kern w:val="2"/>
                <w:szCs w:val="24"/>
              </w:rPr>
              <w:t>13. APLINKOS APSAUGOS IR SOCIALINIAI KRITERIJAI</w:t>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13.1. Su perkamomis paslaugomis susiję  aplinkos apsaugos kriterijai</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p>
            <w:pPr>
              <w:pStyle w:val="Normal"/>
              <w:rPr>
                <w:color w:val="FF0000"/>
                <w:kern w:val="2"/>
                <w:szCs w:val="24"/>
                <w:shd w:fill="FFFFFF" w:val="clear"/>
              </w:rPr>
            </w:pPr>
            <w:r>
              <w:rPr>
                <w:color w:val="FF0000"/>
                <w:kern w:val="2"/>
                <w:szCs w:val="24"/>
                <w:shd w:fill="FFFFFF" w:val="clear"/>
              </w:rPr>
            </w:r>
          </w:p>
          <w:p>
            <w:pPr>
              <w:pStyle w:val="Normal"/>
              <w:rPr>
                <w:kern w:val="2"/>
                <w:szCs w:val="24"/>
              </w:rPr>
            </w:pPr>
            <w:r>
              <w:rPr>
                <w:kern w:val="2"/>
                <w:szCs w:val="24"/>
              </w:rPr>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13.2. Su perkamomis Paslaugomis susiję socialiniai kriterijai</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p>
            <w:pPr>
              <w:pStyle w:val="Normal"/>
              <w:rPr>
                <w:color w:val="FF0000"/>
                <w:kern w:val="2"/>
                <w:szCs w:val="24"/>
                <w:shd w:fill="FFFFFF" w:val="clear"/>
              </w:rPr>
            </w:pPr>
            <w:r>
              <w:rPr>
                <w:color w:val="FF0000"/>
                <w:kern w:val="2"/>
                <w:szCs w:val="24"/>
                <w:shd w:fill="FFFFFF" w:val="clear"/>
              </w:rPr>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14. BENDRŲJŲ SĄLYGŲ PAKEITIMAI IR PAPILDYMAI</w:t>
            </w:r>
          </w:p>
          <w:p>
            <w:pPr>
              <w:pStyle w:val="Normal"/>
              <w:jc w:val="center"/>
              <w:rPr>
                <w:kern w:val="2"/>
                <w:szCs w:val="24"/>
              </w:rPr>
            </w:pPr>
            <w:r>
              <w:rPr>
                <w:kern w:val="2"/>
                <w:szCs w:val="24"/>
              </w:rPr>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14.1.</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14.2.</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_______.</w:t>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14.3.</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__.</w:t>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14.4.</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0070C0"/>
                <w:kern w:val="2"/>
                <w:szCs w:val="24"/>
              </w:rPr>
            </w:pPr>
            <w:r>
              <w:rPr>
                <w:color w:val="0070C0"/>
                <w:kern w:val="2"/>
                <w:szCs w:val="24"/>
              </w:rPr>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14.5.</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trPr>
          <w:trHeight w:val="300" w:hRule="atLeast"/>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15.1. Priedas Nr. 1</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left"/>
              <w:rPr>
                <w:b/>
                <w:kern w:val="2"/>
                <w:szCs w:val="24"/>
              </w:rPr>
            </w:pPr>
            <w:r>
              <w:rPr>
                <w:b/>
                <w:kern w:val="2"/>
                <w:szCs w:val="24"/>
              </w:rPr>
              <w:t>Projektavimo užduotis</w:t>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15.2. Priedas Nr. 2</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left"/>
              <w:rPr>
                <w:b/>
                <w:kern w:val="2"/>
                <w:szCs w:val="24"/>
              </w:rPr>
            </w:pPr>
            <w:r>
              <w:rPr>
                <w:b/>
                <w:kern w:val="2"/>
                <w:szCs w:val="24"/>
              </w:rPr>
              <w:t>Pasiūlymas</w:t>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15.3. Priedas Nr. 3</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left"/>
              <w:rPr>
                <w:b/>
                <w:kern w:val="2"/>
                <w:szCs w:val="24"/>
              </w:rPr>
            </w:pPr>
            <w:r>
              <w:rPr>
                <w:b/>
                <w:kern w:val="2"/>
                <w:szCs w:val="24"/>
              </w:rPr>
              <w:t>S</w:t>
            </w:r>
            <w:r>
              <w:rPr>
                <w:b/>
                <w:kern w:val="2"/>
                <w:szCs w:val="24"/>
              </w:rPr>
              <w:t>utarties vykdymui pasitelkiamų s</w:t>
            </w:r>
            <w:r>
              <w:rPr>
                <w:b/>
                <w:kern w:val="2"/>
                <w:szCs w:val="24"/>
              </w:rPr>
              <w:t>pecialistų sąrašas</w:t>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15.4. Priedas Nr. 4</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left"/>
              <w:rPr>
                <w:b/>
                <w:kern w:val="2"/>
                <w:szCs w:val="24"/>
              </w:rPr>
            </w:pPr>
            <w:r>
              <w:rPr/>
            </w:r>
          </w:p>
        </w:tc>
      </w:tr>
      <w:tr>
        <w:trPr>
          <w:trHeight w:val="300" w:hRule="atLeast"/>
        </w:trPr>
        <w:tc>
          <w:tcPr>
            <w:tcW w:w="3176"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15.5. Priedas Nr. 5</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tc>
      </w:tr>
      <w:tr>
        <w:trPr/>
        <w:tc>
          <w:tcPr>
            <w:tcW w:w="953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16. ŠALIŲ ATSTOVŲ PARAŠAI</w:t>
            </w:r>
          </w:p>
        </w:tc>
      </w:tr>
      <w:tr>
        <w:trPr/>
        <w:tc>
          <w:tcPr>
            <w:tcW w:w="5223"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30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3"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kern w:val="2"/>
                <w:szCs w:val="24"/>
              </w:rPr>
              <w:t>Administracijos direktorė Jūratė Mickevičienė</w:t>
            </w:r>
          </w:p>
        </w:tc>
        <w:tc>
          <w:tcPr>
            <w:tcW w:w="4307"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rPr>
            </w:pPr>
            <w:r>
              <w:rPr>
                <w:b w:val="false"/>
                <w:bCs w:val="false"/>
                <w:color w:val="000000"/>
                <w:kern w:val="2"/>
                <w:szCs w:val="24"/>
              </w:rPr>
              <w:t>Vadovas Aurimas Vengris</w:t>
            </w:r>
          </w:p>
        </w:tc>
      </w:tr>
      <w:tr>
        <w:trPr/>
        <w:tc>
          <w:tcPr>
            <w:tcW w:w="5223"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307"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567" w:gutter="0" w:header="720" w:top="1134" w:footer="72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61"/>
  <w:defaultTabStop w:val="1296"/>
  <w:autoHyphenation w:val="true"/>
  <w:doNotHyphenateCaps/>
  <w:hyphenationZone w:val="396"/>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Galinsinaosramenys">
    <w:name w:val="Galinės išnašos rašmenys"/>
    <w:qFormat/>
    <w:rPr/>
  </w:style>
  <w:style w:type="character" w:styleId="Hyperlink">
    <w:name w:val="Hyperlink"/>
    <w:rPr>
      <w:color w:val="000080"/>
      <w:u w:val="single"/>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Puslapinantratirporat">
    <w:name w:val="Puslapinė antraštė ir poraštė"/>
    <w:basedOn w:val="Normal"/>
    <w:qFormat/>
    <w:pPr/>
    <w:rPr/>
  </w:style>
  <w:style w:type="paragraph" w:styleId="Header">
    <w:name w:val="Header"/>
    <w:basedOn w:val="Puslapinantratirporat"/>
    <w:pPr/>
    <w:rPr/>
  </w:style>
  <w:style w:type="paragraph" w:styleId="Footer">
    <w:name w:val="Footer"/>
    <w:basedOn w:val="Puslapinantratirporat"/>
    <w:pPr/>
    <w:rPr/>
  </w:style>
  <w:style w:type="paragraph" w:styleId="ListParagraph">
    <w:name w:val="List Paragraph"/>
    <w:basedOn w:val="Normal"/>
    <w:qFormat/>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dita.jakimaviciute@prienai.l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511</TotalTime>
  <Application>LibreOffice/24.2.0.3$Windows_X86_64 LibreOffice_project/da48488a73ddd66ea24cf16bbc4f7b9c08e9bea1</Application>
  <AppVersion>15.0000</AppVersion>
  <Pages>9</Pages>
  <Words>2312</Words>
  <Characters>16158</Characters>
  <CharactersWithSpaces>18267</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2025-01-10T07:10:00Z</dcterms:created>
  <dc:creator>Rasa Politikienė</dc:creator>
  <dc:description/>
  <dc:language>lt-LT</dc:language>
  <cp:lastModifiedBy/>
  <cp:lastPrinted>2017-06-29T23:42:00Z</cp:lastPrinted>
  <dcterms:modified xsi:type="dcterms:W3CDTF">2025-08-22T15:24:39Z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