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1F9A" w14:textId="7B3C2D8F" w:rsidR="00707D75" w:rsidRPr="0005794C" w:rsidRDefault="00707D75" w:rsidP="00707D75">
      <w:pPr>
        <w:jc w:val="center"/>
        <w:rPr>
          <w:lang w:val="lt-LT"/>
        </w:rPr>
      </w:pPr>
      <w:r w:rsidRPr="0005794C">
        <w:rPr>
          <w:b/>
          <w:lang w:val="lt-LT"/>
        </w:rPr>
        <w:t>VIEŠOJO PASLAUGŲ PIRKIMO – PARDAVIMO SUTARTIS Nr</w:t>
      </w:r>
      <w:r w:rsidRPr="0005794C">
        <w:rPr>
          <w:lang w:val="lt-LT"/>
        </w:rPr>
        <w:t xml:space="preserve">. </w:t>
      </w:r>
      <w:r>
        <w:rPr>
          <w:b/>
          <w:lang w:val="lt-LT"/>
        </w:rPr>
        <w:t>F3-31/2025</w:t>
      </w:r>
    </w:p>
    <w:p w14:paraId="6CEA37FA" w14:textId="78373CFB" w:rsidR="00707D75" w:rsidRPr="0005794C" w:rsidRDefault="00707D75" w:rsidP="00707D75">
      <w:pPr>
        <w:spacing w:before="60"/>
        <w:jc w:val="center"/>
        <w:rPr>
          <w:lang w:val="lt-LT"/>
        </w:rPr>
      </w:pPr>
      <w:r w:rsidRPr="0005794C">
        <w:rPr>
          <w:lang w:val="lt-LT"/>
        </w:rPr>
        <w:t>202</w:t>
      </w:r>
      <w:r>
        <w:rPr>
          <w:lang w:val="lt-LT"/>
        </w:rPr>
        <w:t>4</w:t>
      </w:r>
      <w:r w:rsidRPr="0005794C">
        <w:rPr>
          <w:lang w:val="lt-LT"/>
        </w:rPr>
        <w:t xml:space="preserve"> m. </w:t>
      </w:r>
      <w:r>
        <w:rPr>
          <w:lang w:val="lt-LT"/>
        </w:rPr>
        <w:t xml:space="preserve">kovo </w:t>
      </w:r>
      <w:r w:rsidRPr="0005794C">
        <w:rPr>
          <w:lang w:val="lt-LT"/>
        </w:rPr>
        <w:t xml:space="preserve"> </w:t>
      </w:r>
      <w:r>
        <w:rPr>
          <w:lang w:val="lt-LT"/>
        </w:rPr>
        <w:t xml:space="preserve">18 </w:t>
      </w:r>
      <w:r w:rsidRPr="0005794C">
        <w:rPr>
          <w:lang w:val="lt-LT"/>
        </w:rPr>
        <w:t>d.</w:t>
      </w:r>
    </w:p>
    <w:p w14:paraId="70725446" w14:textId="77777777" w:rsidR="00707D75" w:rsidRPr="0005794C" w:rsidRDefault="00707D75" w:rsidP="00707D75">
      <w:pPr>
        <w:spacing w:after="60"/>
        <w:jc w:val="center"/>
        <w:rPr>
          <w:b/>
          <w:bCs/>
          <w:lang w:val="lt-LT"/>
        </w:rPr>
      </w:pPr>
      <w:r>
        <w:rPr>
          <w:lang w:val="lt-LT"/>
        </w:rPr>
        <w:t>Plungė</w:t>
      </w:r>
    </w:p>
    <w:p w14:paraId="6D17F557" w14:textId="77777777" w:rsidR="00707D75" w:rsidRPr="0005794C" w:rsidRDefault="00707D75" w:rsidP="00707D75">
      <w:pPr>
        <w:spacing w:after="60"/>
        <w:ind w:left="284"/>
        <w:jc w:val="both"/>
        <w:rPr>
          <w:b/>
          <w:bCs/>
          <w:lang w:val="lt-LT"/>
        </w:rPr>
      </w:pPr>
    </w:p>
    <w:p w14:paraId="4B2C0ACF" w14:textId="7A2B5574" w:rsidR="00707D75" w:rsidRPr="0005794C" w:rsidRDefault="00707D75" w:rsidP="00707D75">
      <w:pPr>
        <w:ind w:firstLine="567"/>
        <w:jc w:val="both"/>
        <w:rPr>
          <w:lang w:val="lt-LT"/>
        </w:rPr>
      </w:pPr>
      <w:r w:rsidRPr="00574E5E">
        <w:rPr>
          <w:b/>
          <w:sz w:val="22"/>
          <w:szCs w:val="22"/>
          <w:lang w:val="lt-LT"/>
        </w:rPr>
        <w:t>Viešoji įstaiga Plungės ligoninė</w:t>
      </w:r>
      <w:r w:rsidRPr="00574E5E">
        <w:rPr>
          <w:sz w:val="22"/>
          <w:szCs w:val="22"/>
          <w:lang w:val="lt-LT"/>
        </w:rPr>
        <w:t>, juridinio asmens kodas 191135578, kurios registruota buveinė yra J. Tumo – Vaižganto g. 89, 90160 Plungė,  Lietuvos Respublika, duomenys apie įstaigą kaupiami ir saugomi Lietuvos Respublikos juridinių asmenų registre, atstovaujama direktoriaus Remigijaus Mažeikos</w:t>
      </w:r>
      <w:r w:rsidRPr="0005794C">
        <w:rPr>
          <w:lang w:val="lt-LT"/>
        </w:rPr>
        <w:t xml:space="preserve"> (toliau – Užsakovas) iš vienos pusės ir </w:t>
      </w:r>
      <w:r w:rsidRPr="0005794C">
        <w:rPr>
          <w:b/>
          <w:lang w:val="lt-LT"/>
        </w:rPr>
        <w:t>UAB “</w:t>
      </w:r>
      <w:r>
        <w:rPr>
          <w:b/>
          <w:lang w:val="lt-LT"/>
        </w:rPr>
        <w:t>Limeta</w:t>
      </w:r>
      <w:r w:rsidRPr="0005794C">
        <w:rPr>
          <w:b/>
          <w:lang w:val="lt-LT"/>
        </w:rPr>
        <w:t xml:space="preserve">“, </w:t>
      </w:r>
      <w:r w:rsidRPr="0005794C">
        <w:rPr>
          <w:lang w:val="lt-LT"/>
        </w:rPr>
        <w:t xml:space="preserve">juridinio asmens </w:t>
      </w:r>
      <w:r w:rsidRPr="0006379B">
        <w:rPr>
          <w:lang w:val="lt-LT"/>
        </w:rPr>
        <w:t xml:space="preserve">kodas </w:t>
      </w:r>
      <w:r>
        <w:rPr>
          <w:lang w:val="lt-LT"/>
        </w:rPr>
        <w:t>221906050</w:t>
      </w:r>
      <w:r w:rsidRPr="0006379B">
        <w:rPr>
          <w:color w:val="000000"/>
          <w:lang w:val="lt-LT"/>
        </w:rPr>
        <w:t xml:space="preserve">, </w:t>
      </w:r>
      <w:r w:rsidRPr="0006379B">
        <w:rPr>
          <w:lang w:val="lt-LT"/>
        </w:rPr>
        <w:t xml:space="preserve">registruota adresu </w:t>
      </w:r>
      <w:r>
        <w:rPr>
          <w:lang w:val="lt-LT"/>
        </w:rPr>
        <w:t>Graičiūno g. 4</w:t>
      </w:r>
      <w:r w:rsidRPr="0006379B">
        <w:rPr>
          <w:color w:val="000000"/>
          <w:lang w:val="lt-LT"/>
        </w:rPr>
        <w:t>,</w:t>
      </w:r>
      <w:r w:rsidRPr="0006379B">
        <w:rPr>
          <w:lang w:val="lt-LT"/>
        </w:rPr>
        <w:t xml:space="preserve"> </w:t>
      </w:r>
      <w:r>
        <w:rPr>
          <w:lang w:val="lt-LT"/>
        </w:rPr>
        <w:t xml:space="preserve">LT-02241 Vilnius, </w:t>
      </w:r>
      <w:r w:rsidRPr="0006379B">
        <w:rPr>
          <w:lang w:val="lt-LT"/>
        </w:rPr>
        <w:t xml:space="preserve">duomenys apie įstaigą kaupiami ir saugomi Lietuvos Respublikos juridinių asmenų registre, atstovaujama </w:t>
      </w:r>
      <w:r>
        <w:rPr>
          <w:lang w:val="lt-LT"/>
        </w:rPr>
        <w:t xml:space="preserve">generalinio </w:t>
      </w:r>
      <w:r w:rsidRPr="0006379B">
        <w:rPr>
          <w:lang w:val="lt-LT"/>
        </w:rPr>
        <w:t xml:space="preserve">direktoriaus </w:t>
      </w:r>
      <w:r>
        <w:rPr>
          <w:lang w:val="lt-LT"/>
        </w:rPr>
        <w:t>Virginijaus Domarko</w:t>
      </w:r>
      <w:r w:rsidRPr="0006379B">
        <w:rPr>
          <w:lang w:val="lt-LT"/>
        </w:rPr>
        <w:t>, veikiančio pagal įstaigos įstatus</w:t>
      </w:r>
      <w:r w:rsidRPr="0006379B">
        <w:rPr>
          <w:color w:val="000000"/>
          <w:lang w:val="lt-LT"/>
        </w:rPr>
        <w:t xml:space="preserve">, </w:t>
      </w:r>
      <w:r w:rsidRPr="0006379B">
        <w:rPr>
          <w:lang w:val="lt-LT"/>
        </w:rPr>
        <w:t>(toliau – Vykdytojas), iš kito</w:t>
      </w:r>
      <w:r w:rsidRPr="0005794C">
        <w:rPr>
          <w:lang w:val="lt-LT"/>
        </w:rPr>
        <w:t xml:space="preserve">s pusės, toliau kartu šioje Viešojo paslaugų pirkimo – pardavimo sutartyje vadinami „Šalimis“, o kiekviena atskirai – „Šalimi“, atsižvelgdamos į </w:t>
      </w:r>
      <w:r w:rsidRPr="00E22220">
        <w:rPr>
          <w:lang w:val="lt-LT"/>
        </w:rPr>
        <w:t xml:space="preserve">įvykusio </w:t>
      </w:r>
      <w:r>
        <w:rPr>
          <w:b/>
          <w:bCs/>
          <w:lang w:val="lt-LT" w:eastAsia="lt-LT"/>
        </w:rPr>
        <w:t xml:space="preserve">prietaisų techninė būklės tikrinimo </w:t>
      </w:r>
      <w:r w:rsidRPr="00E22220">
        <w:rPr>
          <w:b/>
          <w:lang w:val="lt-LT"/>
        </w:rPr>
        <w:t>paslaugų</w:t>
      </w:r>
      <w:r w:rsidRPr="0005794C">
        <w:rPr>
          <w:b/>
          <w:lang w:val="lt-LT"/>
        </w:rPr>
        <w:t xml:space="preserve"> </w:t>
      </w:r>
      <w:r w:rsidRPr="0005794C">
        <w:rPr>
          <w:lang w:val="lt-LT"/>
        </w:rPr>
        <w:t>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73A778F1" w14:textId="77777777" w:rsidR="00707D75" w:rsidRPr="0005794C" w:rsidRDefault="00707D75" w:rsidP="00707D75">
      <w:pPr>
        <w:ind w:left="284"/>
        <w:jc w:val="both"/>
        <w:rPr>
          <w:b/>
          <w:lang w:val="lt-LT"/>
        </w:rPr>
      </w:pPr>
    </w:p>
    <w:p w14:paraId="7AD7BC45" w14:textId="77777777" w:rsidR="00707D75" w:rsidRPr="0005794C" w:rsidRDefault="00707D75" w:rsidP="00707D75">
      <w:pPr>
        <w:jc w:val="center"/>
        <w:rPr>
          <w:b/>
          <w:lang w:val="lt-LT"/>
        </w:rPr>
      </w:pPr>
      <w:r w:rsidRPr="0005794C">
        <w:rPr>
          <w:b/>
          <w:lang w:val="lt-LT"/>
        </w:rPr>
        <w:t>I. SUTARTIES DALYKAS</w:t>
      </w:r>
    </w:p>
    <w:p w14:paraId="415E93AF" w14:textId="77777777" w:rsidR="00707D75" w:rsidRPr="0005794C" w:rsidRDefault="00707D75" w:rsidP="00707D75">
      <w:pPr>
        <w:jc w:val="center"/>
        <w:rPr>
          <w:lang w:val="lt-LT"/>
        </w:rPr>
      </w:pPr>
      <w:r w:rsidRPr="0005794C">
        <w:rPr>
          <w:b/>
          <w:lang w:val="lt-LT"/>
        </w:rPr>
        <w:t xml:space="preserve"> </w:t>
      </w:r>
    </w:p>
    <w:p w14:paraId="64547AB6" w14:textId="77777777" w:rsidR="00707D75" w:rsidRPr="0005794C" w:rsidRDefault="00707D75" w:rsidP="00707D75">
      <w:pPr>
        <w:numPr>
          <w:ilvl w:val="0"/>
          <w:numId w:val="1"/>
        </w:numPr>
        <w:tabs>
          <w:tab w:val="num" w:pos="0"/>
          <w:tab w:val="left" w:pos="567"/>
        </w:tabs>
        <w:ind w:left="0" w:firstLine="360"/>
        <w:jc w:val="both"/>
        <w:rPr>
          <w:lang w:val="lt-LT"/>
        </w:rPr>
      </w:pPr>
      <w:r w:rsidRPr="0005794C">
        <w:rPr>
          <w:lang w:val="lt-LT"/>
        </w:rPr>
        <w:t xml:space="preserve"> Vykdytojas, laimėjęs mažos vertės viešąjį pirkimą neskelbiamos apklausos būdu </w:t>
      </w:r>
      <w:r>
        <w:rPr>
          <w:b/>
          <w:bCs/>
          <w:lang w:val="lt-LT" w:eastAsia="lt-LT"/>
        </w:rPr>
        <w:t xml:space="preserve">prietaisų techninė būklės tikrinimo </w:t>
      </w:r>
      <w:r w:rsidRPr="0005794C">
        <w:rPr>
          <w:b/>
          <w:lang w:val="lt-LT"/>
        </w:rPr>
        <w:t xml:space="preserve">paslaugoms </w:t>
      </w:r>
      <w:r w:rsidRPr="0005794C">
        <w:rPr>
          <w:lang w:val="lt-LT"/>
        </w:rPr>
        <w:t xml:space="preserve">teikti, įsipareigoja pagal Užsakovo įgalioto asmens užsakymą, šioje Sutartyje nustatytomis kainomis ir sąlygomis teikti priede aptartas paslaugas (toliau – Paslaugos), o Užsakovas įsipareigoja sumokėti Vykdytojui už Paslaugas Sutartyje nustatytą kainą. </w:t>
      </w:r>
    </w:p>
    <w:p w14:paraId="17F485AA" w14:textId="77777777" w:rsidR="00707D75" w:rsidRPr="0005794C" w:rsidRDefault="00707D75" w:rsidP="00707D75">
      <w:pPr>
        <w:numPr>
          <w:ilvl w:val="0"/>
          <w:numId w:val="1"/>
        </w:numPr>
        <w:tabs>
          <w:tab w:val="num" w:pos="0"/>
          <w:tab w:val="left" w:pos="567"/>
        </w:tabs>
        <w:ind w:left="0" w:firstLine="360"/>
        <w:jc w:val="both"/>
        <w:rPr>
          <w:lang w:val="lt-LT"/>
        </w:rPr>
      </w:pPr>
      <w:r w:rsidRPr="0005794C">
        <w:rPr>
          <w:lang w:val="lt-LT"/>
        </w:rPr>
        <w:t xml:space="preserve"> Pagrindinis Paslaugų asortimentas ir kainos yra nurodytos šios Sutarties priede, kuris yra neatskiriama Sutarties dalis. </w:t>
      </w:r>
    </w:p>
    <w:p w14:paraId="1AB893AA" w14:textId="77777777" w:rsidR="00707D75" w:rsidRPr="0005794C" w:rsidRDefault="00707D75" w:rsidP="00707D75">
      <w:pPr>
        <w:numPr>
          <w:ilvl w:val="0"/>
          <w:numId w:val="1"/>
        </w:numPr>
        <w:tabs>
          <w:tab w:val="num" w:pos="0"/>
          <w:tab w:val="left" w:pos="567"/>
        </w:tabs>
        <w:ind w:left="0" w:firstLine="360"/>
        <w:jc w:val="both"/>
        <w:rPr>
          <w:lang w:val="lt-LT"/>
        </w:rPr>
      </w:pPr>
      <w:r>
        <w:rPr>
          <w:lang w:val="lt-LT"/>
        </w:rPr>
        <w:t>P</w:t>
      </w:r>
      <w:r w:rsidRPr="0005794C">
        <w:rPr>
          <w:lang w:val="lt-LT"/>
        </w:rPr>
        <w:t>erkamų Paslaugų kiekiai yra preliminarūs, kurie dėl įvairių priežasčių, kaip pvz. nusidėvėjusios ar nepataisomos dėl įvykusio gedimo įrangos nurašymas ir likvidavimas, naujos įrangos įsigijimas, gali keistis.</w:t>
      </w:r>
    </w:p>
    <w:p w14:paraId="3605B07C" w14:textId="77777777" w:rsidR="00707D75" w:rsidRPr="0005794C" w:rsidRDefault="00707D75" w:rsidP="00707D75">
      <w:pPr>
        <w:tabs>
          <w:tab w:val="left" w:pos="567"/>
        </w:tabs>
        <w:ind w:left="360"/>
        <w:jc w:val="both"/>
        <w:rPr>
          <w:lang w:val="lt-LT"/>
        </w:rPr>
      </w:pPr>
    </w:p>
    <w:p w14:paraId="135042B7" w14:textId="77777777" w:rsidR="00707D75" w:rsidRPr="0005794C" w:rsidRDefault="00707D75" w:rsidP="00707D75">
      <w:pPr>
        <w:tabs>
          <w:tab w:val="left" w:pos="567"/>
        </w:tabs>
        <w:ind w:left="928"/>
        <w:jc w:val="center"/>
        <w:rPr>
          <w:b/>
          <w:bCs/>
          <w:lang w:val="lt-LT"/>
        </w:rPr>
      </w:pPr>
      <w:r w:rsidRPr="0005794C">
        <w:rPr>
          <w:b/>
          <w:bCs/>
          <w:lang w:val="lt-LT"/>
        </w:rPr>
        <w:t>II. KAINA IR ATSISKAITYMŲ TVARKA</w:t>
      </w:r>
    </w:p>
    <w:p w14:paraId="091C2CC4" w14:textId="77777777" w:rsidR="00707D75" w:rsidRPr="0005794C" w:rsidRDefault="00707D75" w:rsidP="00707D75">
      <w:pPr>
        <w:shd w:val="clear" w:color="auto" w:fill="FFFFFF"/>
        <w:tabs>
          <w:tab w:val="left" w:pos="567"/>
        </w:tabs>
        <w:ind w:right="23"/>
        <w:jc w:val="both"/>
        <w:rPr>
          <w:lang w:val="lt-LT"/>
        </w:rPr>
      </w:pPr>
    </w:p>
    <w:p w14:paraId="17366F26" w14:textId="2A31D385" w:rsidR="00707D75" w:rsidRPr="00574E5E" w:rsidRDefault="00707D75" w:rsidP="00707D75">
      <w:pPr>
        <w:pStyle w:val="Sraopastraipa"/>
        <w:numPr>
          <w:ilvl w:val="0"/>
          <w:numId w:val="1"/>
        </w:numPr>
        <w:tabs>
          <w:tab w:val="clear" w:pos="360"/>
          <w:tab w:val="num" w:pos="0"/>
          <w:tab w:val="left" w:pos="851"/>
        </w:tabs>
        <w:ind w:left="0" w:firstLine="142"/>
        <w:jc w:val="both"/>
        <w:rPr>
          <w:lang w:val="lt-LT"/>
        </w:rPr>
      </w:pPr>
      <w:r w:rsidRPr="00574E5E">
        <w:rPr>
          <w:b/>
          <w:lang w:val="lt-LT"/>
        </w:rPr>
        <w:t xml:space="preserve"> </w:t>
      </w:r>
      <w:r w:rsidRPr="00574E5E">
        <w:rPr>
          <w:lang w:val="lt-LT" w:eastAsia="en-US"/>
        </w:rPr>
        <w:t xml:space="preserve">Maksimali sutarties suma per sutarties galiojimo laikotarpį 12 mėnesių, </w:t>
      </w:r>
      <w:r w:rsidRPr="00574E5E">
        <w:rPr>
          <w:color w:val="000000" w:themeColor="text1"/>
          <w:lang w:val="lt-LT" w:eastAsia="en-US"/>
        </w:rPr>
        <w:t>į</w:t>
      </w:r>
      <w:r w:rsidRPr="00574E5E">
        <w:rPr>
          <w:lang w:val="lt-LT" w:eastAsia="en-US"/>
        </w:rPr>
        <w:t xml:space="preserve">skaitant PVM bei visus mokesčius, galiojančius Lietuvoje pasiūlymų pateikimo dieną, negali viršyti </w:t>
      </w:r>
      <w:r w:rsidRPr="00574E5E">
        <w:rPr>
          <w:b/>
          <w:lang w:val="lt-LT"/>
        </w:rPr>
        <w:t>18029,00 Eur su PVM</w:t>
      </w:r>
      <w:r w:rsidRPr="00574E5E">
        <w:rPr>
          <w:lang w:val="lt-LT"/>
        </w:rPr>
        <w:t xml:space="preserve"> (maksimali suma </w:t>
      </w:r>
      <w:r w:rsidRPr="00574E5E">
        <w:rPr>
          <w:b/>
          <w:bCs/>
          <w:lang w:val="lt-LT"/>
        </w:rPr>
        <w:t>14900,00 Eur be PVM</w:t>
      </w:r>
      <w:r w:rsidRPr="00574E5E">
        <w:rPr>
          <w:lang w:val="lt-LT"/>
        </w:rPr>
        <w:t xml:space="preserve">). </w:t>
      </w:r>
      <w:r w:rsidRPr="00574E5E">
        <w:rPr>
          <w:lang w:val="lt-LT" w:eastAsia="en-US"/>
        </w:rPr>
        <w:t xml:space="preserve">Sutartyje numatyta maksimali sutarties suma, kuri gali būti išleidžiama perkamoms paslaugoms, tačiau Pirkėjas neįsipareigoja išleisti visos nurodytos sumos. Galutinė kaina, kurią Pirkėjas sumokės </w:t>
      </w:r>
      <w:r w:rsidRPr="00574E5E">
        <w:rPr>
          <w:lang w:val="lt-LT"/>
        </w:rPr>
        <w:t>Pardavėjui</w:t>
      </w:r>
      <w:r w:rsidRPr="00574E5E">
        <w:rPr>
          <w:lang w:val="lt-LT" w:eastAsia="en-US"/>
        </w:rPr>
        <w:t>, priklausys nuo vykdant sutartį įsigytų prekių kiekio</w:t>
      </w:r>
      <w:r w:rsidRPr="00574E5E">
        <w:rPr>
          <w:sz w:val="22"/>
          <w:szCs w:val="22"/>
          <w:lang w:val="lt-LT" w:eastAsia="en-US"/>
        </w:rPr>
        <w:t>.</w:t>
      </w:r>
    </w:p>
    <w:p w14:paraId="18EE1D38" w14:textId="1E52BBE1" w:rsidR="00707D75" w:rsidRPr="00794C4D" w:rsidRDefault="00707D75" w:rsidP="00707D75">
      <w:pPr>
        <w:numPr>
          <w:ilvl w:val="0"/>
          <w:numId w:val="1"/>
        </w:numPr>
        <w:shd w:val="clear" w:color="auto" w:fill="FFFFFF"/>
        <w:tabs>
          <w:tab w:val="num" w:pos="0"/>
          <w:tab w:val="left" w:pos="567"/>
        </w:tabs>
        <w:ind w:left="0" w:right="23" w:firstLine="360"/>
        <w:jc w:val="both"/>
        <w:rPr>
          <w:lang w:val="lt-LT"/>
        </w:rPr>
      </w:pPr>
      <w:r w:rsidRPr="00574E5E">
        <w:rPr>
          <w:b/>
          <w:lang w:val="lt-LT"/>
        </w:rPr>
        <w:t xml:space="preserve">. </w:t>
      </w:r>
      <w:r w:rsidRPr="00794C4D">
        <w:rPr>
          <w:lang w:val="lt-LT"/>
        </w:rPr>
        <w:t xml:space="preserve">Užsakovas įsipareigoja apmokėti už Paslaugas pavedimu į Vykdytojo atsiskaitomąją sąskaitą </w:t>
      </w:r>
      <w:r w:rsidRPr="00794C4D">
        <w:rPr>
          <w:lang w:val="de-DE"/>
        </w:rPr>
        <w:t>Nr. LT</w:t>
      </w:r>
      <w:r>
        <w:rPr>
          <w:lang w:val="de-DE"/>
        </w:rPr>
        <w:t>257044060001645641</w:t>
      </w:r>
      <w:r w:rsidRPr="00794C4D">
        <w:rPr>
          <w:lang w:val="lt-LT"/>
        </w:rPr>
        <w:t xml:space="preserve">, esančią </w:t>
      </w:r>
      <w:r>
        <w:rPr>
          <w:lang w:val="lt-LT"/>
        </w:rPr>
        <w:t xml:space="preserve">AB SEB </w:t>
      </w:r>
      <w:r w:rsidRPr="00794C4D">
        <w:rPr>
          <w:lang w:val="lt-LT"/>
        </w:rPr>
        <w:t xml:space="preserve">banke, banko kodas </w:t>
      </w:r>
      <w:r>
        <w:rPr>
          <w:lang w:val="lt-LT"/>
        </w:rPr>
        <w:t>7044.</w:t>
      </w:r>
      <w:r w:rsidRPr="00794C4D">
        <w:rPr>
          <w:lang w:val="de-DE"/>
        </w:rPr>
        <w:t xml:space="preserve"> </w:t>
      </w:r>
      <w:proofErr w:type="spellStart"/>
      <w:r w:rsidRPr="00794C4D">
        <w:rPr>
          <w:lang w:val="de-DE"/>
        </w:rPr>
        <w:t>Užsakovas</w:t>
      </w:r>
      <w:proofErr w:type="spellEnd"/>
      <w:r w:rsidRPr="00794C4D">
        <w:rPr>
          <w:lang w:val="de-DE"/>
        </w:rPr>
        <w:t xml:space="preserve"> </w:t>
      </w:r>
      <w:proofErr w:type="spellStart"/>
      <w:r w:rsidRPr="00794C4D">
        <w:rPr>
          <w:lang w:val="de-DE"/>
        </w:rPr>
        <w:t>apmoka</w:t>
      </w:r>
      <w:proofErr w:type="spellEnd"/>
      <w:r w:rsidRPr="00794C4D">
        <w:rPr>
          <w:lang w:val="de-DE"/>
        </w:rPr>
        <w:t xml:space="preserve"> </w:t>
      </w:r>
      <w:proofErr w:type="spellStart"/>
      <w:r w:rsidRPr="00794C4D">
        <w:rPr>
          <w:lang w:val="de-DE"/>
        </w:rPr>
        <w:t>Vykdytojui</w:t>
      </w:r>
      <w:proofErr w:type="spellEnd"/>
      <w:r w:rsidRPr="00794C4D">
        <w:rPr>
          <w:lang w:val="de-DE"/>
        </w:rPr>
        <w:t xml:space="preserve"> </w:t>
      </w:r>
      <w:proofErr w:type="spellStart"/>
      <w:r w:rsidRPr="00794C4D">
        <w:rPr>
          <w:lang w:val="de-DE"/>
        </w:rPr>
        <w:t>už</w:t>
      </w:r>
      <w:proofErr w:type="spellEnd"/>
      <w:r w:rsidRPr="00794C4D">
        <w:rPr>
          <w:lang w:val="de-DE"/>
        </w:rPr>
        <w:t xml:space="preserve"> </w:t>
      </w:r>
      <w:proofErr w:type="spellStart"/>
      <w:r w:rsidRPr="00794C4D">
        <w:rPr>
          <w:lang w:val="de-DE"/>
        </w:rPr>
        <w:t>Paslaugas</w:t>
      </w:r>
      <w:proofErr w:type="spellEnd"/>
      <w:r w:rsidRPr="00794C4D">
        <w:rPr>
          <w:lang w:val="de-DE"/>
        </w:rPr>
        <w:t xml:space="preserve"> </w:t>
      </w:r>
      <w:proofErr w:type="spellStart"/>
      <w:r w:rsidRPr="00794C4D">
        <w:rPr>
          <w:lang w:val="de-DE"/>
        </w:rPr>
        <w:t>pagal</w:t>
      </w:r>
      <w:proofErr w:type="spellEnd"/>
      <w:r w:rsidRPr="00794C4D">
        <w:rPr>
          <w:lang w:val="de-DE"/>
        </w:rPr>
        <w:t xml:space="preserve"> </w:t>
      </w:r>
      <w:proofErr w:type="spellStart"/>
      <w:r w:rsidRPr="00794C4D">
        <w:rPr>
          <w:lang w:val="de-DE"/>
        </w:rPr>
        <w:t>gautas</w:t>
      </w:r>
      <w:proofErr w:type="spellEnd"/>
      <w:r w:rsidRPr="00794C4D">
        <w:rPr>
          <w:lang w:val="de-DE"/>
        </w:rPr>
        <w:t xml:space="preserve"> PVM </w:t>
      </w:r>
      <w:proofErr w:type="spellStart"/>
      <w:r w:rsidRPr="00794C4D">
        <w:rPr>
          <w:lang w:val="de-DE"/>
        </w:rPr>
        <w:t>sąskaitas</w:t>
      </w:r>
      <w:proofErr w:type="spellEnd"/>
      <w:r w:rsidRPr="00794C4D">
        <w:rPr>
          <w:lang w:val="de-DE"/>
        </w:rPr>
        <w:t xml:space="preserve"> </w:t>
      </w:r>
      <w:proofErr w:type="spellStart"/>
      <w:r w:rsidRPr="00794C4D">
        <w:rPr>
          <w:lang w:val="de-DE"/>
        </w:rPr>
        <w:t>faktūras</w:t>
      </w:r>
      <w:proofErr w:type="spellEnd"/>
      <w:r w:rsidRPr="00794C4D">
        <w:rPr>
          <w:lang w:val="de-DE"/>
        </w:rPr>
        <w:t xml:space="preserve"> per 30 </w:t>
      </w:r>
      <w:proofErr w:type="spellStart"/>
      <w:r w:rsidRPr="00794C4D">
        <w:rPr>
          <w:lang w:val="de-DE"/>
        </w:rPr>
        <w:t>kalendorinių</w:t>
      </w:r>
      <w:proofErr w:type="spellEnd"/>
      <w:r w:rsidRPr="00794C4D">
        <w:rPr>
          <w:lang w:val="de-DE"/>
        </w:rPr>
        <w:t xml:space="preserve"> </w:t>
      </w:r>
      <w:proofErr w:type="spellStart"/>
      <w:r w:rsidRPr="00794C4D">
        <w:rPr>
          <w:lang w:val="de-DE"/>
        </w:rPr>
        <w:t>dienų</w:t>
      </w:r>
      <w:proofErr w:type="spellEnd"/>
      <w:r w:rsidRPr="00794C4D">
        <w:rPr>
          <w:lang w:val="de-DE"/>
        </w:rPr>
        <w:t xml:space="preserve"> </w:t>
      </w:r>
      <w:proofErr w:type="spellStart"/>
      <w:r w:rsidRPr="00794C4D">
        <w:rPr>
          <w:lang w:val="de-DE"/>
        </w:rPr>
        <w:t>nuo</w:t>
      </w:r>
      <w:proofErr w:type="spellEnd"/>
      <w:r w:rsidRPr="00794C4D">
        <w:rPr>
          <w:lang w:val="de-DE"/>
        </w:rPr>
        <w:t xml:space="preserve"> PVM </w:t>
      </w:r>
      <w:proofErr w:type="spellStart"/>
      <w:r w:rsidRPr="00794C4D">
        <w:rPr>
          <w:lang w:val="de-DE"/>
        </w:rPr>
        <w:t>sąskaitos</w:t>
      </w:r>
      <w:proofErr w:type="spellEnd"/>
      <w:r w:rsidRPr="00794C4D">
        <w:rPr>
          <w:lang w:val="de-DE"/>
        </w:rPr>
        <w:t xml:space="preserve"> </w:t>
      </w:r>
      <w:proofErr w:type="spellStart"/>
      <w:r w:rsidRPr="00794C4D">
        <w:rPr>
          <w:lang w:val="de-DE"/>
        </w:rPr>
        <w:t>faktūros</w:t>
      </w:r>
      <w:proofErr w:type="spellEnd"/>
      <w:r w:rsidRPr="00794C4D">
        <w:rPr>
          <w:lang w:val="de-DE"/>
        </w:rPr>
        <w:t xml:space="preserve"> </w:t>
      </w:r>
      <w:proofErr w:type="spellStart"/>
      <w:r w:rsidRPr="00794C4D">
        <w:rPr>
          <w:lang w:val="de-DE"/>
        </w:rPr>
        <w:t>gavimo</w:t>
      </w:r>
      <w:proofErr w:type="spellEnd"/>
      <w:r w:rsidRPr="00794C4D">
        <w:rPr>
          <w:lang w:val="de-DE"/>
        </w:rPr>
        <w:t xml:space="preserve"> </w:t>
      </w:r>
      <w:proofErr w:type="spellStart"/>
      <w:r w:rsidRPr="00794C4D">
        <w:rPr>
          <w:lang w:val="de-DE"/>
        </w:rPr>
        <w:t>dienos</w:t>
      </w:r>
      <w:proofErr w:type="spellEnd"/>
      <w:r w:rsidRPr="00794C4D">
        <w:rPr>
          <w:lang w:val="de-DE"/>
        </w:rPr>
        <w:t>.</w:t>
      </w:r>
    </w:p>
    <w:p w14:paraId="01E3A1CC" w14:textId="77777777" w:rsidR="00707D75" w:rsidRPr="0005794C" w:rsidRDefault="00707D75" w:rsidP="00707D75">
      <w:pPr>
        <w:numPr>
          <w:ilvl w:val="0"/>
          <w:numId w:val="1"/>
        </w:numPr>
        <w:shd w:val="clear" w:color="auto" w:fill="FFFFFF"/>
        <w:tabs>
          <w:tab w:val="num" w:pos="0"/>
          <w:tab w:val="left" w:pos="567"/>
        </w:tabs>
        <w:ind w:left="0" w:right="23" w:firstLine="360"/>
        <w:jc w:val="both"/>
        <w:rPr>
          <w:lang w:val="lt-LT"/>
        </w:rPr>
      </w:pPr>
      <w:r w:rsidRPr="0005794C">
        <w:rPr>
          <w:lang w:val="lt-LT"/>
        </w:rPr>
        <w:t>Sutartyje nurodytos Paslaugos kaina negali būti keičiama visą Sutarties galiojimo laikotarpį, išskyrus  Sutarties 8 punkte nurodytu atveju.</w:t>
      </w:r>
    </w:p>
    <w:p w14:paraId="14C2C848" w14:textId="77777777" w:rsidR="00707D75" w:rsidRPr="0005794C" w:rsidRDefault="00707D75" w:rsidP="00707D75">
      <w:pPr>
        <w:numPr>
          <w:ilvl w:val="0"/>
          <w:numId w:val="1"/>
        </w:numPr>
        <w:shd w:val="clear" w:color="auto" w:fill="FFFFFF"/>
        <w:tabs>
          <w:tab w:val="num" w:pos="0"/>
          <w:tab w:val="left" w:pos="567"/>
        </w:tabs>
        <w:ind w:left="0" w:right="23" w:firstLine="360"/>
        <w:jc w:val="both"/>
        <w:rPr>
          <w:lang w:val="lt-LT"/>
        </w:rPr>
      </w:pPr>
      <w:r w:rsidRPr="0005794C">
        <w:rPr>
          <w:lang w:val="lt-LT"/>
        </w:rPr>
        <w:t>Į Sutarties kainą turi būti įskaičiuotos visos Vykdytojo patiriamos išlaidos ir mokesčiai, reikalingi Sutarčiai įvykdyti (tame skaičiuje ir išlaidos, susijusios su „E. sąskaita“).</w:t>
      </w:r>
    </w:p>
    <w:p w14:paraId="0F8A3C57" w14:textId="77777777" w:rsidR="00707D75" w:rsidRPr="00C40CFE" w:rsidRDefault="00707D75" w:rsidP="00707D75">
      <w:pPr>
        <w:ind w:left="360"/>
        <w:jc w:val="both"/>
        <w:rPr>
          <w:rFonts w:eastAsia="Calibri"/>
          <w:lang w:val="lt-LT"/>
        </w:rPr>
      </w:pPr>
      <w:r>
        <w:rPr>
          <w:rFonts w:eastAsia="Calibri"/>
          <w:lang w:val="lt-LT"/>
        </w:rPr>
        <w:t>7</w:t>
      </w:r>
      <w:r w:rsidRPr="00C40CFE">
        <w:rPr>
          <w:rFonts w:eastAsia="Calibri"/>
          <w:lang w:val="lt-LT"/>
        </w:rPr>
        <w:t>. Paslaugų įkainio peržiūra galima šiais atvejais:</w:t>
      </w:r>
    </w:p>
    <w:p w14:paraId="45399957" w14:textId="77777777" w:rsidR="00707D75" w:rsidRPr="00C40CFE" w:rsidRDefault="00707D75" w:rsidP="00707D75">
      <w:pPr>
        <w:pStyle w:val="Stilius3"/>
        <w:spacing w:before="0"/>
        <w:ind w:left="360"/>
        <w:rPr>
          <w:sz w:val="24"/>
          <w:szCs w:val="24"/>
        </w:rPr>
      </w:pPr>
      <w:r>
        <w:rPr>
          <w:rFonts w:eastAsia="Calibri"/>
          <w:sz w:val="24"/>
          <w:szCs w:val="24"/>
        </w:rPr>
        <w:t>7.1</w:t>
      </w:r>
      <w:r w:rsidRPr="00C40CFE">
        <w:rPr>
          <w:rFonts w:eastAsia="Calibri"/>
          <w:sz w:val="24"/>
          <w:szCs w:val="24"/>
        </w:rPr>
        <w:t xml:space="preserve">. </w:t>
      </w:r>
      <w:r w:rsidRPr="00C40CFE">
        <w:rPr>
          <w:sz w:val="24"/>
          <w:szCs w:val="24"/>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suteiktas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w:t>
      </w:r>
      <w:r w:rsidRPr="00C40CFE">
        <w:rPr>
          <w:iCs/>
          <w:color w:val="000000"/>
          <w:sz w:val="24"/>
          <w:szCs w:val="24"/>
        </w:rPr>
        <w:t>Paslaugų teikėjo</w:t>
      </w:r>
      <w:r w:rsidRPr="00C40CFE">
        <w:rPr>
          <w:sz w:val="24"/>
          <w:szCs w:val="24"/>
        </w:rPr>
        <w:t xml:space="preserve"> priklausančių aplinkybių, pavyzdžiui pasikeičia jo veikla, tampa PVM mokėtoju ir pan. </w:t>
      </w:r>
      <w:r w:rsidRPr="00C40CFE">
        <w:rPr>
          <w:sz w:val="24"/>
          <w:szCs w:val="24"/>
        </w:rPr>
        <w:lastRenderedPageBreak/>
        <w:t xml:space="preserve">– tokius galimus pokyčius </w:t>
      </w:r>
      <w:r w:rsidRPr="00C40CFE">
        <w:rPr>
          <w:iCs/>
          <w:color w:val="000000"/>
          <w:sz w:val="24"/>
          <w:szCs w:val="24"/>
        </w:rPr>
        <w:t>Paslaugų teikėjas</w:t>
      </w:r>
      <w:r w:rsidRPr="00C40CFE">
        <w:rPr>
          <w:sz w:val="24"/>
          <w:szCs w:val="24"/>
        </w:rPr>
        <w:t xml:space="preserve"> turi įvertinti teikdamas pasiūlymą ir tokiu atveju įkainis su PVM nebus keičiamas. Dėl kitų nei PVM mokesčių pasikeitimo, paslaugų įkainiai nebus perskaičiuojami ir keičiami. </w:t>
      </w:r>
    </w:p>
    <w:p w14:paraId="4DBC803D" w14:textId="77777777" w:rsidR="00707D75" w:rsidRPr="00C40CFE" w:rsidRDefault="00707D75" w:rsidP="00707D75">
      <w:pPr>
        <w:pStyle w:val="Stilius3"/>
        <w:spacing w:before="0"/>
        <w:ind w:left="360"/>
        <w:rPr>
          <w:sz w:val="24"/>
          <w:szCs w:val="24"/>
        </w:rPr>
      </w:pPr>
      <w:r>
        <w:rPr>
          <w:sz w:val="24"/>
          <w:szCs w:val="24"/>
        </w:rPr>
        <w:t>7</w:t>
      </w:r>
      <w:r w:rsidRPr="00C40CFE">
        <w:rPr>
          <w:sz w:val="24"/>
          <w:szCs w:val="24"/>
        </w:rPr>
        <w:t>.2. kai tai priklauso nuo galimų teisės aktų pokyčių, tiesiogiai įtakojančių Sutarties Paslaugų įkainių peržiūrą.</w:t>
      </w:r>
    </w:p>
    <w:p w14:paraId="539071A3" w14:textId="77777777" w:rsidR="00707D75" w:rsidRPr="00C40CFE" w:rsidRDefault="00707D75" w:rsidP="00707D75">
      <w:pPr>
        <w:ind w:left="360"/>
        <w:jc w:val="both"/>
        <w:rPr>
          <w:rFonts w:eastAsia="Calibri"/>
          <w:lang w:val="lt-LT"/>
        </w:rPr>
      </w:pPr>
      <w:r>
        <w:rPr>
          <w:rFonts w:eastAsia="Calibri"/>
          <w:lang w:val="lt-LT"/>
        </w:rPr>
        <w:t>7</w:t>
      </w:r>
      <w:r w:rsidRPr="00C40CFE">
        <w:rPr>
          <w:rFonts w:eastAsia="Calibri"/>
          <w:lang w:val="lt-LT"/>
        </w:rPr>
        <w:t>.3. Sutarties Paslaugos įkainis gali būti perskaičiuojamas dėl Lietuvos statistikos departamento skelbiamo panašių paslaugų kainų indekso (toliau – Indekso) padidėjimo arba sumažėjimo. Perskaičiavimas atliekamas ne anksčiau kaip po 12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67644D02" w14:textId="77777777" w:rsidR="00707D75" w:rsidRPr="00C40CFE" w:rsidRDefault="00707D75" w:rsidP="00707D75">
      <w:pPr>
        <w:ind w:left="360"/>
        <w:rPr>
          <w:rFonts w:eastAsia="Calibri"/>
          <w:lang w:val="lt-LT"/>
        </w:rPr>
      </w:pPr>
      <w:r w:rsidRPr="00C40CFE">
        <w:rPr>
          <w:rFonts w:eastAsia="Calibri"/>
          <w:lang w:val="lt-LT"/>
        </w:rPr>
        <w:t xml:space="preserve">       </w:t>
      </w:r>
      <w:proofErr w:type="spellStart"/>
      <w:r w:rsidRPr="00C40CFE">
        <w:rPr>
          <w:rFonts w:eastAsia="Calibri"/>
          <w:lang w:val="lt-LT"/>
        </w:rPr>
        <w:t>IPk</w:t>
      </w:r>
      <w:proofErr w:type="spellEnd"/>
      <w:r w:rsidRPr="00C40CFE">
        <w:rPr>
          <w:rFonts w:eastAsia="Calibri"/>
          <w:lang w:val="lt-LT"/>
        </w:rPr>
        <w:t xml:space="preserve"> = (</w:t>
      </w:r>
      <w:proofErr w:type="spellStart"/>
      <w:r w:rsidRPr="00C40CFE">
        <w:rPr>
          <w:rFonts w:eastAsia="Calibri"/>
          <w:lang w:val="lt-LT"/>
        </w:rPr>
        <w:t>IPb</w:t>
      </w:r>
      <w:proofErr w:type="spellEnd"/>
      <w:r w:rsidRPr="00C40CFE">
        <w:rPr>
          <w:rFonts w:eastAsia="Calibri"/>
          <w:lang w:val="lt-LT"/>
        </w:rPr>
        <w:t xml:space="preserve"> / </w:t>
      </w:r>
      <w:proofErr w:type="spellStart"/>
      <w:r w:rsidRPr="00C40CFE">
        <w:rPr>
          <w:rFonts w:eastAsia="Calibri"/>
          <w:lang w:val="lt-LT"/>
        </w:rPr>
        <w:t>IPr</w:t>
      </w:r>
      <w:proofErr w:type="spellEnd"/>
      <w:r w:rsidRPr="00C40CFE">
        <w:rPr>
          <w:rFonts w:eastAsia="Calibri"/>
          <w:lang w:val="lt-LT"/>
        </w:rPr>
        <w:t>)</w:t>
      </w:r>
    </w:p>
    <w:p w14:paraId="0DEB3AEB" w14:textId="77777777" w:rsidR="00707D75" w:rsidRPr="00C40CFE" w:rsidRDefault="00707D75" w:rsidP="00707D75">
      <w:pPr>
        <w:rPr>
          <w:rFonts w:eastAsia="Calibri"/>
          <w:lang w:val="lt-LT"/>
        </w:rPr>
      </w:pPr>
      <w:r w:rsidRPr="00C40CFE">
        <w:rPr>
          <w:rFonts w:eastAsia="Calibri"/>
          <w:lang w:val="lt-LT"/>
        </w:rPr>
        <w:t xml:space="preserve">     Pateiktoje formulėje:</w:t>
      </w:r>
    </w:p>
    <w:p w14:paraId="14400026" w14:textId="77777777" w:rsidR="00707D75" w:rsidRPr="00C40CFE" w:rsidRDefault="00707D75" w:rsidP="00707D75">
      <w:pPr>
        <w:ind w:left="360"/>
        <w:rPr>
          <w:rFonts w:eastAsia="Calibri"/>
          <w:lang w:val="lt-LT"/>
        </w:rPr>
      </w:pPr>
      <w:r w:rsidRPr="00C40CFE">
        <w:rPr>
          <w:rFonts w:eastAsia="Calibri"/>
          <w:lang w:val="lt-LT"/>
        </w:rPr>
        <w:t xml:space="preserve">    </w:t>
      </w:r>
      <w:proofErr w:type="spellStart"/>
      <w:r w:rsidRPr="00C40CFE">
        <w:rPr>
          <w:rFonts w:eastAsia="Calibri"/>
          <w:lang w:val="lt-LT"/>
        </w:rPr>
        <w:t>IPk</w:t>
      </w:r>
      <w:proofErr w:type="spellEnd"/>
      <w:r w:rsidRPr="00C40CFE">
        <w:rPr>
          <w:rFonts w:eastAsia="Calibri"/>
          <w:lang w:val="lt-LT"/>
        </w:rPr>
        <w:t xml:space="preserve"> – Indekso pokyčio koeficientas</w:t>
      </w:r>
    </w:p>
    <w:p w14:paraId="76525CCF" w14:textId="77777777" w:rsidR="00707D75" w:rsidRPr="00C40CFE" w:rsidRDefault="00707D75" w:rsidP="00707D75">
      <w:pPr>
        <w:ind w:left="360"/>
        <w:rPr>
          <w:rFonts w:eastAsia="Calibri"/>
          <w:lang w:val="lt-LT"/>
        </w:rPr>
      </w:pPr>
      <w:r w:rsidRPr="00C40CFE">
        <w:rPr>
          <w:rFonts w:eastAsia="Calibri"/>
          <w:lang w:val="lt-LT"/>
        </w:rPr>
        <w:t xml:space="preserve">  </w:t>
      </w:r>
      <w:proofErr w:type="spellStart"/>
      <w:r w:rsidRPr="00C40CFE">
        <w:rPr>
          <w:rFonts w:eastAsia="Calibri"/>
          <w:lang w:val="lt-LT"/>
        </w:rPr>
        <w:t>IPb</w:t>
      </w:r>
      <w:proofErr w:type="spellEnd"/>
      <w:r w:rsidRPr="00C40CFE">
        <w:rPr>
          <w:rFonts w:eastAsia="Calibri"/>
          <w:lang w:val="lt-LT"/>
        </w:rPr>
        <w:t xml:space="preserve"> – Indeksavimo laikotarpio pabaigos indeksas</w:t>
      </w:r>
    </w:p>
    <w:p w14:paraId="50BF7B71" w14:textId="77777777" w:rsidR="00707D75" w:rsidRPr="00C40CFE" w:rsidRDefault="00707D75" w:rsidP="00707D75">
      <w:pPr>
        <w:ind w:left="360"/>
        <w:rPr>
          <w:rFonts w:eastAsia="Calibri"/>
          <w:lang w:val="lt-LT"/>
        </w:rPr>
      </w:pPr>
      <w:r w:rsidRPr="00C40CFE">
        <w:rPr>
          <w:rFonts w:eastAsia="Calibri"/>
          <w:lang w:val="lt-LT"/>
        </w:rPr>
        <w:t xml:space="preserve">   </w:t>
      </w:r>
      <w:proofErr w:type="spellStart"/>
      <w:r w:rsidRPr="00C40CFE">
        <w:rPr>
          <w:rFonts w:eastAsia="Calibri"/>
          <w:lang w:val="lt-LT"/>
        </w:rPr>
        <w:t>IPr</w:t>
      </w:r>
      <w:proofErr w:type="spellEnd"/>
      <w:r w:rsidRPr="00C40CFE">
        <w:rPr>
          <w:rFonts w:eastAsia="Calibri"/>
          <w:lang w:val="lt-LT"/>
        </w:rPr>
        <w:t xml:space="preserve"> – Indeksavimo laikotarpio pradžios indeksas</w:t>
      </w:r>
    </w:p>
    <w:p w14:paraId="5CEF7CD5" w14:textId="77777777" w:rsidR="00707D75" w:rsidRPr="00C40CFE" w:rsidRDefault="00707D75" w:rsidP="00707D75">
      <w:pPr>
        <w:ind w:left="360"/>
        <w:jc w:val="both"/>
        <w:rPr>
          <w:rFonts w:eastAsia="Calibri"/>
          <w:lang w:val="lt-LT"/>
        </w:rPr>
      </w:pPr>
      <w:r>
        <w:rPr>
          <w:rFonts w:eastAsia="Calibri"/>
          <w:lang w:val="lt-LT"/>
        </w:rPr>
        <w:t>8</w:t>
      </w:r>
      <w:r w:rsidRPr="00C40CFE">
        <w:rPr>
          <w:rFonts w:eastAsia="Calibri"/>
          <w:lang w:val="lt-LT"/>
        </w:rPr>
        <w:t>.</w:t>
      </w:r>
      <w:r w:rsidRPr="00C40CFE">
        <w:rPr>
          <w:iCs/>
          <w:color w:val="000000"/>
          <w:lang w:val="lt-LT"/>
        </w:rPr>
        <w:t xml:space="preserve"> </w:t>
      </w:r>
      <w:proofErr w:type="spellStart"/>
      <w:r>
        <w:rPr>
          <w:iCs/>
          <w:color w:val="000000"/>
          <w:lang w:val="lt-LT"/>
        </w:rPr>
        <w:t>VYkdytojas</w:t>
      </w:r>
      <w:proofErr w:type="spellEnd"/>
      <w:r w:rsidRPr="00C40CFE">
        <w:rPr>
          <w:rFonts w:eastAsia="Calibri"/>
          <w:lang w:val="lt-LT"/>
        </w:rPr>
        <w:t xml:space="preserve">, inicijuodamas Sutarties Paslaugų  įkainių peržiūrą Sutarties </w:t>
      </w:r>
      <w:r>
        <w:rPr>
          <w:rFonts w:eastAsia="Calibri"/>
          <w:lang w:val="lt-LT"/>
        </w:rPr>
        <w:t>7</w:t>
      </w:r>
      <w:r w:rsidRPr="00C40CFE">
        <w:rPr>
          <w:rFonts w:eastAsia="Calibri"/>
          <w:lang w:val="lt-LT"/>
        </w:rPr>
        <w:t xml:space="preserve">.1. </w:t>
      </w:r>
      <w:r>
        <w:rPr>
          <w:rFonts w:eastAsia="Calibri"/>
          <w:lang w:val="lt-LT"/>
        </w:rPr>
        <w:t>7</w:t>
      </w:r>
      <w:r w:rsidRPr="00C40CFE">
        <w:rPr>
          <w:rFonts w:eastAsia="Calibri"/>
          <w:lang w:val="lt-LT"/>
        </w:rPr>
        <w:t xml:space="preserve">.2 papunkčiuose nustatytais atvejais turi raštu pateikti pasiūlymą dėl įkainių peržiūros, pateikti įrodančius dokumentus ar nuorodas į oficialius šaltinius, pagrindžiančius, jog atsirado Sutartyje nustatytos sąlygos, leidžiančios  perskaičiuoti Sutarties įkainius. </w:t>
      </w:r>
      <w:r>
        <w:rPr>
          <w:iCs/>
          <w:color w:val="000000"/>
          <w:lang w:val="lt-LT"/>
        </w:rPr>
        <w:t>Užsakovas</w:t>
      </w:r>
      <w:r w:rsidRPr="00C40CFE">
        <w:rPr>
          <w:rFonts w:eastAsia="Calibri"/>
          <w:lang w:val="lt-LT"/>
        </w:rPr>
        <w:t xml:space="preserve"> pasilieka teisę pats inicijuoti įkainių peržiūrą tokia pačia tvarka, kokia numatyta  </w:t>
      </w:r>
      <w:r>
        <w:rPr>
          <w:iCs/>
          <w:color w:val="000000"/>
          <w:lang w:val="lt-LT"/>
        </w:rPr>
        <w:t>Vykdytojui</w:t>
      </w:r>
      <w:r w:rsidRPr="00C40CFE">
        <w:rPr>
          <w:iCs/>
          <w:color w:val="000000"/>
          <w:lang w:val="lt-LT"/>
        </w:rPr>
        <w:t xml:space="preserve">. </w:t>
      </w:r>
      <w:r w:rsidRPr="00C40CFE">
        <w:rPr>
          <w:rFonts w:eastAsia="Calibri"/>
          <w:lang w:val="lt-LT"/>
        </w:rPr>
        <w:t>Aplinkybės, dėl kurių inicijuojama įkainių peržiūra, turi būti tokios, kurios paaiškėjo tik po pasiūlymų pateikimo termino pirkime pabaigos.</w:t>
      </w:r>
    </w:p>
    <w:p w14:paraId="6A94EEF6" w14:textId="77777777" w:rsidR="00707D75" w:rsidRPr="00C40CFE" w:rsidRDefault="00707D75" w:rsidP="00707D75">
      <w:pPr>
        <w:ind w:left="360"/>
        <w:jc w:val="both"/>
        <w:rPr>
          <w:rFonts w:eastAsia="Calibri"/>
          <w:lang w:val="lt-LT"/>
        </w:rPr>
      </w:pPr>
      <w:r>
        <w:rPr>
          <w:rFonts w:eastAsia="Calibri"/>
          <w:lang w:val="lt-LT"/>
        </w:rPr>
        <w:t>9</w:t>
      </w:r>
      <w:r w:rsidRPr="00C40CFE">
        <w:rPr>
          <w:rFonts w:eastAsia="Calibri"/>
          <w:lang w:val="lt-LT"/>
        </w:rPr>
        <w:t xml:space="preserve">. Sutarties šalis, inicijuojanti Sutarties Paslaugų fiksuotų įkainių peržiūrą sutarties </w:t>
      </w:r>
      <w:r>
        <w:rPr>
          <w:rFonts w:eastAsia="Calibri"/>
          <w:lang w:val="lt-LT"/>
        </w:rPr>
        <w:t>7</w:t>
      </w:r>
      <w:r w:rsidRPr="00C40CFE">
        <w:rPr>
          <w:rFonts w:eastAsia="Calibri"/>
          <w:lang w:val="lt-LT"/>
        </w:rPr>
        <w:t>.3 papunktyje nustatytu atveju, turi pateikti Lietuvos statistikos departamento skelbiamą kainų indeksą įrodantį dokumentą, patvirtinantį panašių paslaugų įkainio lygio pokytį.</w:t>
      </w:r>
      <w:r>
        <w:rPr>
          <w:rFonts w:eastAsia="Calibri"/>
          <w:lang w:val="lt-LT"/>
        </w:rPr>
        <w:t xml:space="preserve"> </w:t>
      </w:r>
      <w:r w:rsidRPr="00C40CFE">
        <w:rPr>
          <w:lang w:val="lt-LT"/>
        </w:rPr>
        <w:t>Perskaičiuotas paslaugų įkainis taikomas toms Paslaugoms, kurios bus tiekiamos po Šalių pasirašyto susitarimo įsigaliojimo dienos.</w:t>
      </w:r>
    </w:p>
    <w:p w14:paraId="6EA04FAC" w14:textId="77777777" w:rsidR="00707D75" w:rsidRPr="0005794C" w:rsidRDefault="00707D75" w:rsidP="00707D75">
      <w:pPr>
        <w:pStyle w:val="Betarp"/>
        <w:jc w:val="both"/>
        <w:rPr>
          <w:lang w:val="lt-LT"/>
        </w:rPr>
      </w:pPr>
    </w:p>
    <w:p w14:paraId="171D6070" w14:textId="77777777" w:rsidR="00707D75" w:rsidRPr="0005794C" w:rsidRDefault="00707D75" w:rsidP="00707D75">
      <w:pPr>
        <w:pStyle w:val="Betarp1"/>
        <w:tabs>
          <w:tab w:val="left" w:pos="567"/>
        </w:tabs>
        <w:ind w:left="360"/>
        <w:jc w:val="center"/>
        <w:rPr>
          <w:rFonts w:ascii="Times New Roman" w:hAnsi="Times New Roman" w:cs="Times New Roman"/>
          <w:b/>
          <w:sz w:val="24"/>
          <w:szCs w:val="24"/>
        </w:rPr>
      </w:pPr>
      <w:r w:rsidRPr="0005794C">
        <w:rPr>
          <w:rFonts w:ascii="Times New Roman" w:hAnsi="Times New Roman" w:cs="Times New Roman"/>
          <w:b/>
          <w:sz w:val="24"/>
          <w:szCs w:val="24"/>
        </w:rPr>
        <w:t>III. ŠALIŲ TEISĖS IR PAREIGOS</w:t>
      </w:r>
    </w:p>
    <w:p w14:paraId="5D097257" w14:textId="77777777" w:rsidR="00707D75" w:rsidRPr="0005794C" w:rsidRDefault="00707D75" w:rsidP="00707D75">
      <w:pPr>
        <w:ind w:left="284"/>
        <w:jc w:val="center"/>
        <w:rPr>
          <w:lang w:val="lt-LT"/>
        </w:rPr>
      </w:pPr>
    </w:p>
    <w:p w14:paraId="4E7462A6" w14:textId="77777777" w:rsidR="00707D75" w:rsidRPr="0005794C" w:rsidRDefault="00707D75" w:rsidP="00707D75">
      <w:pPr>
        <w:pStyle w:val="Betarp1"/>
        <w:tabs>
          <w:tab w:val="left" w:pos="851"/>
        </w:tabs>
        <w:jc w:val="both"/>
        <w:rPr>
          <w:rFonts w:ascii="Times New Roman" w:hAnsi="Times New Roman" w:cs="Times New Roman"/>
          <w:sz w:val="24"/>
          <w:szCs w:val="24"/>
        </w:rPr>
      </w:pPr>
      <w:r w:rsidRPr="0005794C">
        <w:rPr>
          <w:rFonts w:ascii="Times New Roman" w:hAnsi="Times New Roman" w:cs="Times New Roman"/>
          <w:sz w:val="24"/>
          <w:szCs w:val="24"/>
        </w:rPr>
        <w:t xml:space="preserve">      10. Vykdytojas įsipareigoja:</w:t>
      </w:r>
    </w:p>
    <w:p w14:paraId="61F95B7C" w14:textId="77777777" w:rsidR="00707D75" w:rsidRPr="00574E5E" w:rsidRDefault="00707D75" w:rsidP="00707D75">
      <w:pPr>
        <w:jc w:val="both"/>
        <w:rPr>
          <w:lang w:val="lt-LT"/>
        </w:rPr>
      </w:pPr>
      <w:r w:rsidRPr="0005794C">
        <w:rPr>
          <w:lang w:val="lt-LT"/>
        </w:rPr>
        <w:t xml:space="preserve">      </w:t>
      </w:r>
      <w:r w:rsidRPr="00574E5E">
        <w:rPr>
          <w:lang w:val="lt-LT"/>
        </w:rPr>
        <w:t xml:space="preserve">10.1. PVM sąskaitą faktūrą pateikti naudojantis VĮ Registrų centro administruojama elektronine paslauga „E. sąskaita“. Elektroninės paslaugos „E. </w:t>
      </w:r>
      <w:proofErr w:type="spellStart"/>
      <w:r w:rsidRPr="00574E5E">
        <w:rPr>
          <w:lang w:val="lt-LT"/>
        </w:rPr>
        <w:t>sąskaita“svetainė</w:t>
      </w:r>
      <w:proofErr w:type="spellEnd"/>
      <w:r w:rsidRPr="00574E5E">
        <w:rPr>
          <w:lang w:val="lt-LT"/>
        </w:rPr>
        <w:t xml:space="preserve"> pasiekiama adresu </w:t>
      </w:r>
      <w:hyperlink r:id="rId7" w:history="1">
        <w:r w:rsidRPr="00574E5E">
          <w:rPr>
            <w:rStyle w:val="Hipersaitas"/>
            <w:rFonts w:eastAsiaTheme="majorEastAsia"/>
            <w:lang w:val="lt-LT"/>
          </w:rPr>
          <w:t>www.esaskaita.eu</w:t>
        </w:r>
      </w:hyperlink>
      <w:r w:rsidRPr="00574E5E">
        <w:rPr>
          <w:rStyle w:val="Hipersaitas"/>
          <w:rFonts w:eastAsiaTheme="majorEastAsia"/>
          <w:lang w:val="lt-LT"/>
        </w:rPr>
        <w:t>;</w:t>
      </w:r>
    </w:p>
    <w:p w14:paraId="36379471" w14:textId="77777777" w:rsidR="00707D75" w:rsidRPr="0005794C" w:rsidRDefault="00707D75" w:rsidP="00707D75">
      <w:pPr>
        <w:pStyle w:val="Betarp1"/>
        <w:tabs>
          <w:tab w:val="left" w:pos="567"/>
          <w:tab w:val="left" w:pos="851"/>
          <w:tab w:val="left" w:pos="1276"/>
        </w:tabs>
        <w:ind w:firstLine="360"/>
        <w:jc w:val="both"/>
        <w:rPr>
          <w:rFonts w:ascii="Times New Roman" w:hAnsi="Times New Roman" w:cs="Times New Roman"/>
          <w:sz w:val="24"/>
          <w:szCs w:val="24"/>
        </w:rPr>
      </w:pPr>
      <w:r w:rsidRPr="0005794C">
        <w:rPr>
          <w:rFonts w:ascii="Times New Roman" w:hAnsi="Times New Roman" w:cs="Times New Roman"/>
          <w:sz w:val="24"/>
          <w:szCs w:val="24"/>
        </w:rPr>
        <w:t>10.2. Vykdytojas turi teisę reikalauti, kad Užsakovas priimtų Paslaugas ir sumokėtų už jas šioje Sutartyje numatytą kainą;</w:t>
      </w:r>
    </w:p>
    <w:p w14:paraId="0D467837" w14:textId="77777777" w:rsidR="00707D75" w:rsidRPr="0005794C" w:rsidRDefault="00707D75" w:rsidP="00707D75">
      <w:pPr>
        <w:widowControl w:val="0"/>
        <w:tabs>
          <w:tab w:val="left" w:pos="851"/>
        </w:tabs>
        <w:ind w:firstLine="360"/>
        <w:jc w:val="both"/>
        <w:rPr>
          <w:lang w:val="lt-LT"/>
        </w:rPr>
      </w:pPr>
      <w:r w:rsidRPr="0005794C">
        <w:rPr>
          <w:lang w:val="lt-LT"/>
        </w:rPr>
        <w:t>10.3. turėti ir, Užsakovui pareikalavus, pateikti Sutarties vykdymui reikalingus dokumentus;</w:t>
      </w:r>
    </w:p>
    <w:p w14:paraId="637E7C31" w14:textId="77777777" w:rsidR="00707D75" w:rsidRPr="00574E5E" w:rsidRDefault="00707D75" w:rsidP="00707D75">
      <w:pPr>
        <w:widowControl w:val="0"/>
        <w:tabs>
          <w:tab w:val="left" w:pos="851"/>
        </w:tabs>
        <w:ind w:firstLine="360"/>
        <w:jc w:val="both"/>
        <w:rPr>
          <w:lang w:val="lt-LT"/>
        </w:rPr>
      </w:pPr>
      <w:r w:rsidRPr="00574E5E">
        <w:rPr>
          <w:lang w:val="lt-LT"/>
        </w:rPr>
        <w:t>10.4. užtikrinti Paslaugų teikimą pagal Sutarties sąlygas;</w:t>
      </w:r>
    </w:p>
    <w:p w14:paraId="066F5612" w14:textId="77777777" w:rsidR="00707D75" w:rsidRPr="0005794C" w:rsidRDefault="00707D75" w:rsidP="00707D75">
      <w:pPr>
        <w:pStyle w:val="Betarp1"/>
        <w:tabs>
          <w:tab w:val="left" w:pos="851"/>
        </w:tabs>
        <w:jc w:val="both"/>
        <w:rPr>
          <w:rFonts w:ascii="Times New Roman" w:hAnsi="Times New Roman" w:cs="Times New Roman"/>
          <w:sz w:val="24"/>
          <w:szCs w:val="24"/>
        </w:rPr>
      </w:pPr>
      <w:r w:rsidRPr="0005794C">
        <w:rPr>
          <w:rFonts w:ascii="Times New Roman" w:hAnsi="Times New Roman" w:cs="Times New Roman"/>
          <w:sz w:val="24"/>
          <w:szCs w:val="24"/>
        </w:rPr>
        <w:t xml:space="preserve">      11. Užsakovas įsipareigoja:</w:t>
      </w:r>
    </w:p>
    <w:p w14:paraId="7845A416" w14:textId="77777777" w:rsidR="00707D75" w:rsidRPr="0005794C" w:rsidRDefault="00707D75" w:rsidP="00707D75">
      <w:pPr>
        <w:pStyle w:val="Punktai"/>
        <w:numPr>
          <w:ilvl w:val="0"/>
          <w:numId w:val="0"/>
        </w:numPr>
        <w:tabs>
          <w:tab w:val="left" w:pos="284"/>
          <w:tab w:val="left" w:pos="360"/>
          <w:tab w:val="left" w:pos="540"/>
          <w:tab w:val="left" w:pos="851"/>
        </w:tabs>
        <w:suppressAutoHyphens w:val="0"/>
        <w:ind w:firstLine="284"/>
        <w:rPr>
          <w:spacing w:val="3"/>
          <w:szCs w:val="24"/>
          <w:lang w:val="lt-LT"/>
        </w:rPr>
      </w:pPr>
      <w:r w:rsidRPr="0005794C">
        <w:rPr>
          <w:szCs w:val="24"/>
          <w:lang w:val="lt-LT"/>
        </w:rPr>
        <w:t xml:space="preserve"> 11.1.</w:t>
      </w:r>
      <w:r w:rsidRPr="0005794C">
        <w:rPr>
          <w:color w:val="FF0000"/>
          <w:spacing w:val="3"/>
          <w:szCs w:val="24"/>
          <w:lang w:val="lt-LT"/>
        </w:rPr>
        <w:t xml:space="preserve"> </w:t>
      </w:r>
      <w:r w:rsidRPr="0005794C">
        <w:rPr>
          <w:spacing w:val="3"/>
          <w:szCs w:val="24"/>
          <w:lang w:val="lt-LT"/>
        </w:rPr>
        <w:t xml:space="preserve">sumokėti už Paslaugas </w:t>
      </w:r>
      <w:r w:rsidRPr="0005794C">
        <w:rPr>
          <w:szCs w:val="24"/>
          <w:lang w:val="lt-LT"/>
        </w:rPr>
        <w:t>šioje Sutartyje nustatyta tvarka</w:t>
      </w:r>
      <w:r w:rsidRPr="0005794C">
        <w:rPr>
          <w:spacing w:val="3"/>
          <w:szCs w:val="24"/>
          <w:lang w:val="lt-LT"/>
        </w:rPr>
        <w:t>;</w:t>
      </w:r>
    </w:p>
    <w:p w14:paraId="22B4DEFF" w14:textId="77777777" w:rsidR="00707D75" w:rsidRPr="0005794C" w:rsidRDefault="00707D75" w:rsidP="00707D75">
      <w:pPr>
        <w:pStyle w:val="Punktai"/>
        <w:numPr>
          <w:ilvl w:val="0"/>
          <w:numId w:val="0"/>
        </w:numPr>
        <w:tabs>
          <w:tab w:val="left" w:pos="284"/>
          <w:tab w:val="left" w:pos="540"/>
          <w:tab w:val="left" w:pos="851"/>
          <w:tab w:val="num" w:pos="1080"/>
        </w:tabs>
        <w:suppressAutoHyphens w:val="0"/>
        <w:ind w:firstLine="284"/>
        <w:jc w:val="both"/>
        <w:rPr>
          <w:szCs w:val="24"/>
          <w:lang w:val="lt-LT"/>
        </w:rPr>
      </w:pPr>
      <w:r w:rsidRPr="0005794C">
        <w:rPr>
          <w:szCs w:val="24"/>
          <w:lang w:val="lt-LT"/>
        </w:rPr>
        <w:t xml:space="preserve"> 11.2. reikalauti iš Vykdytojo atlyginti nuostolius, kurie atsirado delsiant įvykdyti įsipareigojimus.</w:t>
      </w:r>
    </w:p>
    <w:p w14:paraId="0FDBB1FC" w14:textId="77777777" w:rsidR="00707D75" w:rsidRPr="0005794C" w:rsidRDefault="00707D75" w:rsidP="00707D75">
      <w:pPr>
        <w:tabs>
          <w:tab w:val="left" w:pos="284"/>
          <w:tab w:val="left" w:pos="426"/>
        </w:tabs>
        <w:jc w:val="both"/>
        <w:rPr>
          <w:lang w:val="lt-LT"/>
        </w:rPr>
      </w:pPr>
    </w:p>
    <w:p w14:paraId="7A47BFC0" w14:textId="77777777" w:rsidR="00707D75" w:rsidRPr="00574E5E" w:rsidRDefault="00707D75" w:rsidP="00707D75">
      <w:pPr>
        <w:jc w:val="center"/>
        <w:rPr>
          <w:b/>
          <w:bCs/>
          <w:lang w:val="pt-BR"/>
        </w:rPr>
      </w:pPr>
      <w:r w:rsidRPr="00574E5E">
        <w:rPr>
          <w:b/>
          <w:bCs/>
          <w:lang w:val="pt-BR"/>
        </w:rPr>
        <w:t>IV. PASLAUGŲ TIEKIMO TVARKA IR GARANTIJOS</w:t>
      </w:r>
    </w:p>
    <w:p w14:paraId="2D941339" w14:textId="77777777" w:rsidR="00707D75" w:rsidRPr="00574E5E" w:rsidRDefault="00707D75" w:rsidP="00707D75">
      <w:pPr>
        <w:jc w:val="center"/>
        <w:rPr>
          <w:b/>
          <w:bCs/>
          <w:lang w:val="pt-BR"/>
        </w:rPr>
      </w:pPr>
    </w:p>
    <w:p w14:paraId="24B24FE5"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5794C">
        <w:rPr>
          <w:rFonts w:ascii="Times New Roman" w:hAnsi="Times New Roman" w:cs="Times New Roman"/>
          <w:sz w:val="24"/>
          <w:szCs w:val="24"/>
        </w:rPr>
        <w:t>Jei Vykdytojas tiekia Paslaugas, neatitinkančias pirkimo reikalavimų, Užsakovas turi teisę nutraukti dalies ar visos Sutarties vykdymą.</w:t>
      </w:r>
    </w:p>
    <w:p w14:paraId="67AFC407"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5794C">
        <w:rPr>
          <w:rFonts w:ascii="Times New Roman" w:hAnsi="Times New Roman" w:cs="Times New Roman"/>
          <w:sz w:val="24"/>
          <w:szCs w:val="24"/>
        </w:rPr>
        <w:t>Jeigu tiekiamų Paslaugų kokybė atitiks pirkimo reikalavimus, bet Paslaugų naudojimo metu arba darbo eigoje išryškės kiti trūkumai, Užsakovas pasilieka sau teisę nutraukti šių Paslaugų pirkimą.</w:t>
      </w:r>
    </w:p>
    <w:p w14:paraId="5D003774" w14:textId="77777777" w:rsidR="00707D75" w:rsidRPr="0005794C" w:rsidRDefault="00707D75" w:rsidP="00707D75">
      <w:pPr>
        <w:pStyle w:val="Betarp1"/>
        <w:numPr>
          <w:ilvl w:val="0"/>
          <w:numId w:val="2"/>
        </w:numPr>
        <w:tabs>
          <w:tab w:val="left" w:pos="284"/>
          <w:tab w:val="left" w:pos="426"/>
          <w:tab w:val="left" w:pos="709"/>
          <w:tab w:val="left" w:pos="851"/>
        </w:tabs>
        <w:ind w:left="0" w:firstLine="360"/>
        <w:jc w:val="both"/>
        <w:rPr>
          <w:rFonts w:ascii="Times New Roman" w:hAnsi="Times New Roman" w:cs="Times New Roman"/>
          <w:sz w:val="24"/>
          <w:szCs w:val="24"/>
        </w:rPr>
      </w:pPr>
      <w:r w:rsidRPr="0005794C">
        <w:rPr>
          <w:rFonts w:ascii="Times New Roman" w:hAnsi="Times New Roman" w:cs="Times New Roman"/>
          <w:bCs/>
          <w:sz w:val="24"/>
          <w:szCs w:val="24"/>
        </w:rPr>
        <w:t>Vykdytojas</w:t>
      </w:r>
      <w:r w:rsidRPr="0005794C">
        <w:rPr>
          <w:rFonts w:ascii="Times New Roman" w:hAnsi="Times New Roman" w:cs="Times New Roman"/>
          <w:sz w:val="24"/>
          <w:szCs w:val="24"/>
        </w:rPr>
        <w:t xml:space="preserve">, teikdamas Paslaugas, privalo laikytis visų Lietuvos Respublikoje priimtų ir galiojančių teisės aktų, nutarimų, potvarkių, taisyklių ir įsakymų, išleistų jonizuojančiosios spinduliuotės šaltinių </w:t>
      </w:r>
      <w:r w:rsidRPr="0005794C">
        <w:rPr>
          <w:rFonts w:ascii="Times New Roman" w:hAnsi="Times New Roman" w:cs="Times New Roman"/>
          <w:sz w:val="24"/>
          <w:szCs w:val="24"/>
        </w:rPr>
        <w:lastRenderedPageBreak/>
        <w:t>kokybės kontrolės paslaugos vykdymo srityje, o taip pat teisėtų visuomenės, savivaldybių ir kitų valdžios organų reikalavimų, kurie yra susiję su vykdoma Paslauga, jų vykdymu, žmonių saugumu darbo vietoje arba greta jos.</w:t>
      </w:r>
    </w:p>
    <w:p w14:paraId="6C5C4118" w14:textId="77777777" w:rsidR="00707D75" w:rsidRPr="0006379B"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6379B">
        <w:rPr>
          <w:rFonts w:ascii="Times New Roman" w:hAnsi="Times New Roman" w:cs="Times New Roman"/>
          <w:sz w:val="24"/>
          <w:szCs w:val="24"/>
        </w:rPr>
        <w:t xml:space="preserve">Už Vykdytojo sutartinių įsipareigojimų vykdymą atsakingas Romas </w:t>
      </w:r>
      <w:proofErr w:type="spellStart"/>
      <w:r w:rsidRPr="0006379B">
        <w:rPr>
          <w:rFonts w:ascii="Times New Roman" w:hAnsi="Times New Roman" w:cs="Times New Roman"/>
          <w:sz w:val="24"/>
          <w:szCs w:val="24"/>
        </w:rPr>
        <w:t>Milkamanavičius</w:t>
      </w:r>
      <w:proofErr w:type="spellEnd"/>
      <w:r w:rsidRPr="0006379B">
        <w:rPr>
          <w:rFonts w:ascii="Times New Roman" w:hAnsi="Times New Roman" w:cs="Times New Roman"/>
          <w:sz w:val="24"/>
          <w:szCs w:val="24"/>
        </w:rPr>
        <w:t xml:space="preserve">, tel. 8 616 81441, el. paštas </w:t>
      </w:r>
      <w:proofErr w:type="spellStart"/>
      <w:r w:rsidRPr="0006379B">
        <w:rPr>
          <w:rFonts w:ascii="Times New Roman" w:hAnsi="Times New Roman" w:cs="Times New Roman"/>
          <w:sz w:val="24"/>
          <w:szCs w:val="24"/>
        </w:rPr>
        <w:t>romas.m</w:t>
      </w:r>
      <w:proofErr w:type="spellEnd"/>
      <w:r w:rsidRPr="00574E5E">
        <w:rPr>
          <w:rFonts w:ascii="Times New Roman" w:hAnsi="Times New Roman" w:cs="Times New Roman"/>
          <w:sz w:val="24"/>
          <w:szCs w:val="24"/>
        </w:rPr>
        <w:t>@limeta.lt</w:t>
      </w:r>
      <w:r w:rsidRPr="0006379B">
        <w:rPr>
          <w:rFonts w:ascii="Times New Roman" w:hAnsi="Times New Roman" w:cs="Times New Roman"/>
          <w:sz w:val="24"/>
          <w:szCs w:val="24"/>
        </w:rPr>
        <w:t>.</w:t>
      </w:r>
    </w:p>
    <w:p w14:paraId="2A3A1B66"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5794C">
        <w:rPr>
          <w:rFonts w:ascii="Times New Roman" w:hAnsi="Times New Roman" w:cs="Times New Roman"/>
          <w:sz w:val="24"/>
          <w:szCs w:val="24"/>
          <w:lang w:eastAsia="en-US"/>
        </w:rPr>
        <w:t>Už Užsakovo įsipareigojimų vykdymo, Paslaugų pristatymo terminų laikymosi koordinavimą (organizavimą), taip pat Paslaugų atitikties pirkimo Sutartyje numatytiems kokybiniams ir kitiems reikalavimams stebėseną atsakinga</w:t>
      </w:r>
      <w:r w:rsidRPr="0005794C">
        <w:rPr>
          <w:rFonts w:ascii="Times New Roman" w:hAnsi="Times New Roman" w:cs="Times New Roman"/>
          <w:sz w:val="24"/>
          <w:szCs w:val="24"/>
        </w:rPr>
        <w:t xml:space="preserve"> </w:t>
      </w:r>
      <w:r>
        <w:rPr>
          <w:rFonts w:ascii="Times New Roman" w:hAnsi="Times New Roman" w:cs="Times New Roman"/>
          <w:sz w:val="24"/>
          <w:szCs w:val="24"/>
        </w:rPr>
        <w:t xml:space="preserve">Jūratė </w:t>
      </w:r>
      <w:proofErr w:type="spellStart"/>
      <w:r>
        <w:rPr>
          <w:rFonts w:ascii="Times New Roman" w:hAnsi="Times New Roman" w:cs="Times New Roman"/>
          <w:sz w:val="24"/>
          <w:szCs w:val="24"/>
        </w:rPr>
        <w:t>Pakalniškienė</w:t>
      </w:r>
      <w:proofErr w:type="spellEnd"/>
      <w:r>
        <w:rPr>
          <w:rFonts w:ascii="Times New Roman" w:hAnsi="Times New Roman" w:cs="Times New Roman"/>
          <w:sz w:val="24"/>
          <w:szCs w:val="24"/>
        </w:rPr>
        <w:t xml:space="preserve">, el. </w:t>
      </w:r>
      <w:proofErr w:type="spellStart"/>
      <w:r>
        <w:rPr>
          <w:rFonts w:ascii="Times New Roman" w:hAnsi="Times New Roman" w:cs="Times New Roman"/>
          <w:sz w:val="24"/>
          <w:szCs w:val="24"/>
        </w:rPr>
        <w:t>paštyas</w:t>
      </w:r>
      <w:proofErr w:type="spellEnd"/>
      <w:r>
        <w:rPr>
          <w:rFonts w:ascii="Times New Roman" w:hAnsi="Times New Roman" w:cs="Times New Roman"/>
          <w:sz w:val="24"/>
          <w:szCs w:val="24"/>
        </w:rPr>
        <w:t xml:space="preserve">: </w:t>
      </w:r>
      <w:hyperlink r:id="rId8" w:history="1">
        <w:r w:rsidRPr="00B10D2A">
          <w:rPr>
            <w:rStyle w:val="Hipersaitas"/>
            <w:rFonts w:ascii="Times New Roman" w:eastAsiaTheme="majorEastAsia" w:hAnsi="Times New Roman" w:cs="Times New Roman"/>
            <w:sz w:val="24"/>
            <w:szCs w:val="24"/>
          </w:rPr>
          <w:t>sekretore</w:t>
        </w:r>
        <w:r w:rsidRPr="00574E5E">
          <w:rPr>
            <w:rStyle w:val="Hipersaitas"/>
            <w:rFonts w:ascii="Times New Roman" w:eastAsiaTheme="majorEastAsia" w:hAnsi="Times New Roman" w:cs="Times New Roman"/>
            <w:sz w:val="24"/>
            <w:szCs w:val="24"/>
          </w:rPr>
          <w:t>@plungesligonine.lt</w:t>
        </w:r>
      </w:hyperlink>
      <w:r w:rsidRPr="00574E5E">
        <w:rPr>
          <w:rFonts w:ascii="Times New Roman" w:hAnsi="Times New Roman" w:cs="Times New Roman"/>
          <w:sz w:val="24"/>
          <w:szCs w:val="24"/>
        </w:rPr>
        <w:t xml:space="preserve"> </w:t>
      </w:r>
    </w:p>
    <w:p w14:paraId="1239DE44"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5794C">
        <w:rPr>
          <w:rFonts w:ascii="Times New Roman" w:eastAsia="Arial Unicode MS" w:hAnsi="Times New Roman" w:cs="Times New Roman"/>
          <w:sz w:val="24"/>
          <w:szCs w:val="24"/>
          <w:bdr w:val="nil"/>
          <w:lang w:eastAsia="lt-LT"/>
        </w:rPr>
        <w:t>Už</w:t>
      </w:r>
      <w:r w:rsidRPr="00574E5E">
        <w:rPr>
          <w:rFonts w:ascii="Times New Roman" w:eastAsia="Arial Unicode MS" w:hAnsi="Times New Roman" w:cs="Times New Roman"/>
          <w:sz w:val="24"/>
          <w:szCs w:val="24"/>
          <w:bdr w:val="nil"/>
          <w:lang w:eastAsia="lt-LT"/>
        </w:rPr>
        <w:t>sakovo paskirtas asmuo, atsakingas u</w:t>
      </w:r>
      <w:r w:rsidRPr="0005794C">
        <w:rPr>
          <w:rFonts w:ascii="Times New Roman" w:eastAsia="Arial Unicode MS" w:hAnsi="Times New Roman" w:cs="Times New Roman"/>
          <w:sz w:val="24"/>
          <w:szCs w:val="24"/>
          <w:bdr w:val="nil"/>
          <w:lang w:eastAsia="lt-LT"/>
        </w:rPr>
        <w:t>ž S</w:t>
      </w:r>
      <w:proofErr w:type="spellStart"/>
      <w:r w:rsidRPr="0005794C">
        <w:rPr>
          <w:rFonts w:ascii="Times New Roman" w:eastAsia="Arial Unicode MS" w:hAnsi="Times New Roman" w:cs="Times New Roman"/>
          <w:sz w:val="24"/>
          <w:szCs w:val="24"/>
          <w:bdr w:val="nil"/>
          <w:lang w:val="de-DE" w:eastAsia="lt-LT"/>
        </w:rPr>
        <w:t>utarties</w:t>
      </w:r>
      <w:proofErr w:type="spellEnd"/>
      <w:r w:rsidRPr="0005794C">
        <w:rPr>
          <w:rFonts w:ascii="Times New Roman" w:eastAsia="Arial Unicode MS" w:hAnsi="Times New Roman" w:cs="Times New Roman"/>
          <w:sz w:val="24"/>
          <w:szCs w:val="24"/>
          <w:bdr w:val="nil"/>
          <w:lang w:val="de-DE" w:eastAsia="lt-LT"/>
        </w:rPr>
        <w:t xml:space="preserve"> ir </w:t>
      </w:r>
      <w:proofErr w:type="spellStart"/>
      <w:r w:rsidRPr="0005794C">
        <w:rPr>
          <w:rFonts w:ascii="Times New Roman" w:eastAsia="Arial Unicode MS" w:hAnsi="Times New Roman" w:cs="Times New Roman"/>
          <w:sz w:val="24"/>
          <w:szCs w:val="24"/>
          <w:bdr w:val="nil"/>
          <w:lang w:val="de-DE" w:eastAsia="lt-LT"/>
        </w:rPr>
        <w:t>pakeitim</w:t>
      </w:r>
      <w:proofErr w:type="spellEnd"/>
      <w:r w:rsidRPr="0005794C">
        <w:rPr>
          <w:rFonts w:ascii="Times New Roman" w:eastAsia="Arial Unicode MS" w:hAnsi="Times New Roman" w:cs="Times New Roman"/>
          <w:sz w:val="24"/>
          <w:szCs w:val="24"/>
          <w:bdr w:val="nil"/>
          <w:lang w:eastAsia="lt-LT"/>
        </w:rPr>
        <w:t xml:space="preserve">ų paskelbimą </w:t>
      </w:r>
      <w:r w:rsidRPr="00574E5E">
        <w:rPr>
          <w:rFonts w:ascii="Times New Roman" w:eastAsia="Arial Unicode MS" w:hAnsi="Times New Roman" w:cs="Times New Roman"/>
          <w:sz w:val="24"/>
          <w:szCs w:val="24"/>
          <w:bdr w:val="nil"/>
          <w:lang w:eastAsia="lt-LT"/>
        </w:rPr>
        <w:t xml:space="preserve">pagal </w:t>
      </w:r>
      <w:r w:rsidRPr="0005794C">
        <w:rPr>
          <w:rFonts w:ascii="Times New Roman" w:eastAsia="Arial Unicode MS" w:hAnsi="Times New Roman" w:cs="Times New Roman"/>
          <w:sz w:val="24"/>
          <w:szCs w:val="24"/>
          <w:bdr w:val="nil"/>
          <w:lang w:eastAsia="lt-LT"/>
        </w:rPr>
        <w:t xml:space="preserve">Viešųjų pirkimų įstatymo 86 straipsnio 9 dalies nuostatas yra </w:t>
      </w:r>
      <w:proofErr w:type="spellStart"/>
      <w:r>
        <w:rPr>
          <w:rFonts w:ascii="Times New Roman" w:eastAsia="Arial Unicode MS" w:hAnsi="Times New Roman" w:cs="Times New Roman"/>
          <w:sz w:val="24"/>
          <w:szCs w:val="24"/>
          <w:bdr w:val="nil"/>
          <w:lang w:eastAsia="lt-LT"/>
        </w:rPr>
        <w:t>D.Černiauskienė</w:t>
      </w:r>
      <w:proofErr w:type="spellEnd"/>
    </w:p>
    <w:p w14:paraId="511091BF" w14:textId="77777777" w:rsidR="00707D75" w:rsidRPr="0005794C" w:rsidRDefault="00707D75" w:rsidP="00707D75">
      <w:pPr>
        <w:pBdr>
          <w:top w:val="nil"/>
          <w:left w:val="nil"/>
          <w:bottom w:val="nil"/>
          <w:right w:val="nil"/>
          <w:between w:val="nil"/>
          <w:bar w:val="nil"/>
        </w:pBdr>
        <w:ind w:left="720"/>
        <w:jc w:val="both"/>
        <w:rPr>
          <w:rFonts w:eastAsia="Arial Unicode MS"/>
          <w:color w:val="000000"/>
          <w:bdr w:val="nil"/>
          <w:lang w:val="lt-LT" w:eastAsia="lt-LT"/>
        </w:rPr>
      </w:pPr>
    </w:p>
    <w:p w14:paraId="03B42B53" w14:textId="77777777" w:rsidR="00707D75" w:rsidRPr="0005794C" w:rsidRDefault="00707D75" w:rsidP="00707D75">
      <w:pPr>
        <w:ind w:left="360"/>
        <w:jc w:val="center"/>
        <w:rPr>
          <w:b/>
        </w:rPr>
      </w:pPr>
      <w:r w:rsidRPr="0005794C">
        <w:rPr>
          <w:b/>
        </w:rPr>
        <w:t>V. ŠALIŲ ATSAKOMYBĖ</w:t>
      </w:r>
    </w:p>
    <w:p w14:paraId="31EEC7F3" w14:textId="77777777" w:rsidR="00707D75" w:rsidRPr="0005794C" w:rsidRDefault="00707D75" w:rsidP="00707D75">
      <w:pPr>
        <w:ind w:left="360"/>
        <w:jc w:val="center"/>
        <w:rPr>
          <w:b/>
        </w:rPr>
      </w:pPr>
    </w:p>
    <w:p w14:paraId="307982FB"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5794C">
        <w:rPr>
          <w:rFonts w:ascii="Times New Roman" w:hAnsi="Times New Roman" w:cs="Times New Roman"/>
          <w:sz w:val="24"/>
          <w:szCs w:val="24"/>
        </w:rPr>
        <w:t>Jeigu Paslaugos bus nekokybiškos dėl gamintojo arba Vykdytojo kaltės, Užsakovas turi teisę atsisakyti neatitinkančių užsakymo ir / ar nekokybiškų paslaugų ir pareikalauti, kad paslaugos būtų pakeistos į tinkamos kokybės paslaugas. Vykdytojas garantuoja netinkamos kokybės paslaugų pakeitimą kokybiškomis paslaugomis per 5 (penkias) darbo dienas nuo nusiskundimo gavimo iš Užsakovo dienos.</w:t>
      </w:r>
      <w:r w:rsidRPr="0005794C">
        <w:rPr>
          <w:rFonts w:ascii="Times New Roman" w:hAnsi="Times New Roman" w:cs="Times New Roman"/>
          <w:color w:val="FF0000"/>
          <w:sz w:val="24"/>
          <w:szCs w:val="24"/>
        </w:rPr>
        <w:t xml:space="preserve"> </w:t>
      </w:r>
    </w:p>
    <w:p w14:paraId="40A29885"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5794C">
        <w:rPr>
          <w:rFonts w:ascii="Times New Roman" w:hAnsi="Times New Roman" w:cs="Times New Roman"/>
          <w:bCs/>
          <w:sz w:val="24"/>
          <w:szCs w:val="24"/>
        </w:rPr>
        <w:t xml:space="preserve">Užsakovas galimas pretenzijas dėl tiekiamų Paslaugų kokybės privalo pareikšti Vykdytojui per </w:t>
      </w:r>
      <w:r w:rsidRPr="0005794C">
        <w:rPr>
          <w:rFonts w:ascii="Times New Roman" w:hAnsi="Times New Roman" w:cs="Times New Roman"/>
          <w:b/>
          <w:sz w:val="24"/>
          <w:szCs w:val="24"/>
        </w:rPr>
        <w:t>10 (dešimt)</w:t>
      </w:r>
      <w:r w:rsidRPr="0005794C">
        <w:rPr>
          <w:rFonts w:ascii="Times New Roman" w:hAnsi="Times New Roman" w:cs="Times New Roman"/>
          <w:bCs/>
          <w:sz w:val="24"/>
          <w:szCs w:val="24"/>
        </w:rPr>
        <w:t xml:space="preserve"> kalendorinių dienų nuo pastebėtų trūkumų ar defektų dienos.</w:t>
      </w:r>
    </w:p>
    <w:p w14:paraId="38C20F24"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bookmarkStart w:id="0" w:name="OLE_LINK66"/>
      <w:bookmarkStart w:id="1" w:name="OLE_LINK65"/>
      <w:r w:rsidRPr="0005794C">
        <w:rPr>
          <w:rFonts w:ascii="Times New Roman" w:hAnsi="Times New Roman" w:cs="Times New Roman"/>
          <w:sz w:val="24"/>
          <w:szCs w:val="24"/>
        </w:rPr>
        <w:t xml:space="preserve">Jei Vykdytojas vėluoja suteikti visas ar dalį Paslaugų Sutartyje arba papildomame susitarime  numatytais terminais arba įvykdyti garantinius įsipareigojimus Sutartyje numatytais terminais, Užsakovas turi teisę pradėti skaičiuoti </w:t>
      </w:r>
      <w:r w:rsidRPr="0005794C">
        <w:rPr>
          <w:rFonts w:ascii="Times New Roman" w:hAnsi="Times New Roman" w:cs="Times New Roman"/>
          <w:i/>
          <w:iCs/>
          <w:sz w:val="24"/>
          <w:szCs w:val="24"/>
        </w:rPr>
        <w:t xml:space="preserve">0,02 %  dydžio </w:t>
      </w:r>
      <w:r w:rsidRPr="0005794C">
        <w:rPr>
          <w:rFonts w:ascii="Times New Roman" w:hAnsi="Times New Roman" w:cs="Times New Roman"/>
          <w:sz w:val="24"/>
          <w:szCs w:val="24"/>
        </w:rPr>
        <w:t xml:space="preserve">delspinigius nuo laiku nesuteiktų paslaugų kainos ar nuo laiku neįvykdytų garantinių įsipareigojimų dienos už kiekvieną termino praleidimo dieną </w:t>
      </w:r>
      <w:bookmarkStart w:id="2" w:name="OLE_LINK50"/>
      <w:bookmarkStart w:id="3" w:name="OLE_LINK49"/>
      <w:bookmarkStart w:id="4" w:name="OLE_LINK48"/>
      <w:r w:rsidRPr="0005794C">
        <w:rPr>
          <w:rFonts w:ascii="Times New Roman" w:hAnsi="Times New Roman" w:cs="Times New Roman"/>
          <w:sz w:val="24"/>
          <w:szCs w:val="24"/>
        </w:rPr>
        <w:t>iki sutartinių įsipareigojimų įvykdymo dienos, bet ne ilgiau kaip 30 kalendorinių dienų, pradedant skaičiuoti nuo termino praleidimo dienos</w:t>
      </w:r>
      <w:r w:rsidRPr="0005794C">
        <w:rPr>
          <w:rFonts w:ascii="Times New Roman" w:hAnsi="Times New Roman" w:cs="Times New Roman"/>
          <w:i/>
          <w:sz w:val="24"/>
          <w:szCs w:val="24"/>
        </w:rPr>
        <w:t xml:space="preserve">. </w:t>
      </w:r>
      <w:r w:rsidRPr="0005794C">
        <w:rPr>
          <w:rFonts w:ascii="Times New Roman" w:hAnsi="Times New Roman" w:cs="Times New Roman"/>
          <w:sz w:val="24"/>
          <w:szCs w:val="24"/>
        </w:rPr>
        <w:t xml:space="preserve">Praėjus šiam 30 dienų terminui ir, Vykdytojui per šį terminą neįvykdžius savo sutartinių įsipareigojimų, </w:t>
      </w:r>
      <w:bookmarkEnd w:id="2"/>
      <w:r w:rsidRPr="0005794C">
        <w:rPr>
          <w:rFonts w:ascii="Times New Roman" w:hAnsi="Times New Roman" w:cs="Times New Roman"/>
          <w:sz w:val="24"/>
          <w:szCs w:val="24"/>
        </w:rPr>
        <w:t xml:space="preserve">Užsakovas </w:t>
      </w:r>
      <w:bookmarkStart w:id="5" w:name="OLE_LINK52"/>
      <w:bookmarkStart w:id="6" w:name="OLE_LINK51"/>
      <w:r w:rsidRPr="0005794C">
        <w:rPr>
          <w:rFonts w:ascii="Times New Roman" w:hAnsi="Times New Roman" w:cs="Times New Roman"/>
          <w:sz w:val="24"/>
          <w:szCs w:val="24"/>
        </w:rPr>
        <w:t>taikys Sutarties 24 punkte  numatytą baudą ir  gali vienašališkai nutraukti Sutartį</w:t>
      </w:r>
      <w:bookmarkEnd w:id="0"/>
      <w:bookmarkEnd w:id="1"/>
      <w:bookmarkEnd w:id="3"/>
      <w:bookmarkEnd w:id="4"/>
      <w:bookmarkEnd w:id="5"/>
      <w:bookmarkEnd w:id="6"/>
      <w:r w:rsidRPr="0005794C">
        <w:rPr>
          <w:rFonts w:ascii="Times New Roman" w:hAnsi="Times New Roman" w:cs="Times New Roman"/>
          <w:sz w:val="24"/>
          <w:szCs w:val="24"/>
        </w:rPr>
        <w:t>.</w:t>
      </w:r>
    </w:p>
    <w:p w14:paraId="07CBB657"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5794C">
        <w:rPr>
          <w:rFonts w:ascii="Times New Roman" w:hAnsi="Times New Roman" w:cs="Times New Roman"/>
          <w:sz w:val="24"/>
          <w:szCs w:val="24"/>
        </w:rPr>
        <w:t>Sutarties įvykdymo užtikrinimo būdas – bauda. Vykdytojui neįvykdžius ar netinkamai įvykdžius Sutartyje ar jos priede nustatytų įsipareigojimų (suteiktos Paslaugos neatitinka kokybinių ir kitų reikalavimų, nustatytų Sutartyje</w:t>
      </w:r>
      <w:bookmarkStart w:id="7" w:name="OLE_LINK3"/>
      <w:bookmarkStart w:id="8" w:name="OLE_LINK4"/>
      <w:r w:rsidRPr="0005794C">
        <w:rPr>
          <w:rFonts w:ascii="Times New Roman" w:hAnsi="Times New Roman" w:cs="Times New Roman"/>
          <w:sz w:val="24"/>
          <w:szCs w:val="24"/>
        </w:rPr>
        <w:t xml:space="preserve"> ir / ar neištaisyti nustatyti Paslaugų suteikimo trūkumai ir / ar viršytas Sutarties </w:t>
      </w:r>
      <w:r w:rsidRPr="0005794C">
        <w:rPr>
          <w:rFonts w:ascii="Times New Roman" w:hAnsi="Times New Roman" w:cs="Times New Roman"/>
          <w:color w:val="000000"/>
          <w:sz w:val="24"/>
          <w:szCs w:val="24"/>
        </w:rPr>
        <w:t xml:space="preserve">23 </w:t>
      </w:r>
      <w:r w:rsidRPr="0005794C">
        <w:rPr>
          <w:rFonts w:ascii="Times New Roman" w:hAnsi="Times New Roman" w:cs="Times New Roman"/>
          <w:sz w:val="24"/>
          <w:szCs w:val="24"/>
        </w:rPr>
        <w:t>punkte numatytas 30 dienų Paslaugų suteikimo ir garantinių įsipareigojimų vėlavimo terminas</w:t>
      </w:r>
      <w:bookmarkEnd w:id="7"/>
      <w:bookmarkEnd w:id="8"/>
      <w:r w:rsidRPr="0005794C">
        <w:rPr>
          <w:rFonts w:ascii="Times New Roman" w:hAnsi="Times New Roman" w:cs="Times New Roman"/>
          <w:sz w:val="24"/>
          <w:szCs w:val="24"/>
        </w:rPr>
        <w:t>), Vykdytojas moka Užsakovui 5 % dydžio baudą nuo nesuteiktų Paslaugų sumos. Baudos sumokėjimas neatleidžia Vykdytojo nuo tolimesnio Sutarties vykdymo.</w:t>
      </w:r>
    </w:p>
    <w:p w14:paraId="2D1EEE6A"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5794C">
        <w:rPr>
          <w:rFonts w:ascii="Times New Roman" w:hAnsi="Times New Roman" w:cs="Times New Roman"/>
          <w:sz w:val="24"/>
          <w:szCs w:val="24"/>
        </w:rPr>
        <w:t>Delspinigių ir baudos sumokėjimas neatleidžia Šalies nuo pareigos įvykdyti šia Sutartimi prisiimtus įsipareigojimus.</w:t>
      </w:r>
    </w:p>
    <w:p w14:paraId="16AD24F0" w14:textId="77777777" w:rsidR="00707D75" w:rsidRPr="0005794C" w:rsidRDefault="00707D75" w:rsidP="00707D75">
      <w:pPr>
        <w:pStyle w:val="Betarp1"/>
        <w:numPr>
          <w:ilvl w:val="0"/>
          <w:numId w:val="2"/>
        </w:numPr>
        <w:tabs>
          <w:tab w:val="left" w:pos="284"/>
          <w:tab w:val="left" w:pos="426"/>
          <w:tab w:val="left" w:pos="709"/>
        </w:tabs>
        <w:ind w:left="0" w:firstLine="360"/>
        <w:jc w:val="both"/>
        <w:rPr>
          <w:rFonts w:ascii="Times New Roman" w:hAnsi="Times New Roman" w:cs="Times New Roman"/>
          <w:sz w:val="24"/>
          <w:szCs w:val="24"/>
        </w:rPr>
      </w:pPr>
      <w:r w:rsidRPr="0005794C">
        <w:rPr>
          <w:rFonts w:ascii="Times New Roman" w:hAnsi="Times New Roman" w:cs="Times New Roman"/>
          <w:sz w:val="24"/>
          <w:szCs w:val="24"/>
        </w:rPr>
        <w:t>Užsakovas</w:t>
      </w:r>
      <w:r w:rsidRPr="0005794C">
        <w:rPr>
          <w:rStyle w:val="t385"/>
          <w:rFonts w:ascii="Times New Roman" w:hAnsi="Times New Roman" w:cs="Times New Roman"/>
          <w:sz w:val="24"/>
          <w:szCs w:val="24"/>
        </w:rPr>
        <w:t>, u</w:t>
      </w:r>
      <w:r w:rsidRPr="0005794C">
        <w:rPr>
          <w:rFonts w:ascii="Times New Roman" w:hAnsi="Times New Roman" w:cs="Times New Roman"/>
          <w:sz w:val="24"/>
          <w:szCs w:val="24"/>
        </w:rPr>
        <w:t>ždelsęs sumokėti Sutarties 5 punkte​​ numatyta tvarka, įsipareigoja, Vykdytojui pareikalavus,​​ mokė</w:t>
      </w:r>
      <w:r w:rsidRPr="0005794C">
        <w:rPr>
          <w:rStyle w:val="t386"/>
          <w:rFonts w:ascii="Times New Roman" w:hAnsi="Times New Roman" w:cs="Times New Roman"/>
          <w:sz w:val="24"/>
          <w:szCs w:val="24"/>
        </w:rPr>
        <w:t xml:space="preserve">ti Vykdytojui </w:t>
      </w:r>
      <w:r w:rsidRPr="0005794C">
        <w:rPr>
          <w:rFonts w:ascii="Times New Roman" w:hAnsi="Times New Roman" w:cs="Times New Roman"/>
          <w:sz w:val="24"/>
          <w:szCs w:val="24"/>
        </w:rPr>
        <w:t>​​ </w:t>
      </w:r>
      <w:r w:rsidRPr="0005794C">
        <w:rPr>
          <w:rStyle w:val="t387"/>
          <w:rFonts w:ascii="Times New Roman" w:hAnsi="Times New Roman" w:cs="Times New Roman"/>
          <w:sz w:val="24"/>
          <w:szCs w:val="24"/>
        </w:rPr>
        <w:t>0,02​​ </w:t>
      </w:r>
      <w:r w:rsidRPr="0005794C">
        <w:rPr>
          <w:rFonts w:ascii="Times New Roman" w:hAnsi="Times New Roman" w:cs="Times New Roman"/>
          <w:sz w:val="24"/>
          <w:szCs w:val="24"/>
        </w:rPr>
        <w:t>%​​ </w:t>
      </w:r>
      <w:r w:rsidRPr="0005794C">
        <w:rPr>
          <w:rStyle w:val="t388"/>
          <w:rFonts w:ascii="Times New Roman" w:hAnsi="Times New Roman" w:cs="Times New Roman"/>
          <w:sz w:val="24"/>
          <w:szCs w:val="24"/>
        </w:rPr>
        <w:t>delspinigius nuo neapmok</w:t>
      </w:r>
      <w:r w:rsidRPr="0005794C">
        <w:rPr>
          <w:rFonts w:ascii="Times New Roman" w:hAnsi="Times New Roman" w:cs="Times New Roman"/>
          <w:sz w:val="24"/>
          <w:szCs w:val="24"/>
        </w:rPr>
        <w:t>ė</w:t>
      </w:r>
      <w:r w:rsidRPr="0005794C">
        <w:rPr>
          <w:rStyle w:val="t389"/>
          <w:rFonts w:ascii="Times New Roman" w:hAnsi="Times New Roman" w:cs="Times New Roman"/>
          <w:sz w:val="24"/>
          <w:szCs w:val="24"/>
        </w:rPr>
        <w:t>tos s</w:t>
      </w:r>
      <w:r w:rsidRPr="0005794C">
        <w:rPr>
          <w:rFonts w:ascii="Times New Roman" w:hAnsi="Times New Roman" w:cs="Times New Roman"/>
          <w:sz w:val="24"/>
          <w:szCs w:val="24"/>
        </w:rPr>
        <w:t>ąskaitos dydž</w:t>
      </w:r>
      <w:r w:rsidRPr="0005794C">
        <w:rPr>
          <w:rStyle w:val="t390"/>
          <w:rFonts w:ascii="Times New Roman" w:hAnsi="Times New Roman" w:cs="Times New Roman"/>
          <w:sz w:val="24"/>
          <w:szCs w:val="24"/>
        </w:rPr>
        <w:t>io, u</w:t>
      </w:r>
      <w:r w:rsidRPr="0005794C">
        <w:rPr>
          <w:rFonts w:ascii="Times New Roman" w:hAnsi="Times New Roman" w:cs="Times New Roman"/>
          <w:sz w:val="24"/>
          <w:szCs w:val="24"/>
        </w:rPr>
        <w:t xml:space="preserve">ž kiekvieną uždelstą​​ </w:t>
      </w:r>
      <w:r w:rsidRPr="0005794C">
        <w:rPr>
          <w:rStyle w:val="t391"/>
          <w:rFonts w:ascii="Times New Roman" w:hAnsi="Times New Roman" w:cs="Times New Roman"/>
          <w:sz w:val="24"/>
          <w:szCs w:val="24"/>
        </w:rPr>
        <w:t>dien</w:t>
      </w:r>
      <w:r w:rsidRPr="0005794C">
        <w:rPr>
          <w:rFonts w:ascii="Times New Roman" w:hAnsi="Times New Roman" w:cs="Times New Roman"/>
          <w:sz w:val="24"/>
          <w:szCs w:val="24"/>
        </w:rPr>
        <w:t>ą.</w:t>
      </w:r>
    </w:p>
    <w:p w14:paraId="0B6EC928" w14:textId="77777777" w:rsidR="00707D75" w:rsidRPr="0005794C" w:rsidRDefault="00707D75" w:rsidP="00707D75">
      <w:pPr>
        <w:pStyle w:val="Betarp1"/>
        <w:tabs>
          <w:tab w:val="left" w:pos="284"/>
          <w:tab w:val="left" w:pos="426"/>
          <w:tab w:val="left" w:pos="709"/>
        </w:tabs>
        <w:ind w:left="360"/>
        <w:jc w:val="both"/>
        <w:rPr>
          <w:rFonts w:ascii="Times New Roman" w:hAnsi="Times New Roman" w:cs="Times New Roman"/>
          <w:sz w:val="24"/>
          <w:szCs w:val="24"/>
        </w:rPr>
      </w:pPr>
    </w:p>
    <w:p w14:paraId="3427BF53" w14:textId="77777777" w:rsidR="00707D75" w:rsidRPr="0005794C" w:rsidRDefault="00707D75" w:rsidP="00707D75">
      <w:pPr>
        <w:tabs>
          <w:tab w:val="left" w:pos="0"/>
        </w:tabs>
        <w:ind w:left="720"/>
        <w:jc w:val="center"/>
        <w:rPr>
          <w:b/>
        </w:rPr>
      </w:pPr>
      <w:r w:rsidRPr="0005794C">
        <w:rPr>
          <w:b/>
        </w:rPr>
        <w:t>VI. GINČŲ SPRENDIMO TVARKA</w:t>
      </w:r>
    </w:p>
    <w:p w14:paraId="73E3AB0A" w14:textId="77777777" w:rsidR="00707D75" w:rsidRPr="0005794C" w:rsidRDefault="00707D75" w:rsidP="00707D75">
      <w:pPr>
        <w:pStyle w:val="Sraopastraipa"/>
        <w:ind w:hanging="294"/>
        <w:rPr>
          <w:b/>
        </w:rPr>
      </w:pPr>
    </w:p>
    <w:p w14:paraId="0025A150" w14:textId="77777777" w:rsidR="00707D75" w:rsidRPr="0005794C" w:rsidRDefault="00707D75" w:rsidP="00707D75">
      <w:pPr>
        <w:numPr>
          <w:ilvl w:val="0"/>
          <w:numId w:val="2"/>
        </w:numPr>
        <w:tabs>
          <w:tab w:val="left" w:pos="0"/>
          <w:tab w:val="left" w:pos="142"/>
          <w:tab w:val="left" w:pos="284"/>
          <w:tab w:val="left" w:pos="709"/>
          <w:tab w:val="left" w:pos="851"/>
        </w:tabs>
        <w:ind w:left="-851" w:firstLine="1277"/>
        <w:jc w:val="both"/>
      </w:pPr>
      <w:r w:rsidRPr="0005794C">
        <w:t xml:space="preserve"> Visi </w:t>
      </w:r>
      <w:proofErr w:type="spellStart"/>
      <w:r w:rsidRPr="0005794C">
        <w:t>ginčai</w:t>
      </w:r>
      <w:proofErr w:type="spellEnd"/>
      <w:r w:rsidRPr="0005794C">
        <w:t xml:space="preserve"> tarp </w:t>
      </w:r>
      <w:proofErr w:type="spellStart"/>
      <w:r w:rsidRPr="0005794C">
        <w:t>Šalių</w:t>
      </w:r>
      <w:proofErr w:type="spellEnd"/>
      <w:r w:rsidRPr="0005794C">
        <w:t xml:space="preserve"> </w:t>
      </w:r>
      <w:proofErr w:type="spellStart"/>
      <w:r w:rsidRPr="0005794C">
        <w:t>dėl</w:t>
      </w:r>
      <w:proofErr w:type="spellEnd"/>
      <w:r w:rsidRPr="0005794C">
        <w:t xml:space="preserve"> </w:t>
      </w:r>
      <w:proofErr w:type="spellStart"/>
      <w:r w:rsidRPr="0005794C">
        <w:t>Sutarties</w:t>
      </w:r>
      <w:proofErr w:type="spellEnd"/>
      <w:r w:rsidRPr="0005794C">
        <w:t xml:space="preserve"> </w:t>
      </w:r>
      <w:proofErr w:type="spellStart"/>
      <w:r w:rsidRPr="0005794C">
        <w:t>vykdymo</w:t>
      </w:r>
      <w:proofErr w:type="spellEnd"/>
      <w:r w:rsidRPr="0005794C">
        <w:t xml:space="preserve"> </w:t>
      </w:r>
      <w:proofErr w:type="spellStart"/>
      <w:r w:rsidRPr="0005794C">
        <w:t>sprendžiami</w:t>
      </w:r>
      <w:proofErr w:type="spellEnd"/>
      <w:r w:rsidRPr="0005794C">
        <w:t xml:space="preserve"> </w:t>
      </w:r>
      <w:proofErr w:type="spellStart"/>
      <w:r w:rsidRPr="0005794C">
        <w:t>Šalių</w:t>
      </w:r>
      <w:proofErr w:type="spellEnd"/>
      <w:r w:rsidRPr="0005794C">
        <w:t xml:space="preserve"> </w:t>
      </w:r>
      <w:proofErr w:type="spellStart"/>
      <w:r w:rsidRPr="0005794C">
        <w:t>susitarimu</w:t>
      </w:r>
      <w:proofErr w:type="spellEnd"/>
      <w:r w:rsidRPr="0005794C">
        <w:t>.</w:t>
      </w:r>
    </w:p>
    <w:p w14:paraId="3EAA2526" w14:textId="77777777" w:rsidR="00707D75" w:rsidRPr="00574E5E" w:rsidRDefault="00707D75" w:rsidP="00707D75">
      <w:pPr>
        <w:numPr>
          <w:ilvl w:val="0"/>
          <w:numId w:val="2"/>
        </w:numPr>
        <w:tabs>
          <w:tab w:val="left" w:pos="0"/>
          <w:tab w:val="left" w:pos="851"/>
        </w:tabs>
        <w:ind w:left="-709" w:firstLine="1135"/>
        <w:jc w:val="both"/>
        <w:rPr>
          <w:lang w:val="pt-BR"/>
        </w:rPr>
      </w:pPr>
      <w:r w:rsidRPr="00574E5E">
        <w:rPr>
          <w:lang w:val="pt-BR"/>
        </w:rPr>
        <w:t>Šalims nesusitarus, ginčas nagrinėjamas teisme, vadovaujantis Lietuvos Respublikos įstatymais.</w:t>
      </w:r>
    </w:p>
    <w:p w14:paraId="205FE74B" w14:textId="77777777" w:rsidR="00707D75" w:rsidRPr="00574E5E" w:rsidRDefault="00707D75" w:rsidP="00707D75">
      <w:pPr>
        <w:tabs>
          <w:tab w:val="left" w:pos="0"/>
          <w:tab w:val="left" w:pos="851"/>
        </w:tabs>
        <w:ind w:left="426"/>
        <w:jc w:val="both"/>
        <w:rPr>
          <w:lang w:val="pt-BR"/>
        </w:rPr>
      </w:pPr>
    </w:p>
    <w:p w14:paraId="1A38EADC" w14:textId="77777777" w:rsidR="00707D75" w:rsidRPr="00574E5E" w:rsidRDefault="00707D75" w:rsidP="00707D75">
      <w:pPr>
        <w:tabs>
          <w:tab w:val="left" w:pos="0"/>
        </w:tabs>
        <w:ind w:left="720"/>
        <w:jc w:val="center"/>
        <w:rPr>
          <w:b/>
          <w:lang w:val="pt-BR"/>
        </w:rPr>
      </w:pPr>
      <w:r w:rsidRPr="00574E5E">
        <w:rPr>
          <w:b/>
          <w:lang w:val="pt-BR"/>
        </w:rPr>
        <w:t>VII. NENUGALIMA JĖGA (FORCE MAJEURE)</w:t>
      </w:r>
    </w:p>
    <w:p w14:paraId="1496BFC2" w14:textId="77777777" w:rsidR="00707D75" w:rsidRPr="00574E5E" w:rsidRDefault="00707D75" w:rsidP="00707D75">
      <w:pPr>
        <w:tabs>
          <w:tab w:val="left" w:pos="0"/>
        </w:tabs>
        <w:ind w:left="720"/>
        <w:jc w:val="center"/>
        <w:rPr>
          <w:b/>
          <w:lang w:val="pt-BR"/>
        </w:rPr>
      </w:pPr>
    </w:p>
    <w:p w14:paraId="7647340A" w14:textId="77777777" w:rsidR="00707D75" w:rsidRPr="0005794C" w:rsidRDefault="00707D75" w:rsidP="00707D75">
      <w:pPr>
        <w:numPr>
          <w:ilvl w:val="0"/>
          <w:numId w:val="2"/>
        </w:numPr>
        <w:tabs>
          <w:tab w:val="left" w:pos="0"/>
          <w:tab w:val="left" w:pos="851"/>
        </w:tabs>
        <w:ind w:left="0" w:firstLine="426"/>
        <w:jc w:val="both"/>
      </w:pPr>
      <w:proofErr w:type="spellStart"/>
      <w:r w:rsidRPr="0005794C">
        <w:t>Atsiradus</w:t>
      </w:r>
      <w:proofErr w:type="spellEnd"/>
      <w:r w:rsidRPr="0005794C">
        <w:t xml:space="preserve"> </w:t>
      </w:r>
      <w:proofErr w:type="spellStart"/>
      <w:r w:rsidRPr="0005794C">
        <w:t>nenugalimos</w:t>
      </w:r>
      <w:proofErr w:type="spellEnd"/>
      <w:r w:rsidRPr="0005794C">
        <w:t xml:space="preserve"> </w:t>
      </w:r>
      <w:proofErr w:type="spellStart"/>
      <w:r w:rsidRPr="0005794C">
        <w:t>jėgos</w:t>
      </w:r>
      <w:proofErr w:type="spellEnd"/>
      <w:r w:rsidRPr="0005794C">
        <w:t xml:space="preserve"> </w:t>
      </w:r>
      <w:proofErr w:type="spellStart"/>
      <w:r w:rsidRPr="0005794C">
        <w:t>aplinkybėms</w:t>
      </w:r>
      <w:proofErr w:type="spellEnd"/>
      <w:r w:rsidRPr="0005794C">
        <w:t xml:space="preserve">, </w:t>
      </w:r>
      <w:proofErr w:type="spellStart"/>
      <w:r w:rsidRPr="0005794C">
        <w:t>Šalys</w:t>
      </w:r>
      <w:proofErr w:type="spellEnd"/>
      <w:r w:rsidRPr="0005794C">
        <w:t xml:space="preserve"> </w:t>
      </w:r>
      <w:proofErr w:type="spellStart"/>
      <w:r w:rsidRPr="0005794C">
        <w:t>vadovaujasi</w:t>
      </w:r>
      <w:proofErr w:type="spellEnd"/>
      <w:r w:rsidRPr="0005794C">
        <w:t xml:space="preserve"> Lietuvos </w:t>
      </w:r>
      <w:proofErr w:type="spellStart"/>
      <w:r w:rsidRPr="0005794C">
        <w:t>Respublikos</w:t>
      </w:r>
      <w:proofErr w:type="spellEnd"/>
      <w:r w:rsidRPr="0005794C">
        <w:t xml:space="preserve"> </w:t>
      </w:r>
      <w:proofErr w:type="spellStart"/>
      <w:r w:rsidRPr="0005794C">
        <w:t>civiliniu</w:t>
      </w:r>
      <w:proofErr w:type="spellEnd"/>
      <w:r w:rsidRPr="0005794C">
        <w:t xml:space="preserve"> </w:t>
      </w:r>
      <w:proofErr w:type="spellStart"/>
      <w:r w:rsidRPr="0005794C">
        <w:t>kodeksu</w:t>
      </w:r>
      <w:proofErr w:type="spellEnd"/>
      <w:r w:rsidRPr="0005794C">
        <w:t xml:space="preserve"> ir „</w:t>
      </w:r>
      <w:proofErr w:type="spellStart"/>
      <w:r w:rsidRPr="0005794C">
        <w:t>Atleidimo</w:t>
      </w:r>
      <w:proofErr w:type="spellEnd"/>
      <w:r w:rsidRPr="0005794C">
        <w:t xml:space="preserve"> </w:t>
      </w:r>
      <w:proofErr w:type="spellStart"/>
      <w:r w:rsidRPr="0005794C">
        <w:t>nuo</w:t>
      </w:r>
      <w:proofErr w:type="spellEnd"/>
      <w:r w:rsidRPr="0005794C">
        <w:t xml:space="preserve"> </w:t>
      </w:r>
      <w:proofErr w:type="spellStart"/>
      <w:r w:rsidRPr="0005794C">
        <w:t>atsakomybės</w:t>
      </w:r>
      <w:proofErr w:type="spellEnd"/>
      <w:r w:rsidRPr="0005794C">
        <w:t xml:space="preserve"> </w:t>
      </w:r>
      <w:proofErr w:type="spellStart"/>
      <w:r w:rsidRPr="0005794C">
        <w:t>esant</w:t>
      </w:r>
      <w:proofErr w:type="spellEnd"/>
      <w:r w:rsidRPr="0005794C">
        <w:t xml:space="preserve"> </w:t>
      </w:r>
      <w:proofErr w:type="spellStart"/>
      <w:r w:rsidRPr="0005794C">
        <w:t>nenugalimos</w:t>
      </w:r>
      <w:proofErr w:type="spellEnd"/>
      <w:r w:rsidRPr="0005794C">
        <w:t xml:space="preserve"> </w:t>
      </w:r>
      <w:proofErr w:type="spellStart"/>
      <w:r w:rsidRPr="0005794C">
        <w:t>jėgos</w:t>
      </w:r>
      <w:proofErr w:type="spellEnd"/>
      <w:r w:rsidRPr="0005794C">
        <w:t xml:space="preserve"> </w:t>
      </w:r>
      <w:r w:rsidRPr="0005794C">
        <w:rPr>
          <w:i/>
        </w:rPr>
        <w:t xml:space="preserve">(force majeure) </w:t>
      </w:r>
      <w:proofErr w:type="spellStart"/>
      <w:r w:rsidRPr="0005794C">
        <w:t>aplinkybėms</w:t>
      </w:r>
      <w:proofErr w:type="spellEnd"/>
      <w:r w:rsidRPr="0005794C">
        <w:t xml:space="preserve"> </w:t>
      </w:r>
      <w:proofErr w:type="spellStart"/>
      <w:proofErr w:type="gramStart"/>
      <w:r w:rsidRPr="0005794C">
        <w:t>taisyklėmis</w:t>
      </w:r>
      <w:proofErr w:type="spellEnd"/>
      <w:r w:rsidRPr="0005794C">
        <w:t>“</w:t>
      </w:r>
      <w:proofErr w:type="gramEnd"/>
      <w:r w:rsidRPr="0005794C">
        <w:t xml:space="preserve">, </w:t>
      </w:r>
      <w:proofErr w:type="spellStart"/>
      <w:r w:rsidRPr="0005794C">
        <w:t>patvirtintomis</w:t>
      </w:r>
      <w:proofErr w:type="spellEnd"/>
      <w:r w:rsidRPr="0005794C">
        <w:t xml:space="preserve"> Lietuvos </w:t>
      </w:r>
      <w:proofErr w:type="spellStart"/>
      <w:r w:rsidRPr="0005794C">
        <w:t>Respublikos</w:t>
      </w:r>
      <w:proofErr w:type="spellEnd"/>
      <w:r w:rsidRPr="0005794C">
        <w:t xml:space="preserve"> </w:t>
      </w:r>
      <w:proofErr w:type="spellStart"/>
      <w:r w:rsidRPr="0005794C">
        <w:t>Vyriausybės</w:t>
      </w:r>
      <w:proofErr w:type="spellEnd"/>
      <w:r w:rsidRPr="0005794C">
        <w:t xml:space="preserve"> 1996 m. </w:t>
      </w:r>
      <w:proofErr w:type="spellStart"/>
      <w:r w:rsidRPr="0005794C">
        <w:t>liepos</w:t>
      </w:r>
      <w:proofErr w:type="spellEnd"/>
      <w:r w:rsidRPr="0005794C">
        <w:t xml:space="preserve"> 15 d. </w:t>
      </w:r>
      <w:proofErr w:type="spellStart"/>
      <w:r w:rsidRPr="0005794C">
        <w:t>nutarimu</w:t>
      </w:r>
      <w:proofErr w:type="spellEnd"/>
      <w:r w:rsidRPr="0005794C">
        <w:t xml:space="preserve"> Nr. </w:t>
      </w:r>
      <w:proofErr w:type="gramStart"/>
      <w:r w:rsidRPr="0005794C">
        <w:t>840  (</w:t>
      </w:r>
      <w:proofErr w:type="spellStart"/>
      <w:proofErr w:type="gramEnd"/>
      <w:r w:rsidRPr="0005794C">
        <w:t>Žin</w:t>
      </w:r>
      <w:proofErr w:type="spellEnd"/>
      <w:r w:rsidRPr="0005794C">
        <w:t xml:space="preserve">., 1996, Nr. 68-1652), ir </w:t>
      </w:r>
      <w:proofErr w:type="spellStart"/>
      <w:r w:rsidRPr="0005794C">
        <w:t>atleidžiamos</w:t>
      </w:r>
      <w:proofErr w:type="spellEnd"/>
      <w:r w:rsidRPr="0005794C">
        <w:t xml:space="preserve"> </w:t>
      </w:r>
      <w:proofErr w:type="spellStart"/>
      <w:r w:rsidRPr="0005794C">
        <w:t>nuo</w:t>
      </w:r>
      <w:proofErr w:type="spellEnd"/>
      <w:r w:rsidRPr="0005794C">
        <w:t xml:space="preserve"> </w:t>
      </w:r>
      <w:proofErr w:type="spellStart"/>
      <w:r w:rsidRPr="0005794C">
        <w:t>atsakomybės</w:t>
      </w:r>
      <w:proofErr w:type="spellEnd"/>
      <w:r w:rsidRPr="0005794C">
        <w:t xml:space="preserve"> </w:t>
      </w:r>
      <w:proofErr w:type="spellStart"/>
      <w:r w:rsidRPr="0005794C">
        <w:t>dėl</w:t>
      </w:r>
      <w:proofErr w:type="spellEnd"/>
      <w:r w:rsidRPr="0005794C">
        <w:t xml:space="preserve"> </w:t>
      </w:r>
      <w:proofErr w:type="spellStart"/>
      <w:r w:rsidRPr="0005794C">
        <w:t>sutartinių</w:t>
      </w:r>
      <w:proofErr w:type="spellEnd"/>
      <w:r w:rsidRPr="0005794C">
        <w:t xml:space="preserve"> </w:t>
      </w:r>
      <w:proofErr w:type="spellStart"/>
      <w:r w:rsidRPr="0005794C">
        <w:t>įsipareigojimų</w:t>
      </w:r>
      <w:proofErr w:type="spellEnd"/>
      <w:r w:rsidRPr="0005794C">
        <w:t xml:space="preserve"> </w:t>
      </w:r>
      <w:proofErr w:type="spellStart"/>
      <w:r w:rsidRPr="0005794C">
        <w:t>nevykdymo</w:t>
      </w:r>
      <w:proofErr w:type="spellEnd"/>
      <w:r w:rsidRPr="0005794C">
        <w:t xml:space="preserve"> </w:t>
      </w:r>
      <w:proofErr w:type="spellStart"/>
      <w:r w:rsidRPr="0005794C">
        <w:t>ar</w:t>
      </w:r>
      <w:proofErr w:type="spellEnd"/>
      <w:r w:rsidRPr="0005794C">
        <w:t xml:space="preserve"> </w:t>
      </w:r>
      <w:proofErr w:type="spellStart"/>
      <w:r w:rsidRPr="0005794C">
        <w:t>netinkamo</w:t>
      </w:r>
      <w:proofErr w:type="spellEnd"/>
      <w:r w:rsidRPr="0005794C">
        <w:t xml:space="preserve"> </w:t>
      </w:r>
      <w:proofErr w:type="spellStart"/>
      <w:r w:rsidRPr="0005794C">
        <w:t>vykdymo</w:t>
      </w:r>
      <w:proofErr w:type="spellEnd"/>
      <w:r w:rsidRPr="0005794C">
        <w:t xml:space="preserve"> </w:t>
      </w:r>
      <w:proofErr w:type="spellStart"/>
      <w:r w:rsidRPr="0005794C">
        <w:t>aplinkybių</w:t>
      </w:r>
      <w:proofErr w:type="spellEnd"/>
      <w:r w:rsidRPr="0005794C">
        <w:t xml:space="preserve"> </w:t>
      </w:r>
      <w:proofErr w:type="spellStart"/>
      <w:r w:rsidRPr="0005794C">
        <w:t>buvimo</w:t>
      </w:r>
      <w:proofErr w:type="spellEnd"/>
      <w:r w:rsidRPr="0005794C">
        <w:t xml:space="preserve"> </w:t>
      </w:r>
      <w:proofErr w:type="spellStart"/>
      <w:r w:rsidRPr="0005794C">
        <w:t>laikotarpiu</w:t>
      </w:r>
      <w:proofErr w:type="spellEnd"/>
      <w:r w:rsidRPr="0005794C">
        <w:t>.</w:t>
      </w:r>
    </w:p>
    <w:p w14:paraId="24A4572D" w14:textId="77777777" w:rsidR="00707D75" w:rsidRPr="0005794C" w:rsidRDefault="00707D75" w:rsidP="00707D75">
      <w:pPr>
        <w:numPr>
          <w:ilvl w:val="0"/>
          <w:numId w:val="2"/>
        </w:numPr>
        <w:tabs>
          <w:tab w:val="left" w:pos="0"/>
          <w:tab w:val="left" w:pos="851"/>
        </w:tabs>
        <w:ind w:left="0" w:firstLine="426"/>
        <w:jc w:val="both"/>
      </w:pPr>
      <w:r w:rsidRPr="0005794C">
        <w:t xml:space="preserve">Šalis, </w:t>
      </w:r>
      <w:proofErr w:type="spellStart"/>
      <w:r w:rsidRPr="0005794C">
        <w:t>kuri</w:t>
      </w:r>
      <w:proofErr w:type="spellEnd"/>
      <w:r w:rsidRPr="0005794C">
        <w:t xml:space="preserve"> </w:t>
      </w:r>
      <w:proofErr w:type="spellStart"/>
      <w:r w:rsidRPr="0005794C">
        <w:t>dėl</w:t>
      </w:r>
      <w:proofErr w:type="spellEnd"/>
      <w:r w:rsidRPr="0005794C">
        <w:t xml:space="preserve"> </w:t>
      </w:r>
      <w:proofErr w:type="spellStart"/>
      <w:r w:rsidRPr="0005794C">
        <w:t>nenugalimos</w:t>
      </w:r>
      <w:proofErr w:type="spellEnd"/>
      <w:r w:rsidRPr="0005794C">
        <w:t xml:space="preserve"> </w:t>
      </w:r>
      <w:proofErr w:type="spellStart"/>
      <w:r w:rsidRPr="0005794C">
        <w:t>jėgos</w:t>
      </w:r>
      <w:proofErr w:type="spellEnd"/>
      <w:r w:rsidRPr="0005794C">
        <w:t xml:space="preserve"> (</w:t>
      </w:r>
      <w:r w:rsidRPr="0005794C">
        <w:rPr>
          <w:i/>
        </w:rPr>
        <w:t>force majeure</w:t>
      </w:r>
      <w:r w:rsidRPr="0005794C">
        <w:t xml:space="preserve">) </w:t>
      </w:r>
      <w:proofErr w:type="spellStart"/>
      <w:r w:rsidRPr="0005794C">
        <w:t>aplinkybių</w:t>
      </w:r>
      <w:proofErr w:type="spellEnd"/>
      <w:r w:rsidRPr="0005794C">
        <w:t xml:space="preserve"> </w:t>
      </w:r>
      <w:proofErr w:type="spellStart"/>
      <w:r w:rsidRPr="0005794C">
        <w:t>negali</w:t>
      </w:r>
      <w:proofErr w:type="spellEnd"/>
      <w:r w:rsidRPr="0005794C">
        <w:t xml:space="preserve"> </w:t>
      </w:r>
      <w:proofErr w:type="spellStart"/>
      <w:r w:rsidRPr="0005794C">
        <w:t>vykdyti</w:t>
      </w:r>
      <w:proofErr w:type="spellEnd"/>
      <w:r w:rsidRPr="0005794C">
        <w:t xml:space="preserve"> </w:t>
      </w:r>
      <w:proofErr w:type="spellStart"/>
      <w:r w:rsidRPr="0005794C">
        <w:t>pagal</w:t>
      </w:r>
      <w:proofErr w:type="spellEnd"/>
      <w:r w:rsidRPr="0005794C">
        <w:t xml:space="preserve"> </w:t>
      </w:r>
      <w:proofErr w:type="spellStart"/>
      <w:r w:rsidRPr="0005794C">
        <w:t>Sutartį</w:t>
      </w:r>
      <w:proofErr w:type="spellEnd"/>
      <w:r w:rsidRPr="0005794C">
        <w:t xml:space="preserve"> </w:t>
      </w:r>
      <w:proofErr w:type="spellStart"/>
      <w:r w:rsidRPr="0005794C">
        <w:t>prisiimtų</w:t>
      </w:r>
      <w:proofErr w:type="spellEnd"/>
      <w:r w:rsidRPr="0005794C">
        <w:t xml:space="preserve"> </w:t>
      </w:r>
      <w:proofErr w:type="spellStart"/>
      <w:r w:rsidRPr="0005794C">
        <w:t>įsipareigojimų</w:t>
      </w:r>
      <w:proofErr w:type="spellEnd"/>
      <w:r w:rsidRPr="0005794C">
        <w:t xml:space="preserve">, </w:t>
      </w:r>
      <w:proofErr w:type="spellStart"/>
      <w:r w:rsidRPr="0005794C">
        <w:t>privalo</w:t>
      </w:r>
      <w:proofErr w:type="spellEnd"/>
      <w:r w:rsidRPr="0005794C">
        <w:t xml:space="preserve"> </w:t>
      </w:r>
      <w:proofErr w:type="spellStart"/>
      <w:r w:rsidRPr="0005794C">
        <w:t>nedelsdama</w:t>
      </w:r>
      <w:proofErr w:type="spellEnd"/>
      <w:r w:rsidRPr="0005794C">
        <w:t xml:space="preserve"> </w:t>
      </w:r>
      <w:proofErr w:type="spellStart"/>
      <w:r w:rsidRPr="0005794C">
        <w:t>pranešti</w:t>
      </w:r>
      <w:proofErr w:type="spellEnd"/>
      <w:r w:rsidRPr="0005794C">
        <w:t xml:space="preserve"> </w:t>
      </w:r>
      <w:proofErr w:type="spellStart"/>
      <w:r w:rsidRPr="0005794C">
        <w:t>apie</w:t>
      </w:r>
      <w:proofErr w:type="spellEnd"/>
      <w:r w:rsidRPr="0005794C">
        <w:t xml:space="preserve"> tai </w:t>
      </w:r>
      <w:proofErr w:type="spellStart"/>
      <w:r w:rsidRPr="0005794C">
        <w:t>kitai</w:t>
      </w:r>
      <w:proofErr w:type="spellEnd"/>
      <w:r w:rsidRPr="0005794C">
        <w:t xml:space="preserve"> </w:t>
      </w:r>
      <w:proofErr w:type="spellStart"/>
      <w:r w:rsidRPr="0005794C">
        <w:t>Šaliai</w:t>
      </w:r>
      <w:proofErr w:type="spellEnd"/>
      <w:r w:rsidRPr="0005794C">
        <w:t xml:space="preserve">. </w:t>
      </w:r>
      <w:proofErr w:type="spellStart"/>
      <w:r w:rsidRPr="0005794C">
        <w:t>Išnykus</w:t>
      </w:r>
      <w:proofErr w:type="spellEnd"/>
      <w:r w:rsidRPr="0005794C">
        <w:t xml:space="preserve"> </w:t>
      </w:r>
      <w:proofErr w:type="spellStart"/>
      <w:r w:rsidRPr="0005794C">
        <w:t>nenugalimos</w:t>
      </w:r>
      <w:proofErr w:type="spellEnd"/>
      <w:r w:rsidRPr="0005794C">
        <w:t xml:space="preserve"> </w:t>
      </w:r>
      <w:proofErr w:type="spellStart"/>
      <w:r w:rsidRPr="0005794C">
        <w:t>jėgos</w:t>
      </w:r>
      <w:proofErr w:type="spellEnd"/>
      <w:r w:rsidRPr="0005794C">
        <w:t xml:space="preserve"> (force majeure) </w:t>
      </w:r>
      <w:proofErr w:type="spellStart"/>
      <w:r w:rsidRPr="0005794C">
        <w:lastRenderedPageBreak/>
        <w:t>aplinkybėms</w:t>
      </w:r>
      <w:proofErr w:type="spellEnd"/>
      <w:r w:rsidRPr="0005794C">
        <w:t xml:space="preserve">, Šalis, </w:t>
      </w:r>
      <w:proofErr w:type="spellStart"/>
      <w:r w:rsidRPr="0005794C">
        <w:t>negalėjusi</w:t>
      </w:r>
      <w:proofErr w:type="spellEnd"/>
      <w:r w:rsidRPr="0005794C">
        <w:t xml:space="preserve"> </w:t>
      </w:r>
      <w:proofErr w:type="spellStart"/>
      <w:r w:rsidRPr="0005794C">
        <w:t>vykdyti</w:t>
      </w:r>
      <w:proofErr w:type="spellEnd"/>
      <w:r w:rsidRPr="0005794C">
        <w:t xml:space="preserve"> </w:t>
      </w:r>
      <w:proofErr w:type="spellStart"/>
      <w:r w:rsidRPr="0005794C">
        <w:t>pagal</w:t>
      </w:r>
      <w:proofErr w:type="spellEnd"/>
      <w:r w:rsidRPr="0005794C">
        <w:t xml:space="preserve"> </w:t>
      </w:r>
      <w:proofErr w:type="spellStart"/>
      <w:r w:rsidRPr="0005794C">
        <w:t>Sutartį</w:t>
      </w:r>
      <w:proofErr w:type="spellEnd"/>
      <w:r w:rsidRPr="0005794C">
        <w:t xml:space="preserve"> </w:t>
      </w:r>
      <w:proofErr w:type="spellStart"/>
      <w:r w:rsidRPr="0005794C">
        <w:t>prisiimtų</w:t>
      </w:r>
      <w:proofErr w:type="spellEnd"/>
      <w:r w:rsidRPr="0005794C">
        <w:t xml:space="preserve"> </w:t>
      </w:r>
      <w:proofErr w:type="spellStart"/>
      <w:r w:rsidRPr="0005794C">
        <w:t>įsipareigojimų</w:t>
      </w:r>
      <w:proofErr w:type="spellEnd"/>
      <w:r w:rsidRPr="0005794C">
        <w:t xml:space="preserve">, </w:t>
      </w:r>
      <w:proofErr w:type="spellStart"/>
      <w:r w:rsidRPr="0005794C">
        <w:t>privalo</w:t>
      </w:r>
      <w:proofErr w:type="spellEnd"/>
      <w:r w:rsidRPr="0005794C">
        <w:t xml:space="preserve"> </w:t>
      </w:r>
      <w:proofErr w:type="spellStart"/>
      <w:r w:rsidRPr="0005794C">
        <w:t>nedelsdama</w:t>
      </w:r>
      <w:proofErr w:type="spellEnd"/>
      <w:r w:rsidRPr="0005794C">
        <w:t xml:space="preserve"> </w:t>
      </w:r>
      <w:proofErr w:type="spellStart"/>
      <w:r w:rsidRPr="0005794C">
        <w:t>pranešti</w:t>
      </w:r>
      <w:proofErr w:type="spellEnd"/>
      <w:r w:rsidRPr="0005794C">
        <w:t xml:space="preserve"> </w:t>
      </w:r>
      <w:proofErr w:type="spellStart"/>
      <w:r w:rsidRPr="0005794C">
        <w:t>kitai</w:t>
      </w:r>
      <w:proofErr w:type="spellEnd"/>
      <w:r w:rsidRPr="0005794C">
        <w:t xml:space="preserve"> </w:t>
      </w:r>
      <w:proofErr w:type="spellStart"/>
      <w:r w:rsidRPr="0005794C">
        <w:t>Šaliai</w:t>
      </w:r>
      <w:proofErr w:type="spellEnd"/>
      <w:r w:rsidRPr="0005794C">
        <w:t xml:space="preserve"> </w:t>
      </w:r>
      <w:proofErr w:type="spellStart"/>
      <w:r w:rsidRPr="0005794C">
        <w:t>apie</w:t>
      </w:r>
      <w:proofErr w:type="spellEnd"/>
      <w:r w:rsidRPr="0005794C">
        <w:t xml:space="preserve"> </w:t>
      </w:r>
      <w:proofErr w:type="spellStart"/>
      <w:r w:rsidRPr="0005794C">
        <w:t>nurodytų</w:t>
      </w:r>
      <w:proofErr w:type="spellEnd"/>
      <w:r w:rsidRPr="0005794C">
        <w:t xml:space="preserve"> </w:t>
      </w:r>
      <w:proofErr w:type="spellStart"/>
      <w:r w:rsidRPr="0005794C">
        <w:t>aplinkybių</w:t>
      </w:r>
      <w:proofErr w:type="spellEnd"/>
      <w:r w:rsidRPr="0005794C">
        <w:t xml:space="preserve"> </w:t>
      </w:r>
      <w:proofErr w:type="spellStart"/>
      <w:r w:rsidRPr="0005794C">
        <w:t>išnykimą</w:t>
      </w:r>
      <w:proofErr w:type="spellEnd"/>
      <w:r w:rsidRPr="0005794C">
        <w:t>.</w:t>
      </w:r>
    </w:p>
    <w:p w14:paraId="4FB1106B" w14:textId="77777777" w:rsidR="00707D75" w:rsidRPr="0005794C" w:rsidRDefault="00707D75" w:rsidP="00707D75">
      <w:pPr>
        <w:tabs>
          <w:tab w:val="left" w:pos="0"/>
          <w:tab w:val="left" w:pos="851"/>
        </w:tabs>
        <w:ind w:left="426"/>
        <w:jc w:val="both"/>
      </w:pPr>
    </w:p>
    <w:p w14:paraId="56CFC61E" w14:textId="77777777" w:rsidR="00707D75" w:rsidRPr="00574E5E" w:rsidRDefault="00707D75" w:rsidP="00707D75">
      <w:pPr>
        <w:tabs>
          <w:tab w:val="left" w:pos="0"/>
        </w:tabs>
        <w:ind w:left="720"/>
        <w:jc w:val="center"/>
        <w:rPr>
          <w:b/>
          <w:lang w:val="pt-BR"/>
        </w:rPr>
      </w:pPr>
      <w:r w:rsidRPr="00574E5E">
        <w:rPr>
          <w:b/>
          <w:lang w:val="pt-BR"/>
        </w:rPr>
        <w:t>VIII. SUTARTIES GALIOJIMAS IR KITOS SĄLYGOS</w:t>
      </w:r>
    </w:p>
    <w:p w14:paraId="7BF0404A" w14:textId="77777777" w:rsidR="00707D75" w:rsidRPr="00574E5E" w:rsidRDefault="00707D75" w:rsidP="00707D75">
      <w:pPr>
        <w:tabs>
          <w:tab w:val="left" w:pos="0"/>
        </w:tabs>
        <w:ind w:left="720"/>
        <w:jc w:val="center"/>
        <w:rPr>
          <w:b/>
          <w:lang w:val="pt-BR"/>
        </w:rPr>
      </w:pPr>
    </w:p>
    <w:p w14:paraId="4ADF5D74" w14:textId="77777777" w:rsidR="00707D75" w:rsidRPr="00574E5E" w:rsidRDefault="00707D75" w:rsidP="00707D75">
      <w:pPr>
        <w:numPr>
          <w:ilvl w:val="0"/>
          <w:numId w:val="2"/>
        </w:numPr>
        <w:tabs>
          <w:tab w:val="left" w:pos="0"/>
          <w:tab w:val="left" w:pos="851"/>
        </w:tabs>
        <w:ind w:left="0" w:firstLine="426"/>
        <w:jc w:val="both"/>
        <w:rPr>
          <w:lang w:val="pt-BR"/>
        </w:rPr>
      </w:pPr>
      <w:r w:rsidRPr="00574E5E">
        <w:rPr>
          <w:lang w:val="pt-BR"/>
        </w:rPr>
        <w:t>Sutartis įsigalioja nuo to momento kai ją pasirašo abi Sutarties Šalys ir galioja iki visiško Šalių įsipareigojimų pagal šią Sutartį įvykdymo momento, bet ne ilgiau kaip 12 (dvylika) mėnesių (</w:t>
      </w:r>
      <w:r w:rsidRPr="00574E5E">
        <w:rPr>
          <w:color w:val="000000"/>
          <w:lang w:val="pt-BR"/>
        </w:rPr>
        <w:t>atsiskaitymo už Paslaugas terminas į šį terminą neįskaičiuotas</w:t>
      </w:r>
      <w:r w:rsidRPr="00574E5E">
        <w:rPr>
          <w:lang w:val="pt-BR"/>
        </w:rPr>
        <w:t>).</w:t>
      </w:r>
    </w:p>
    <w:p w14:paraId="76110DAB" w14:textId="77777777" w:rsidR="00707D75" w:rsidRPr="00574E5E" w:rsidRDefault="00707D75" w:rsidP="00707D75">
      <w:pPr>
        <w:numPr>
          <w:ilvl w:val="0"/>
          <w:numId w:val="2"/>
        </w:numPr>
        <w:tabs>
          <w:tab w:val="left" w:pos="0"/>
          <w:tab w:val="left" w:pos="142"/>
          <w:tab w:val="left" w:pos="391"/>
          <w:tab w:val="left" w:pos="851"/>
        </w:tabs>
        <w:ind w:left="0" w:firstLine="426"/>
        <w:jc w:val="both"/>
        <w:rPr>
          <w:color w:val="000000"/>
          <w:lang w:val="pt-BR"/>
        </w:rPr>
      </w:pPr>
      <w:r w:rsidRPr="00574E5E">
        <w:rPr>
          <w:color w:val="000000"/>
          <w:lang w:val="pt-BR"/>
        </w:rPr>
        <w:t>Sutartis gali būti nutraukta rašytiniu Šalių susitarimu.</w:t>
      </w:r>
    </w:p>
    <w:p w14:paraId="074653DC" w14:textId="77777777" w:rsidR="00707D75" w:rsidRPr="00574E5E" w:rsidRDefault="00707D75" w:rsidP="00707D75">
      <w:pPr>
        <w:numPr>
          <w:ilvl w:val="0"/>
          <w:numId w:val="2"/>
        </w:numPr>
        <w:tabs>
          <w:tab w:val="left" w:pos="0"/>
          <w:tab w:val="left" w:pos="142"/>
          <w:tab w:val="left" w:pos="391"/>
          <w:tab w:val="left" w:pos="851"/>
        </w:tabs>
        <w:ind w:left="0" w:firstLine="426"/>
        <w:jc w:val="both"/>
        <w:rPr>
          <w:color w:val="000000"/>
          <w:lang w:val="pt-BR"/>
        </w:rPr>
      </w:pPr>
      <w:r w:rsidRPr="00574E5E">
        <w:rPr>
          <w:bCs/>
          <w:lang w:val="pt-BR"/>
        </w:rPr>
        <w:t>Vykdytojui</w:t>
      </w:r>
      <w:r w:rsidRPr="00574E5E">
        <w:rPr>
          <w:color w:val="000000"/>
          <w:lang w:val="pt-BR"/>
        </w:rPr>
        <w:t xml:space="preserve"> nevykdant šioje Sutartyje numatytų įsipareigojimų, Užsakovas gali vienašališkai nutraukti Sutartį, apie numatomą Sutarties nutraukimą raštu pranešęs Vykdytojui prieš 30 (trisdešimt) dienų.</w:t>
      </w:r>
    </w:p>
    <w:p w14:paraId="300BC06B" w14:textId="77777777" w:rsidR="00707D75" w:rsidRPr="00574E5E" w:rsidRDefault="00707D75" w:rsidP="00707D75">
      <w:pPr>
        <w:pStyle w:val="Pagrindiniotekstotrauka"/>
        <w:numPr>
          <w:ilvl w:val="0"/>
          <w:numId w:val="2"/>
        </w:numPr>
        <w:tabs>
          <w:tab w:val="left" w:pos="0"/>
          <w:tab w:val="left" w:pos="851"/>
        </w:tabs>
        <w:spacing w:after="0"/>
        <w:ind w:left="0" w:firstLine="426"/>
        <w:rPr>
          <w:rStyle w:val="t492"/>
          <w:lang w:val="pt-BR"/>
        </w:rPr>
      </w:pPr>
      <w:r w:rsidRPr="00574E5E">
        <w:rPr>
          <w:rStyle w:val="t488"/>
          <w:lang w:val="pt-BR"/>
        </w:rPr>
        <w:t>Sutarties s</w:t>
      </w:r>
      <w:r w:rsidRPr="00574E5E">
        <w:rPr>
          <w:lang w:val="pt-BR"/>
        </w:rPr>
        <w:t>ąlygos </w:t>
      </w:r>
      <w:r w:rsidRPr="00574E5E">
        <w:rPr>
          <w:rStyle w:val="t489"/>
          <w:lang w:val="pt-BR"/>
        </w:rPr>
        <w:t>gali </w:t>
      </w:r>
      <w:r w:rsidRPr="00574E5E">
        <w:rPr>
          <w:lang w:val="pt-BR"/>
        </w:rPr>
        <w:t>būti keič</w:t>
      </w:r>
      <w:r w:rsidRPr="00574E5E">
        <w:rPr>
          <w:rStyle w:val="t490"/>
          <w:lang w:val="pt-BR"/>
        </w:rPr>
        <w:t>iamos</w:t>
      </w:r>
      <w:r w:rsidRPr="00574E5E">
        <w:rPr>
          <w:rStyle w:val="t491"/>
          <w:lang w:val="pt-BR"/>
        </w:rPr>
        <w:t> tik vadovaujantis Vie</w:t>
      </w:r>
      <w:r w:rsidRPr="00574E5E">
        <w:rPr>
          <w:lang w:val="pt-BR"/>
        </w:rPr>
        <w:t>šųjų pirkimų įstatymo </w:t>
      </w:r>
      <w:r w:rsidRPr="00574E5E">
        <w:rPr>
          <w:rStyle w:val="t492"/>
          <w:lang w:val="pt-BR"/>
        </w:rPr>
        <w:t>89 straipsnio nuostatomis.</w:t>
      </w:r>
    </w:p>
    <w:p w14:paraId="4DE183C4" w14:textId="77777777" w:rsidR="00707D75" w:rsidRPr="00574E5E" w:rsidRDefault="00707D75" w:rsidP="00707D75">
      <w:pPr>
        <w:widowControl w:val="0"/>
        <w:numPr>
          <w:ilvl w:val="0"/>
          <w:numId w:val="2"/>
        </w:numPr>
        <w:tabs>
          <w:tab w:val="left" w:pos="0"/>
          <w:tab w:val="left" w:pos="284"/>
          <w:tab w:val="left" w:pos="851"/>
        </w:tabs>
        <w:ind w:left="0" w:firstLine="426"/>
        <w:jc w:val="both"/>
        <w:rPr>
          <w:lang w:val="pt-BR"/>
        </w:rPr>
      </w:pPr>
      <w:r w:rsidRPr="00574E5E">
        <w:rPr>
          <w:lang w:val="pt-BR"/>
        </w:rPr>
        <w:t xml:space="preserve">Jeigu </w:t>
      </w:r>
      <w:r w:rsidRPr="00574E5E">
        <w:rPr>
          <w:bCs/>
          <w:lang w:val="pt-BR"/>
        </w:rPr>
        <w:t>Vykdytojo</w:t>
      </w:r>
      <w:r w:rsidRPr="00574E5E">
        <w:rPr>
          <w:lang w:val="pt-BR"/>
        </w:rPr>
        <w:t xml:space="preserve"> kvalifikacija dėl teisės verstis atitinkama veikla nebuvo tikrinama arba tikrinama ne visa apimtimi, </w:t>
      </w:r>
      <w:r w:rsidRPr="00574E5E">
        <w:rPr>
          <w:bCs/>
          <w:lang w:val="pt-BR"/>
        </w:rPr>
        <w:t>Vykdytojas</w:t>
      </w:r>
      <w:r w:rsidRPr="00574E5E">
        <w:rPr>
          <w:lang w:val="pt-BR"/>
        </w:rPr>
        <w:t xml:space="preserve"> perkančiajai organizacijai įsipareigoja, kad pirkimo sutartį vykdys tik tokią teisę turintys asmenys.</w:t>
      </w:r>
    </w:p>
    <w:p w14:paraId="5F88C733" w14:textId="77777777" w:rsidR="00707D75" w:rsidRPr="00574E5E" w:rsidRDefault="00707D75" w:rsidP="00707D75">
      <w:pPr>
        <w:pStyle w:val="Pagrindiniotekstotrauka"/>
        <w:numPr>
          <w:ilvl w:val="0"/>
          <w:numId w:val="2"/>
        </w:numPr>
        <w:tabs>
          <w:tab w:val="left" w:pos="0"/>
          <w:tab w:val="left" w:pos="851"/>
        </w:tabs>
        <w:spacing w:after="0"/>
        <w:ind w:left="0" w:firstLine="426"/>
        <w:jc w:val="both"/>
        <w:rPr>
          <w:lang w:val="pt-BR"/>
        </w:rPr>
      </w:pPr>
      <w:r w:rsidRPr="00574E5E">
        <w:rPr>
          <w:rStyle w:val="t508"/>
          <w:lang w:val="pt-BR"/>
        </w:rPr>
        <w:t xml:space="preserve"> V</w:t>
      </w:r>
      <w:r w:rsidRPr="00574E5E">
        <w:rPr>
          <w:lang w:val="pt-BR"/>
        </w:rPr>
        <w:t>ykdant </w:t>
      </w:r>
      <w:r w:rsidRPr="00574E5E">
        <w:rPr>
          <w:rStyle w:val="t509"/>
          <w:lang w:val="pt-BR"/>
        </w:rPr>
        <w:t>S</w:t>
      </w:r>
      <w:r w:rsidRPr="00574E5E">
        <w:rPr>
          <w:lang w:val="pt-BR"/>
        </w:rPr>
        <w:t>utartį turi būti</w:t>
      </w:r>
      <w:r w:rsidRPr="00574E5E">
        <w:rPr>
          <w:rStyle w:val="t510"/>
          <w:lang w:val="pt-BR"/>
        </w:rPr>
        <w:t> laikomasi aplinkos apsaugos, socialin</w:t>
      </w:r>
      <w:r w:rsidRPr="00574E5E">
        <w:rPr>
          <w:lang w:val="pt-BR"/>
        </w:rPr>
        <w:t>ė</w:t>
      </w:r>
      <w:r w:rsidRPr="00574E5E">
        <w:rPr>
          <w:rStyle w:val="t511"/>
          <w:rFonts w:eastAsia="Calibri"/>
          <w:lang w:val="pt-BR"/>
        </w:rPr>
        <w:t>s ir darbo teis</w:t>
      </w:r>
      <w:r w:rsidRPr="00574E5E">
        <w:rPr>
          <w:lang w:val="pt-BR"/>
        </w:rPr>
        <w:t>ės įpareigojimų, nustatytų </w:t>
      </w:r>
      <w:r w:rsidRPr="00574E5E">
        <w:rPr>
          <w:rStyle w:val="t512"/>
          <w:lang w:val="pt-BR"/>
        </w:rPr>
        <w:t>Europos S</w:t>
      </w:r>
      <w:r w:rsidRPr="00574E5E">
        <w:rPr>
          <w:lang w:val="pt-BR"/>
        </w:rPr>
        <w:t>ą</w:t>
      </w:r>
      <w:r w:rsidRPr="00574E5E">
        <w:rPr>
          <w:rStyle w:val="t513"/>
          <w:lang w:val="pt-BR"/>
        </w:rPr>
        <w:t>jungos ir </w:t>
      </w:r>
      <w:r w:rsidRPr="00574E5E">
        <w:rPr>
          <w:lang w:val="pt-BR"/>
        </w:rPr>
        <w:t>Lietuvos Respublikos teisės aktuose, kolektyvinė</w:t>
      </w:r>
      <w:r w:rsidRPr="00574E5E">
        <w:rPr>
          <w:rStyle w:val="t514"/>
          <w:lang w:val="pt-BR"/>
        </w:rPr>
        <w:t>se sutartyse ir </w:t>
      </w:r>
      <w:r w:rsidRPr="00574E5E">
        <w:rPr>
          <w:lang w:val="pt-BR"/>
        </w:rPr>
        <w:t>Viešųjų pirkimų įstatymo 5 priede nurodytose tarptautinėse konvencijose.</w:t>
      </w:r>
    </w:p>
    <w:p w14:paraId="1D4ED6EE" w14:textId="77777777" w:rsidR="00707D75" w:rsidRDefault="00707D75" w:rsidP="00707D75">
      <w:pPr>
        <w:pStyle w:val="Pagrindiniotekstotrauka"/>
        <w:numPr>
          <w:ilvl w:val="0"/>
          <w:numId w:val="2"/>
        </w:numPr>
        <w:tabs>
          <w:tab w:val="left" w:pos="360"/>
        </w:tabs>
        <w:ind w:left="0" w:firstLine="426"/>
        <w:jc w:val="both"/>
        <w:rPr>
          <w:lang w:val="lt-LT"/>
        </w:rPr>
      </w:pPr>
      <w:r w:rsidRPr="00A01C38">
        <w:rPr>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4983569" w14:textId="77777777" w:rsidR="00707D75" w:rsidRPr="0005794C" w:rsidRDefault="00707D75" w:rsidP="00707D75">
      <w:pPr>
        <w:pStyle w:val="Punktai"/>
        <w:numPr>
          <w:ilvl w:val="0"/>
          <w:numId w:val="2"/>
        </w:numPr>
        <w:tabs>
          <w:tab w:val="left" w:pos="0"/>
          <w:tab w:val="left" w:pos="851"/>
        </w:tabs>
        <w:ind w:left="0" w:firstLine="426"/>
        <w:jc w:val="both"/>
        <w:rPr>
          <w:color w:val="000000"/>
          <w:szCs w:val="24"/>
          <w:lang w:val="lt-LT"/>
        </w:rPr>
      </w:pPr>
      <w:r w:rsidRPr="0005794C">
        <w:rPr>
          <w:color w:val="000000"/>
          <w:szCs w:val="24"/>
          <w:lang w:val="lt-LT"/>
        </w:rPr>
        <w:t>Nė viena Šalis neturi teisės perleisti visų arba dalies teisių ir pareigų pagal šią Sutartį jokiai trečiajai šaliai be išankstinio raštiško kitos Šalies sutikimo.</w:t>
      </w:r>
    </w:p>
    <w:p w14:paraId="0E45EBE4" w14:textId="77777777" w:rsidR="00707D75" w:rsidRPr="0005794C" w:rsidRDefault="00707D75" w:rsidP="00707D75">
      <w:pPr>
        <w:pStyle w:val="Punktai"/>
        <w:numPr>
          <w:ilvl w:val="0"/>
          <w:numId w:val="2"/>
        </w:numPr>
        <w:tabs>
          <w:tab w:val="left" w:pos="0"/>
          <w:tab w:val="left" w:pos="142"/>
          <w:tab w:val="left" w:pos="851"/>
        </w:tabs>
        <w:ind w:left="0" w:firstLine="426"/>
        <w:jc w:val="both"/>
        <w:rPr>
          <w:color w:val="000000"/>
          <w:szCs w:val="24"/>
          <w:lang w:val="lt-LT"/>
        </w:rPr>
      </w:pPr>
      <w:r w:rsidRPr="0005794C">
        <w:rPr>
          <w:color w:val="000000"/>
          <w:szCs w:val="24"/>
          <w:lang w:val="lt-LT"/>
        </w:rPr>
        <w:t xml:space="preserve">Sutartis sudaryta dviem egzemplioriais, turinčiais vienodą juridinę galią, po vieną </w:t>
      </w:r>
      <w:r w:rsidRPr="0005794C">
        <w:rPr>
          <w:bCs/>
          <w:szCs w:val="24"/>
          <w:lang w:val="lt-LT"/>
        </w:rPr>
        <w:t>Vykdytojui</w:t>
      </w:r>
      <w:r w:rsidRPr="0005794C">
        <w:rPr>
          <w:color w:val="000000"/>
          <w:szCs w:val="24"/>
          <w:lang w:val="lt-LT"/>
        </w:rPr>
        <w:t xml:space="preserve"> ir Užsakovui.</w:t>
      </w:r>
    </w:p>
    <w:p w14:paraId="2B774F4A" w14:textId="77777777" w:rsidR="00707D75" w:rsidRPr="00574E5E" w:rsidRDefault="00707D75" w:rsidP="00707D75">
      <w:pPr>
        <w:numPr>
          <w:ilvl w:val="0"/>
          <w:numId w:val="2"/>
        </w:numPr>
        <w:tabs>
          <w:tab w:val="left" w:pos="0"/>
          <w:tab w:val="left" w:pos="851"/>
          <w:tab w:val="left" w:pos="1620"/>
        </w:tabs>
        <w:ind w:left="0" w:firstLine="426"/>
        <w:jc w:val="both"/>
        <w:rPr>
          <w:color w:val="000000"/>
          <w:lang w:val="pt-BR"/>
        </w:rPr>
      </w:pPr>
      <w:r w:rsidRPr="00574E5E">
        <w:rPr>
          <w:color w:val="000000"/>
          <w:lang w:val="pt-BR"/>
        </w:rPr>
        <w:t xml:space="preserve">Sutarties dokumentai yra pati Sutartis ir jos priedas, kuris yra neatskiriama Sutarties dalis. Ant Sutarties ir priedo turi būti </w:t>
      </w:r>
      <w:r w:rsidRPr="00574E5E">
        <w:rPr>
          <w:bCs/>
          <w:lang w:val="pt-BR"/>
        </w:rPr>
        <w:t>Vykdytojo</w:t>
      </w:r>
      <w:r w:rsidRPr="00574E5E">
        <w:rPr>
          <w:color w:val="000000"/>
          <w:lang w:val="pt-BR"/>
        </w:rPr>
        <w:t xml:space="preserve"> ir Užsakovo parašai bei antspaudai, kai pareiga turėti antspaudą nustatyta </w:t>
      </w:r>
      <w:r w:rsidRPr="00574E5E">
        <w:rPr>
          <w:bCs/>
          <w:lang w:val="pt-BR"/>
        </w:rPr>
        <w:t>Vykdytojo</w:t>
      </w:r>
      <w:r w:rsidRPr="00574E5E">
        <w:rPr>
          <w:color w:val="000000"/>
          <w:lang w:val="pt-BR"/>
        </w:rPr>
        <w:t xml:space="preserve"> ir Užsakovo steigimo dokumentuose arba įstatyme. </w:t>
      </w:r>
    </w:p>
    <w:p w14:paraId="1B298BF9" w14:textId="77777777" w:rsidR="00707D75" w:rsidRPr="0005794C" w:rsidRDefault="00707D75" w:rsidP="00707D75">
      <w:pPr>
        <w:pStyle w:val="Punktai"/>
        <w:numPr>
          <w:ilvl w:val="0"/>
          <w:numId w:val="2"/>
        </w:numPr>
        <w:tabs>
          <w:tab w:val="left" w:pos="0"/>
          <w:tab w:val="left" w:pos="142"/>
          <w:tab w:val="left" w:pos="851"/>
        </w:tabs>
        <w:ind w:left="0" w:firstLine="426"/>
        <w:jc w:val="both"/>
        <w:rPr>
          <w:color w:val="000000"/>
          <w:szCs w:val="24"/>
          <w:lang w:val="lt-LT"/>
        </w:rPr>
      </w:pPr>
      <w:r w:rsidRPr="0005794C">
        <w:rPr>
          <w:color w:val="000000"/>
          <w:szCs w:val="24"/>
          <w:lang w:val="lt-LT"/>
        </w:rPr>
        <w:t>Sutarties priedas - Perkamų paslaugų sąrašas (priedas).</w:t>
      </w:r>
    </w:p>
    <w:p w14:paraId="23EB8AE1" w14:textId="77777777" w:rsidR="00707D75" w:rsidRPr="0005794C" w:rsidRDefault="00707D75" w:rsidP="00707D75">
      <w:pPr>
        <w:jc w:val="both"/>
        <w:rPr>
          <w:b/>
          <w:lang w:val="lt-LT"/>
        </w:rPr>
      </w:pPr>
    </w:p>
    <w:p w14:paraId="1E3B8ECA" w14:textId="77777777" w:rsidR="00707D75" w:rsidRPr="0005794C" w:rsidRDefault="00707D75" w:rsidP="00707D75">
      <w:pPr>
        <w:tabs>
          <w:tab w:val="left" w:pos="2977"/>
          <w:tab w:val="left" w:pos="3686"/>
        </w:tabs>
        <w:jc w:val="center"/>
        <w:rPr>
          <w:b/>
          <w:lang w:val="lt-LT"/>
        </w:rPr>
      </w:pPr>
      <w:r w:rsidRPr="0005794C">
        <w:rPr>
          <w:b/>
          <w:lang w:val="lt-LT"/>
        </w:rPr>
        <w:t>IX. ŠALIŲ ADRESAI IR REKVIZITAI</w:t>
      </w:r>
    </w:p>
    <w:p w14:paraId="6DE1A5EF" w14:textId="77777777" w:rsidR="00707D75" w:rsidRPr="0005794C" w:rsidRDefault="00707D75" w:rsidP="00707D75">
      <w:pPr>
        <w:tabs>
          <w:tab w:val="left" w:pos="2977"/>
          <w:tab w:val="left" w:pos="3686"/>
        </w:tabs>
        <w:jc w:val="center"/>
        <w:rPr>
          <w:b/>
          <w:lang w:val="lt-LT"/>
        </w:rPr>
      </w:pPr>
    </w:p>
    <w:p w14:paraId="04A7B7C4" w14:textId="77777777" w:rsidR="00707D75" w:rsidRPr="0005794C" w:rsidRDefault="00707D75" w:rsidP="00707D75">
      <w:pPr>
        <w:jc w:val="both"/>
        <w:rPr>
          <w:lang w:val="lt-LT"/>
        </w:rPr>
      </w:pPr>
      <w:r w:rsidRPr="0005794C">
        <w:rPr>
          <w:b/>
          <w:lang w:val="lt-LT"/>
        </w:rPr>
        <w:t>UŽSAKOVAS</w:t>
      </w:r>
      <w:r w:rsidRPr="0005794C">
        <w:rPr>
          <w:b/>
          <w:lang w:val="lt-LT"/>
        </w:rPr>
        <w:tab/>
      </w:r>
      <w:r w:rsidRPr="0005794C">
        <w:rPr>
          <w:b/>
          <w:lang w:val="lt-LT"/>
        </w:rPr>
        <w:tab/>
      </w:r>
      <w:r w:rsidRPr="0005794C">
        <w:rPr>
          <w:b/>
          <w:lang w:val="lt-LT"/>
        </w:rPr>
        <w:tab/>
        <w:t xml:space="preserve">   </w:t>
      </w:r>
      <w:r w:rsidRPr="0005794C">
        <w:rPr>
          <w:b/>
          <w:bCs/>
          <w:lang w:val="lt-LT"/>
        </w:rPr>
        <w:t>VYKDYTOJAS</w:t>
      </w:r>
    </w:p>
    <w:tbl>
      <w:tblPr>
        <w:tblpPr w:leftFromText="180" w:rightFromText="180" w:vertAnchor="text" w:horzAnchor="margin" w:tblpY="72"/>
        <w:tblW w:w="11023" w:type="dxa"/>
        <w:tblLayout w:type="fixed"/>
        <w:tblLook w:val="0000" w:firstRow="0" w:lastRow="0" w:firstColumn="0" w:lastColumn="0" w:noHBand="0" w:noVBand="0"/>
      </w:tblPr>
      <w:tblGrid>
        <w:gridCol w:w="5353"/>
        <w:gridCol w:w="5670"/>
      </w:tblGrid>
      <w:tr w:rsidR="00707D75" w:rsidRPr="0005794C" w14:paraId="383393BA" w14:textId="77777777" w:rsidTr="002569F8">
        <w:tc>
          <w:tcPr>
            <w:tcW w:w="5353" w:type="dxa"/>
            <w:shd w:val="clear" w:color="auto" w:fill="auto"/>
          </w:tcPr>
          <w:p w14:paraId="31418A15" w14:textId="34939C62" w:rsidR="00707D75" w:rsidRPr="0006379B" w:rsidRDefault="00707D75" w:rsidP="002569F8">
            <w:pPr>
              <w:rPr>
                <w:b/>
                <w:color w:val="000000"/>
                <w:sz w:val="22"/>
                <w:szCs w:val="22"/>
                <w:lang w:val="lt-LT"/>
              </w:rPr>
            </w:pPr>
            <w:r w:rsidRPr="0006379B">
              <w:rPr>
                <w:b/>
                <w:color w:val="000000"/>
                <w:sz w:val="22"/>
                <w:szCs w:val="22"/>
                <w:lang w:val="lt-LT"/>
              </w:rPr>
              <w:t>VšĮ Plungės ligoninė</w:t>
            </w:r>
          </w:p>
          <w:p w14:paraId="3A5B2417" w14:textId="77777777" w:rsidR="00707D75" w:rsidRPr="00145809" w:rsidRDefault="00707D75" w:rsidP="002569F8">
            <w:pPr>
              <w:rPr>
                <w:bCs/>
                <w:color w:val="000000"/>
                <w:sz w:val="22"/>
                <w:szCs w:val="22"/>
                <w:lang w:val="lt-LT"/>
              </w:rPr>
            </w:pPr>
            <w:r w:rsidRPr="00145809">
              <w:rPr>
                <w:bCs/>
                <w:color w:val="000000"/>
                <w:sz w:val="22"/>
                <w:szCs w:val="22"/>
                <w:lang w:val="lt-LT"/>
              </w:rPr>
              <w:t>J. Tumo – Vaižganto g. 89, 90160 Plungė</w:t>
            </w:r>
          </w:p>
          <w:p w14:paraId="558465BD" w14:textId="77777777" w:rsidR="00707D75" w:rsidRPr="00145809" w:rsidRDefault="00707D75" w:rsidP="002569F8">
            <w:pPr>
              <w:rPr>
                <w:bCs/>
                <w:color w:val="000000"/>
                <w:sz w:val="22"/>
                <w:szCs w:val="22"/>
                <w:lang w:val="lt-LT"/>
              </w:rPr>
            </w:pPr>
            <w:r w:rsidRPr="00145809">
              <w:rPr>
                <w:bCs/>
                <w:color w:val="000000"/>
                <w:sz w:val="22"/>
                <w:szCs w:val="22"/>
                <w:lang w:val="lt-LT"/>
              </w:rPr>
              <w:t>Įm. k. 191135578</w:t>
            </w:r>
          </w:p>
          <w:p w14:paraId="533FE644" w14:textId="77777777" w:rsidR="00707D75" w:rsidRPr="00145809" w:rsidRDefault="00707D75" w:rsidP="002569F8">
            <w:pPr>
              <w:rPr>
                <w:bCs/>
                <w:color w:val="000000"/>
                <w:sz w:val="22"/>
                <w:szCs w:val="22"/>
                <w:lang w:val="lt-LT"/>
              </w:rPr>
            </w:pPr>
            <w:r w:rsidRPr="00145809">
              <w:rPr>
                <w:bCs/>
                <w:color w:val="000000"/>
                <w:sz w:val="22"/>
                <w:szCs w:val="22"/>
                <w:lang w:val="lt-LT"/>
              </w:rPr>
              <w:t>Ne PVM mokėtoja</w:t>
            </w:r>
          </w:p>
          <w:p w14:paraId="55719A0A" w14:textId="77777777" w:rsidR="00707D75" w:rsidRPr="00145809" w:rsidRDefault="00707D75" w:rsidP="002569F8">
            <w:pPr>
              <w:rPr>
                <w:bCs/>
                <w:color w:val="000000"/>
                <w:sz w:val="22"/>
                <w:szCs w:val="22"/>
                <w:lang w:val="lt-LT"/>
              </w:rPr>
            </w:pPr>
            <w:r w:rsidRPr="00145809">
              <w:rPr>
                <w:bCs/>
                <w:color w:val="000000"/>
                <w:sz w:val="22"/>
                <w:szCs w:val="22"/>
                <w:lang w:val="lt-LT"/>
              </w:rPr>
              <w:t>LT06 7300 0101 5781 3516</w:t>
            </w:r>
          </w:p>
          <w:p w14:paraId="022F5B96" w14:textId="77777777" w:rsidR="00707D75" w:rsidRPr="00145809" w:rsidRDefault="00707D75" w:rsidP="002569F8">
            <w:pPr>
              <w:rPr>
                <w:bCs/>
                <w:color w:val="000000"/>
                <w:sz w:val="22"/>
                <w:szCs w:val="22"/>
                <w:lang w:val="lt-LT"/>
              </w:rPr>
            </w:pPr>
            <w:r w:rsidRPr="00145809">
              <w:rPr>
                <w:bCs/>
                <w:color w:val="000000"/>
                <w:sz w:val="22"/>
                <w:szCs w:val="22"/>
                <w:lang w:val="lt-LT"/>
              </w:rPr>
              <w:t>AB Swedbank</w:t>
            </w:r>
          </w:p>
          <w:p w14:paraId="6DD936D2" w14:textId="77777777" w:rsidR="00707D75" w:rsidRPr="00145809" w:rsidRDefault="00707D75" w:rsidP="002569F8">
            <w:pPr>
              <w:rPr>
                <w:bCs/>
                <w:color w:val="000000"/>
                <w:sz w:val="22"/>
                <w:szCs w:val="22"/>
                <w:lang w:val="lt-LT"/>
              </w:rPr>
            </w:pPr>
            <w:proofErr w:type="spellStart"/>
            <w:r w:rsidRPr="00145809">
              <w:rPr>
                <w:bCs/>
                <w:color w:val="000000"/>
                <w:sz w:val="22"/>
                <w:szCs w:val="22"/>
                <w:lang w:val="lt-LT"/>
              </w:rPr>
              <w:t>El.p</w:t>
            </w:r>
            <w:proofErr w:type="spellEnd"/>
            <w:r w:rsidRPr="00145809">
              <w:rPr>
                <w:bCs/>
                <w:color w:val="000000"/>
                <w:sz w:val="22"/>
                <w:szCs w:val="22"/>
                <w:lang w:val="lt-LT"/>
              </w:rPr>
              <w:t>. sekretore@plungesligonine.lt</w:t>
            </w:r>
          </w:p>
          <w:p w14:paraId="4119125F" w14:textId="77777777" w:rsidR="00707D75" w:rsidRPr="00145809" w:rsidRDefault="00707D75" w:rsidP="002569F8">
            <w:pPr>
              <w:rPr>
                <w:bCs/>
                <w:color w:val="000000"/>
                <w:sz w:val="22"/>
                <w:szCs w:val="22"/>
                <w:lang w:val="lt-LT"/>
              </w:rPr>
            </w:pPr>
            <w:r w:rsidRPr="00145809">
              <w:rPr>
                <w:bCs/>
                <w:color w:val="000000"/>
                <w:sz w:val="22"/>
                <w:szCs w:val="22"/>
                <w:lang w:val="lt-LT"/>
              </w:rPr>
              <w:lastRenderedPageBreak/>
              <w:t>Tel. (8 448)73260</w:t>
            </w:r>
          </w:p>
          <w:p w14:paraId="79E2AFA2" w14:textId="77777777" w:rsidR="00707D75" w:rsidRPr="00145809" w:rsidRDefault="00707D75" w:rsidP="002569F8">
            <w:pPr>
              <w:rPr>
                <w:bCs/>
                <w:color w:val="000000"/>
                <w:sz w:val="22"/>
                <w:szCs w:val="22"/>
                <w:lang w:val="lt-LT"/>
              </w:rPr>
            </w:pPr>
          </w:p>
          <w:p w14:paraId="0878D3FD" w14:textId="77777777" w:rsidR="00707D75" w:rsidRPr="00145809" w:rsidRDefault="00707D75" w:rsidP="002569F8">
            <w:pPr>
              <w:rPr>
                <w:bCs/>
                <w:color w:val="000000"/>
                <w:sz w:val="22"/>
                <w:szCs w:val="22"/>
                <w:lang w:val="lt-LT"/>
              </w:rPr>
            </w:pPr>
            <w:r>
              <w:rPr>
                <w:bCs/>
                <w:color w:val="000000"/>
                <w:sz w:val="22"/>
                <w:szCs w:val="22"/>
                <w:lang w:val="lt-LT"/>
              </w:rPr>
              <w:t>Direktorius</w:t>
            </w:r>
          </w:p>
          <w:p w14:paraId="1E694763" w14:textId="77777777" w:rsidR="00707D75" w:rsidRPr="0005794C" w:rsidRDefault="00707D75" w:rsidP="002569F8">
            <w:pPr>
              <w:jc w:val="both"/>
              <w:rPr>
                <w:lang w:val="lt-LT"/>
              </w:rPr>
            </w:pPr>
            <w:r w:rsidRPr="00145809">
              <w:rPr>
                <w:bCs/>
                <w:color w:val="000000"/>
                <w:sz w:val="22"/>
                <w:szCs w:val="22"/>
                <w:lang w:val="lt-LT"/>
              </w:rPr>
              <w:t>Remigijus Mažeika</w:t>
            </w:r>
            <w:r w:rsidRPr="0005794C">
              <w:rPr>
                <w:lang w:val="lt-LT"/>
              </w:rPr>
              <w:t>___________________</w:t>
            </w:r>
          </w:p>
          <w:p w14:paraId="47E45677" w14:textId="77777777" w:rsidR="00707D75" w:rsidRPr="0005794C" w:rsidRDefault="00707D75" w:rsidP="002569F8">
            <w:pPr>
              <w:jc w:val="both"/>
              <w:rPr>
                <w:lang w:val="lt-LT"/>
              </w:rPr>
            </w:pPr>
            <w:r w:rsidRPr="0005794C">
              <w:rPr>
                <w:vertAlign w:val="superscript"/>
                <w:lang w:val="lt-LT"/>
              </w:rPr>
              <w:t xml:space="preserve">                                                          (parašas)</w:t>
            </w:r>
          </w:p>
          <w:p w14:paraId="1DD5E13C" w14:textId="77777777" w:rsidR="00707D75" w:rsidRPr="0005794C" w:rsidRDefault="00707D75" w:rsidP="002569F8">
            <w:pPr>
              <w:jc w:val="both"/>
              <w:rPr>
                <w:b/>
                <w:lang w:val="lt-LT"/>
              </w:rPr>
            </w:pPr>
            <w:r w:rsidRPr="0005794C">
              <w:rPr>
                <w:lang w:val="lt-LT"/>
              </w:rPr>
              <w:t xml:space="preserve"> A.V.</w:t>
            </w:r>
          </w:p>
        </w:tc>
        <w:tc>
          <w:tcPr>
            <w:tcW w:w="5670" w:type="dxa"/>
            <w:shd w:val="clear" w:color="auto" w:fill="auto"/>
          </w:tcPr>
          <w:p w14:paraId="312E71A5" w14:textId="77777777" w:rsidR="00707D75" w:rsidRPr="0005794C" w:rsidRDefault="00707D75" w:rsidP="002569F8">
            <w:pPr>
              <w:rPr>
                <w:b/>
                <w:lang w:val="lt-LT"/>
              </w:rPr>
            </w:pPr>
            <w:r w:rsidRPr="0005794C">
              <w:rPr>
                <w:b/>
                <w:lang w:val="lt-LT"/>
              </w:rPr>
              <w:lastRenderedPageBreak/>
              <w:t>UAB „</w:t>
            </w:r>
            <w:r>
              <w:rPr>
                <w:b/>
                <w:lang w:val="lt-LT"/>
              </w:rPr>
              <w:t>Limeta</w:t>
            </w:r>
            <w:r w:rsidRPr="0005794C">
              <w:rPr>
                <w:b/>
                <w:lang w:val="lt-LT"/>
              </w:rPr>
              <w:t>“</w:t>
            </w:r>
          </w:p>
          <w:p w14:paraId="5DCA9F48" w14:textId="77777777" w:rsidR="00707D75" w:rsidRPr="0005794C" w:rsidRDefault="00707D75" w:rsidP="002569F8">
            <w:pPr>
              <w:tabs>
                <w:tab w:val="left" w:pos="34"/>
              </w:tabs>
              <w:rPr>
                <w:lang w:val="lt-LT"/>
              </w:rPr>
            </w:pPr>
            <w:r w:rsidRPr="0005794C">
              <w:rPr>
                <w:lang w:val="lt-LT"/>
              </w:rPr>
              <w:t xml:space="preserve">Įmonės kodas </w:t>
            </w:r>
            <w:r>
              <w:rPr>
                <w:lang w:val="lt-LT"/>
              </w:rPr>
              <w:t>221906050</w:t>
            </w:r>
          </w:p>
          <w:p w14:paraId="414D6CEA" w14:textId="77777777" w:rsidR="00707D75" w:rsidRPr="0005794C" w:rsidRDefault="00707D75" w:rsidP="002569F8">
            <w:pPr>
              <w:rPr>
                <w:color w:val="000000"/>
                <w:lang w:val="lt-LT"/>
              </w:rPr>
            </w:pPr>
            <w:r w:rsidRPr="0005794C">
              <w:rPr>
                <w:lang w:val="lt-LT"/>
              </w:rPr>
              <w:t xml:space="preserve">PVM mokėtojo kodas </w:t>
            </w:r>
            <w:r w:rsidRPr="0005794C">
              <w:rPr>
                <w:color w:val="000000"/>
                <w:lang w:val="lt-LT"/>
              </w:rPr>
              <w:t>L</w:t>
            </w:r>
            <w:r>
              <w:rPr>
                <w:color w:val="000000"/>
                <w:lang w:val="lt-LT"/>
              </w:rPr>
              <w:t>T219060515</w:t>
            </w:r>
          </w:p>
          <w:p w14:paraId="52582C17" w14:textId="77777777" w:rsidR="00707D75" w:rsidRPr="0005794C" w:rsidRDefault="00707D75" w:rsidP="002569F8">
            <w:pPr>
              <w:rPr>
                <w:lang w:val="lt-LT"/>
              </w:rPr>
            </w:pPr>
            <w:r w:rsidRPr="0005794C">
              <w:rPr>
                <w:lang w:val="lt-LT"/>
              </w:rPr>
              <w:t xml:space="preserve">Tel. </w:t>
            </w:r>
            <w:r>
              <w:rPr>
                <w:lang w:val="lt-LT"/>
              </w:rPr>
              <w:t>8 5 2649696</w:t>
            </w:r>
          </w:p>
          <w:p w14:paraId="1BA05B74" w14:textId="77777777" w:rsidR="00707D75" w:rsidRDefault="00707D75" w:rsidP="002569F8">
            <w:pPr>
              <w:rPr>
                <w:color w:val="000000"/>
              </w:rPr>
            </w:pPr>
            <w:proofErr w:type="spellStart"/>
            <w:r w:rsidRPr="0005794C">
              <w:rPr>
                <w:lang w:val="lt-LT"/>
              </w:rPr>
              <w:t>A.s</w:t>
            </w:r>
            <w:proofErr w:type="spellEnd"/>
            <w:r w:rsidRPr="0005794C">
              <w:rPr>
                <w:lang w:val="lt-LT"/>
              </w:rPr>
              <w:t>.</w:t>
            </w:r>
            <w:r w:rsidRPr="00794C4D">
              <w:rPr>
                <w:lang w:val="de-DE"/>
              </w:rPr>
              <w:t xml:space="preserve"> LT</w:t>
            </w:r>
            <w:r>
              <w:rPr>
                <w:lang w:val="de-DE"/>
              </w:rPr>
              <w:t>257044060001645641</w:t>
            </w:r>
            <w:r w:rsidRPr="0005794C">
              <w:rPr>
                <w:lang w:val="lt-LT"/>
              </w:rPr>
              <w:tab/>
            </w:r>
          </w:p>
          <w:p w14:paraId="71E13699" w14:textId="77777777" w:rsidR="00707D75" w:rsidRPr="0005794C" w:rsidRDefault="00707D75" w:rsidP="002569F8">
            <w:pPr>
              <w:rPr>
                <w:color w:val="000000"/>
              </w:rPr>
            </w:pPr>
          </w:p>
          <w:p w14:paraId="67F87408" w14:textId="77777777" w:rsidR="00707D75" w:rsidRPr="0005794C" w:rsidRDefault="00707D75" w:rsidP="002569F8">
            <w:pPr>
              <w:rPr>
                <w:color w:val="0000FF"/>
                <w:lang w:val="lt-LT"/>
              </w:rPr>
            </w:pPr>
            <w:proofErr w:type="spellStart"/>
            <w:r w:rsidRPr="0005794C">
              <w:rPr>
                <w:lang w:val="lt-LT"/>
              </w:rPr>
              <w:t>El.paštas</w:t>
            </w:r>
            <w:proofErr w:type="spellEnd"/>
            <w:r w:rsidRPr="0005794C">
              <w:rPr>
                <w:lang w:val="lt-LT"/>
              </w:rPr>
              <w:t xml:space="preserve">: </w:t>
            </w:r>
            <w:r>
              <w:rPr>
                <w:lang w:val="lt-LT"/>
              </w:rPr>
              <w:t>vilnius@limeta.lt</w:t>
            </w:r>
          </w:p>
          <w:p w14:paraId="418838D6" w14:textId="77777777" w:rsidR="00707D75" w:rsidRPr="0005794C" w:rsidRDefault="00707D75" w:rsidP="002569F8">
            <w:pPr>
              <w:rPr>
                <w:color w:val="3333FF"/>
                <w:lang w:val="lt-LT"/>
              </w:rPr>
            </w:pPr>
          </w:p>
          <w:p w14:paraId="21F95318" w14:textId="77777777" w:rsidR="00707D75" w:rsidRDefault="00707D75" w:rsidP="002569F8">
            <w:pPr>
              <w:jc w:val="both"/>
              <w:rPr>
                <w:lang w:val="lt-LT"/>
              </w:rPr>
            </w:pPr>
            <w:r>
              <w:rPr>
                <w:lang w:val="lt-LT"/>
              </w:rPr>
              <w:t>Generalinis direktorius</w:t>
            </w:r>
          </w:p>
          <w:p w14:paraId="74F58207" w14:textId="77777777" w:rsidR="00707D75" w:rsidRPr="0005794C" w:rsidRDefault="00707D75" w:rsidP="002569F8">
            <w:pPr>
              <w:jc w:val="both"/>
              <w:rPr>
                <w:lang w:val="lt-LT"/>
              </w:rPr>
            </w:pPr>
            <w:r>
              <w:rPr>
                <w:lang w:val="lt-LT"/>
              </w:rPr>
              <w:t xml:space="preserve">Virginijus Domarkas </w:t>
            </w:r>
            <w:r w:rsidRPr="0005794C">
              <w:rPr>
                <w:lang w:val="lt-LT"/>
              </w:rPr>
              <w:t>__________________</w:t>
            </w:r>
          </w:p>
          <w:p w14:paraId="098A3D3C" w14:textId="77777777" w:rsidR="00707D75" w:rsidRPr="0005794C" w:rsidRDefault="00707D75" w:rsidP="002569F8">
            <w:pPr>
              <w:jc w:val="both"/>
              <w:rPr>
                <w:lang w:val="lt-LT"/>
              </w:rPr>
            </w:pPr>
            <w:r w:rsidRPr="0005794C">
              <w:rPr>
                <w:vertAlign w:val="superscript"/>
                <w:lang w:val="lt-LT"/>
              </w:rPr>
              <w:t xml:space="preserve">                                                            (parašas)</w:t>
            </w:r>
          </w:p>
          <w:p w14:paraId="175BCF7C" w14:textId="77777777" w:rsidR="00707D75" w:rsidRPr="0005794C" w:rsidRDefault="00707D75" w:rsidP="002569F8">
            <w:pPr>
              <w:jc w:val="both"/>
              <w:rPr>
                <w:lang w:val="lt-LT"/>
              </w:rPr>
            </w:pPr>
            <w:r w:rsidRPr="0005794C">
              <w:rPr>
                <w:lang w:val="lt-LT"/>
              </w:rPr>
              <w:t xml:space="preserve">    A.V.</w:t>
            </w:r>
          </w:p>
        </w:tc>
      </w:tr>
    </w:tbl>
    <w:p w14:paraId="2DB70B95" w14:textId="77777777" w:rsidR="00707D75" w:rsidRPr="0005794C" w:rsidRDefault="00707D75" w:rsidP="00707D75">
      <w:pPr>
        <w:spacing w:before="120" w:after="120"/>
        <w:rPr>
          <w:bCs/>
          <w:color w:val="000000"/>
        </w:rPr>
      </w:pPr>
    </w:p>
    <w:p w14:paraId="624411C4" w14:textId="77777777" w:rsidR="00707D75" w:rsidRPr="0005794C" w:rsidRDefault="00707D75" w:rsidP="00707D75">
      <w:pPr>
        <w:spacing w:before="120" w:after="120"/>
        <w:rPr>
          <w:bCs/>
          <w:color w:val="000000"/>
        </w:rPr>
      </w:pPr>
    </w:p>
    <w:p w14:paraId="686A86B5" w14:textId="77777777" w:rsidR="00707D75" w:rsidRDefault="00707D75" w:rsidP="00707D75">
      <w:pPr>
        <w:spacing w:before="120" w:after="120"/>
        <w:rPr>
          <w:bCs/>
          <w:color w:val="000000"/>
          <w:sz w:val="22"/>
          <w:szCs w:val="22"/>
        </w:rPr>
      </w:pPr>
    </w:p>
    <w:p w14:paraId="59BECD48" w14:textId="77777777" w:rsidR="00707D75" w:rsidRDefault="00707D75" w:rsidP="00707D75">
      <w:pPr>
        <w:spacing w:before="120" w:after="120"/>
        <w:rPr>
          <w:bCs/>
          <w:color w:val="000000"/>
          <w:sz w:val="22"/>
          <w:szCs w:val="22"/>
        </w:rPr>
      </w:pPr>
    </w:p>
    <w:p w14:paraId="07D622D8" w14:textId="77777777" w:rsidR="00707D75" w:rsidRDefault="00707D75" w:rsidP="00707D75">
      <w:pPr>
        <w:spacing w:before="120" w:after="120"/>
        <w:rPr>
          <w:bCs/>
          <w:color w:val="000000"/>
          <w:sz w:val="22"/>
          <w:szCs w:val="22"/>
        </w:rPr>
      </w:pPr>
    </w:p>
    <w:p w14:paraId="3D036A39" w14:textId="77777777" w:rsidR="00707D75" w:rsidRDefault="00707D75" w:rsidP="00707D75">
      <w:pPr>
        <w:spacing w:before="120" w:after="120"/>
        <w:rPr>
          <w:bCs/>
          <w:color w:val="000000"/>
          <w:sz w:val="22"/>
          <w:szCs w:val="22"/>
        </w:rPr>
      </w:pPr>
    </w:p>
    <w:p w14:paraId="470ED78F" w14:textId="77777777" w:rsidR="00707D75" w:rsidRPr="0005794C" w:rsidRDefault="00707D75" w:rsidP="00707D75">
      <w:pPr>
        <w:spacing w:before="120" w:after="120"/>
        <w:rPr>
          <w:bCs/>
          <w:color w:val="000000"/>
          <w:sz w:val="22"/>
          <w:szCs w:val="22"/>
        </w:rPr>
      </w:pPr>
    </w:p>
    <w:p w14:paraId="1F707466" w14:textId="77777777" w:rsidR="00707D75" w:rsidRDefault="00707D75" w:rsidP="00707D75">
      <w:pPr>
        <w:spacing w:before="120" w:after="120"/>
        <w:rPr>
          <w:bCs/>
          <w:color w:val="000000"/>
          <w:sz w:val="22"/>
          <w:szCs w:val="22"/>
        </w:rPr>
      </w:pPr>
    </w:p>
    <w:p w14:paraId="382E32AA" w14:textId="77777777" w:rsidR="00707D75" w:rsidRDefault="00707D75" w:rsidP="00707D75">
      <w:pPr>
        <w:spacing w:before="120" w:after="120"/>
        <w:rPr>
          <w:bCs/>
          <w:color w:val="000000"/>
          <w:sz w:val="22"/>
          <w:szCs w:val="22"/>
        </w:rPr>
      </w:pPr>
    </w:p>
    <w:p w14:paraId="5F5A73C8" w14:textId="77777777" w:rsidR="00707D75" w:rsidRDefault="00707D75" w:rsidP="00707D75">
      <w:pPr>
        <w:spacing w:before="120" w:after="120"/>
        <w:rPr>
          <w:bCs/>
          <w:color w:val="000000"/>
          <w:sz w:val="22"/>
          <w:szCs w:val="22"/>
        </w:rPr>
      </w:pPr>
    </w:p>
    <w:p w14:paraId="2C189932" w14:textId="77777777" w:rsidR="00707D75" w:rsidRDefault="00707D75" w:rsidP="00707D75">
      <w:pPr>
        <w:spacing w:before="120" w:after="120"/>
        <w:rPr>
          <w:bCs/>
          <w:color w:val="000000"/>
          <w:sz w:val="22"/>
          <w:szCs w:val="22"/>
        </w:rPr>
      </w:pPr>
    </w:p>
    <w:p w14:paraId="46B9EF53" w14:textId="77777777" w:rsidR="00707D75" w:rsidRDefault="00707D75" w:rsidP="00707D75">
      <w:pPr>
        <w:spacing w:before="120" w:after="120"/>
        <w:rPr>
          <w:bCs/>
          <w:color w:val="000000"/>
          <w:sz w:val="22"/>
          <w:szCs w:val="22"/>
        </w:rPr>
      </w:pPr>
    </w:p>
    <w:p w14:paraId="661F2D06" w14:textId="77777777" w:rsidR="00707D75" w:rsidRDefault="00707D75" w:rsidP="00707D75">
      <w:pPr>
        <w:spacing w:before="120" w:after="120"/>
        <w:rPr>
          <w:bCs/>
          <w:color w:val="000000"/>
          <w:sz w:val="22"/>
          <w:szCs w:val="22"/>
        </w:rPr>
      </w:pPr>
    </w:p>
    <w:p w14:paraId="550F3245" w14:textId="77777777" w:rsidR="00707D75" w:rsidRDefault="00707D75" w:rsidP="00707D75">
      <w:pPr>
        <w:spacing w:before="120" w:after="120"/>
        <w:rPr>
          <w:bCs/>
          <w:color w:val="000000"/>
          <w:sz w:val="22"/>
          <w:szCs w:val="22"/>
        </w:rPr>
      </w:pPr>
    </w:p>
    <w:p w14:paraId="43085AE8" w14:textId="77777777" w:rsidR="00707D75" w:rsidRDefault="00707D75" w:rsidP="00707D75">
      <w:pPr>
        <w:spacing w:before="120" w:after="120"/>
        <w:rPr>
          <w:bCs/>
          <w:color w:val="000000"/>
          <w:sz w:val="22"/>
          <w:szCs w:val="22"/>
        </w:rPr>
      </w:pPr>
    </w:p>
    <w:p w14:paraId="329447F4" w14:textId="77777777" w:rsidR="00707D75" w:rsidRDefault="00707D75" w:rsidP="00707D75">
      <w:pPr>
        <w:spacing w:before="120" w:after="120"/>
        <w:rPr>
          <w:bCs/>
          <w:color w:val="000000"/>
          <w:sz w:val="22"/>
          <w:szCs w:val="22"/>
        </w:rPr>
      </w:pPr>
    </w:p>
    <w:p w14:paraId="7D993507" w14:textId="77777777" w:rsidR="00707D75" w:rsidRDefault="00707D75" w:rsidP="00707D75">
      <w:pPr>
        <w:spacing w:before="120" w:after="120"/>
        <w:rPr>
          <w:bCs/>
          <w:color w:val="000000"/>
          <w:sz w:val="22"/>
          <w:szCs w:val="22"/>
        </w:rPr>
      </w:pPr>
    </w:p>
    <w:p w14:paraId="79944221" w14:textId="77777777" w:rsidR="00707D75" w:rsidRDefault="00707D75" w:rsidP="00707D75">
      <w:pPr>
        <w:spacing w:before="120" w:after="120"/>
        <w:rPr>
          <w:bCs/>
          <w:color w:val="000000"/>
          <w:sz w:val="22"/>
          <w:szCs w:val="22"/>
        </w:rPr>
      </w:pPr>
    </w:p>
    <w:p w14:paraId="47B9DE1B" w14:textId="77777777" w:rsidR="00707D75" w:rsidRDefault="00707D75" w:rsidP="00707D75">
      <w:pPr>
        <w:spacing w:before="120" w:after="120"/>
        <w:rPr>
          <w:bCs/>
          <w:color w:val="000000"/>
          <w:sz w:val="22"/>
          <w:szCs w:val="22"/>
        </w:rPr>
      </w:pPr>
    </w:p>
    <w:p w14:paraId="408A7DDC" w14:textId="77777777" w:rsidR="00707D75" w:rsidRDefault="00707D75" w:rsidP="00707D75">
      <w:pPr>
        <w:spacing w:before="120" w:after="120"/>
        <w:rPr>
          <w:bCs/>
          <w:color w:val="000000"/>
          <w:sz w:val="22"/>
          <w:szCs w:val="22"/>
        </w:rPr>
      </w:pPr>
    </w:p>
    <w:p w14:paraId="1C0B48C6" w14:textId="77777777" w:rsidR="00707D75" w:rsidRDefault="00707D75" w:rsidP="00707D75">
      <w:pPr>
        <w:spacing w:before="120" w:after="120"/>
        <w:rPr>
          <w:bCs/>
          <w:color w:val="000000"/>
          <w:sz w:val="22"/>
          <w:szCs w:val="22"/>
        </w:rPr>
      </w:pPr>
    </w:p>
    <w:p w14:paraId="77F3A453" w14:textId="77777777" w:rsidR="00707D75" w:rsidRDefault="00707D75" w:rsidP="00707D75">
      <w:pPr>
        <w:spacing w:before="120" w:after="120"/>
        <w:rPr>
          <w:bCs/>
          <w:color w:val="000000"/>
          <w:sz w:val="22"/>
          <w:szCs w:val="22"/>
        </w:rPr>
      </w:pPr>
    </w:p>
    <w:p w14:paraId="58F40088" w14:textId="77777777" w:rsidR="00707D75" w:rsidRDefault="00707D75" w:rsidP="00707D75">
      <w:pPr>
        <w:spacing w:before="120" w:after="120"/>
        <w:rPr>
          <w:bCs/>
          <w:color w:val="000000"/>
          <w:sz w:val="22"/>
          <w:szCs w:val="22"/>
        </w:rPr>
      </w:pPr>
    </w:p>
    <w:p w14:paraId="23C54F54" w14:textId="77777777" w:rsidR="00707D75" w:rsidRDefault="00707D75" w:rsidP="00707D75">
      <w:pPr>
        <w:spacing w:before="120" w:after="120"/>
        <w:rPr>
          <w:bCs/>
          <w:color w:val="000000"/>
          <w:sz w:val="22"/>
          <w:szCs w:val="22"/>
        </w:rPr>
      </w:pPr>
    </w:p>
    <w:p w14:paraId="63810EE6" w14:textId="77777777" w:rsidR="00707D75" w:rsidRDefault="00707D75" w:rsidP="00707D75">
      <w:pPr>
        <w:spacing w:before="120" w:after="120"/>
        <w:rPr>
          <w:bCs/>
          <w:color w:val="000000"/>
          <w:sz w:val="22"/>
          <w:szCs w:val="22"/>
        </w:rPr>
      </w:pPr>
    </w:p>
    <w:p w14:paraId="69256F09" w14:textId="77777777" w:rsidR="00707D75" w:rsidRDefault="00707D75" w:rsidP="00707D75">
      <w:pPr>
        <w:spacing w:before="120" w:after="120"/>
        <w:rPr>
          <w:bCs/>
          <w:color w:val="000000"/>
          <w:sz w:val="22"/>
          <w:szCs w:val="22"/>
        </w:rPr>
      </w:pPr>
    </w:p>
    <w:p w14:paraId="5C21922C" w14:textId="77777777" w:rsidR="00707D75" w:rsidRDefault="00707D75" w:rsidP="00707D75">
      <w:pPr>
        <w:spacing w:before="120" w:after="120"/>
        <w:rPr>
          <w:bCs/>
          <w:color w:val="000000"/>
          <w:sz w:val="22"/>
          <w:szCs w:val="22"/>
        </w:rPr>
      </w:pPr>
    </w:p>
    <w:p w14:paraId="0EF17D07" w14:textId="77777777" w:rsidR="00707D75" w:rsidRDefault="00707D75" w:rsidP="00707D75">
      <w:pPr>
        <w:spacing w:before="120" w:after="120"/>
        <w:rPr>
          <w:bCs/>
          <w:color w:val="000000"/>
          <w:sz w:val="22"/>
          <w:szCs w:val="22"/>
        </w:rPr>
      </w:pPr>
    </w:p>
    <w:p w14:paraId="61561D41" w14:textId="77777777" w:rsidR="00707D75" w:rsidRDefault="00707D75" w:rsidP="00707D75">
      <w:pPr>
        <w:spacing w:before="120" w:after="120"/>
        <w:rPr>
          <w:bCs/>
          <w:color w:val="000000"/>
          <w:sz w:val="22"/>
          <w:szCs w:val="22"/>
        </w:rPr>
      </w:pPr>
    </w:p>
    <w:p w14:paraId="3FAD2ACB" w14:textId="77777777" w:rsidR="00707D75" w:rsidRDefault="00707D75" w:rsidP="00707D75">
      <w:pPr>
        <w:spacing w:before="120" w:after="120"/>
        <w:rPr>
          <w:bCs/>
          <w:color w:val="000000"/>
          <w:sz w:val="22"/>
          <w:szCs w:val="22"/>
        </w:rPr>
      </w:pPr>
    </w:p>
    <w:p w14:paraId="714F81F6" w14:textId="77777777" w:rsidR="00707D75" w:rsidRDefault="00707D75" w:rsidP="00707D75">
      <w:pPr>
        <w:spacing w:before="120" w:after="120"/>
        <w:rPr>
          <w:bCs/>
          <w:color w:val="000000"/>
          <w:sz w:val="22"/>
          <w:szCs w:val="22"/>
        </w:rPr>
      </w:pPr>
    </w:p>
    <w:p w14:paraId="1239C0DE" w14:textId="77777777" w:rsidR="00707D75" w:rsidRDefault="00707D75" w:rsidP="00707D75">
      <w:pPr>
        <w:spacing w:before="120" w:after="120"/>
        <w:rPr>
          <w:bCs/>
          <w:color w:val="000000"/>
          <w:sz w:val="22"/>
          <w:szCs w:val="22"/>
        </w:rPr>
      </w:pPr>
    </w:p>
    <w:p w14:paraId="4CA8B9EC" w14:textId="77777777" w:rsidR="00707D75" w:rsidRDefault="00707D75" w:rsidP="00707D75">
      <w:pPr>
        <w:spacing w:before="120" w:after="120"/>
        <w:rPr>
          <w:bCs/>
          <w:color w:val="000000"/>
          <w:sz w:val="22"/>
          <w:szCs w:val="22"/>
        </w:rPr>
      </w:pPr>
    </w:p>
    <w:p w14:paraId="7FF17230" w14:textId="77777777" w:rsidR="00707D75" w:rsidRDefault="00707D75" w:rsidP="00707D75">
      <w:pPr>
        <w:spacing w:before="120" w:after="120"/>
        <w:rPr>
          <w:bCs/>
          <w:color w:val="000000"/>
          <w:sz w:val="22"/>
          <w:szCs w:val="22"/>
        </w:rPr>
      </w:pPr>
    </w:p>
    <w:p w14:paraId="79F58BE7" w14:textId="77777777" w:rsidR="00707D75" w:rsidRDefault="00707D75" w:rsidP="00707D75">
      <w:pPr>
        <w:spacing w:before="120" w:after="120"/>
        <w:rPr>
          <w:bCs/>
          <w:color w:val="000000"/>
          <w:sz w:val="22"/>
          <w:szCs w:val="22"/>
        </w:rPr>
      </w:pPr>
    </w:p>
    <w:p w14:paraId="483E6269" w14:textId="77777777" w:rsidR="00707D75" w:rsidRDefault="00707D75" w:rsidP="00707D75">
      <w:pPr>
        <w:spacing w:before="120" w:after="120"/>
        <w:rPr>
          <w:bCs/>
          <w:color w:val="000000"/>
          <w:sz w:val="22"/>
          <w:szCs w:val="22"/>
        </w:rPr>
      </w:pPr>
    </w:p>
    <w:p w14:paraId="168F192A" w14:textId="77777777" w:rsidR="00707D75" w:rsidRDefault="00707D75" w:rsidP="00707D75">
      <w:pPr>
        <w:spacing w:before="120" w:after="120"/>
        <w:rPr>
          <w:bCs/>
          <w:color w:val="000000"/>
          <w:sz w:val="22"/>
          <w:szCs w:val="22"/>
        </w:rPr>
      </w:pPr>
    </w:p>
    <w:p w14:paraId="6CB6AB5F" w14:textId="77777777" w:rsidR="00707D75" w:rsidRPr="0005794C" w:rsidRDefault="00707D75" w:rsidP="00707D75">
      <w:pPr>
        <w:spacing w:before="120" w:after="120"/>
        <w:rPr>
          <w:bCs/>
          <w:color w:val="000000"/>
          <w:sz w:val="22"/>
          <w:szCs w:val="22"/>
        </w:rPr>
      </w:pPr>
    </w:p>
    <w:p w14:paraId="36D9592B" w14:textId="77777777" w:rsidR="00707D75" w:rsidRPr="0005794C" w:rsidRDefault="00707D75" w:rsidP="00707D75">
      <w:pPr>
        <w:spacing w:before="120" w:after="120"/>
        <w:jc w:val="center"/>
        <w:rPr>
          <w:bCs/>
          <w:color w:val="000000"/>
          <w:lang w:val="lt-LT"/>
        </w:rPr>
      </w:pPr>
      <w:proofErr w:type="spellStart"/>
      <w:r w:rsidRPr="0005794C">
        <w:rPr>
          <w:bCs/>
          <w:color w:val="000000"/>
        </w:rPr>
        <w:t>Priedas</w:t>
      </w:r>
      <w:proofErr w:type="spellEnd"/>
    </w:p>
    <w:p w14:paraId="4B3E91A0" w14:textId="4B9111E4" w:rsidR="00707D75" w:rsidRPr="0005794C" w:rsidRDefault="00707D75" w:rsidP="00707D75">
      <w:pPr>
        <w:spacing w:before="120" w:after="120"/>
        <w:jc w:val="center"/>
        <w:rPr>
          <w:bCs/>
          <w:color w:val="000000"/>
          <w:lang w:val="lt-LT"/>
        </w:rPr>
      </w:pPr>
      <w:r w:rsidRPr="0005794C">
        <w:rPr>
          <w:bCs/>
          <w:color w:val="000000"/>
          <w:lang w:val="lt-LT"/>
        </w:rPr>
        <w:t xml:space="preserve"> prie 202</w:t>
      </w:r>
      <w:r w:rsidR="000E27B0">
        <w:rPr>
          <w:bCs/>
          <w:color w:val="000000"/>
          <w:lang w:val="lt-LT"/>
        </w:rPr>
        <w:t>5</w:t>
      </w:r>
      <w:r w:rsidRPr="0005794C">
        <w:rPr>
          <w:bCs/>
          <w:color w:val="000000"/>
          <w:lang w:val="lt-LT"/>
        </w:rPr>
        <w:t>-</w:t>
      </w:r>
      <w:r>
        <w:rPr>
          <w:bCs/>
          <w:color w:val="000000"/>
          <w:lang w:val="lt-LT"/>
        </w:rPr>
        <w:t>0</w:t>
      </w:r>
      <w:r w:rsidR="000E27B0">
        <w:rPr>
          <w:bCs/>
          <w:color w:val="000000"/>
          <w:lang w:val="lt-LT"/>
        </w:rPr>
        <w:t>3</w:t>
      </w:r>
      <w:r>
        <w:rPr>
          <w:bCs/>
          <w:color w:val="000000"/>
          <w:lang w:val="lt-LT"/>
        </w:rPr>
        <w:t>-</w:t>
      </w:r>
      <w:r w:rsidR="000E27B0">
        <w:rPr>
          <w:bCs/>
          <w:color w:val="000000"/>
          <w:lang w:val="lt-LT"/>
        </w:rPr>
        <w:t>18</w:t>
      </w:r>
      <w:r w:rsidRPr="0005794C">
        <w:rPr>
          <w:bCs/>
          <w:color w:val="000000"/>
          <w:lang w:val="lt-LT"/>
        </w:rPr>
        <w:t xml:space="preserve">   Viešojo paslaugų pirkimo – pardavimo sutarties Nr. </w:t>
      </w:r>
      <w:r>
        <w:rPr>
          <w:b/>
          <w:lang w:val="lt-LT"/>
        </w:rPr>
        <w:t>F3-</w:t>
      </w:r>
      <w:r w:rsidR="000E27B0">
        <w:rPr>
          <w:b/>
          <w:lang w:val="lt-LT"/>
        </w:rPr>
        <w:t>31</w:t>
      </w:r>
      <w:r>
        <w:rPr>
          <w:b/>
          <w:lang w:val="lt-LT"/>
        </w:rPr>
        <w:t>/202</w:t>
      </w:r>
      <w:r w:rsidR="000E27B0">
        <w:rPr>
          <w:b/>
          <w:lang w:val="lt-LT"/>
        </w:rPr>
        <w:t>5</w:t>
      </w:r>
    </w:p>
    <w:p w14:paraId="3A657A25" w14:textId="77777777" w:rsidR="00707D75" w:rsidRDefault="00707D75" w:rsidP="00707D75">
      <w:pPr>
        <w:pStyle w:val="Antrats"/>
        <w:tabs>
          <w:tab w:val="left" w:pos="720"/>
        </w:tabs>
        <w:jc w:val="center"/>
        <w:rPr>
          <w:rFonts w:ascii="Times New Roman" w:hAnsi="Times New Roman"/>
          <w:b/>
          <w:bCs/>
          <w:color w:val="000000"/>
          <w:sz w:val="24"/>
          <w:szCs w:val="24"/>
          <w:lang w:val="lt-LT"/>
        </w:rPr>
      </w:pPr>
      <w:r w:rsidRPr="0005794C">
        <w:rPr>
          <w:rFonts w:ascii="Times New Roman" w:hAnsi="Times New Roman"/>
          <w:b/>
          <w:bCs/>
          <w:color w:val="000000"/>
          <w:sz w:val="24"/>
          <w:szCs w:val="24"/>
          <w:lang w:val="lt-LT"/>
        </w:rPr>
        <w:t>Perkamų paslaugų sąrašas</w:t>
      </w:r>
    </w:p>
    <w:p w14:paraId="620BC12B" w14:textId="77777777" w:rsidR="00707D75" w:rsidRDefault="00707D75" w:rsidP="00707D75">
      <w:pPr>
        <w:pStyle w:val="Antrats"/>
        <w:tabs>
          <w:tab w:val="left" w:pos="720"/>
        </w:tabs>
        <w:jc w:val="center"/>
        <w:rPr>
          <w:rFonts w:ascii="Times New Roman" w:hAnsi="Times New Roman"/>
          <w:b/>
          <w:bCs/>
          <w:color w:val="000000"/>
          <w:sz w:val="24"/>
          <w:szCs w:val="24"/>
          <w:lang w:val="lt-LT"/>
        </w:rPr>
      </w:pPr>
    </w:p>
    <w:p w14:paraId="77FE85C1" w14:textId="77777777" w:rsidR="00707D75" w:rsidRDefault="00707D75" w:rsidP="00707D75">
      <w:pPr>
        <w:pStyle w:val="Antrats"/>
        <w:tabs>
          <w:tab w:val="left" w:pos="720"/>
        </w:tabs>
        <w:jc w:val="center"/>
        <w:rPr>
          <w:rFonts w:ascii="Times New Roman" w:hAnsi="Times New Roman"/>
          <w:b/>
          <w:bCs/>
          <w:color w:val="000000"/>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4160"/>
        <w:gridCol w:w="960"/>
        <w:gridCol w:w="1970"/>
        <w:gridCol w:w="1984"/>
      </w:tblGrid>
      <w:tr w:rsidR="00574E5E" w:rsidRPr="00574E5E" w14:paraId="213040E3" w14:textId="77777777" w:rsidTr="00431E2C">
        <w:trPr>
          <w:trHeight w:val="660"/>
        </w:trPr>
        <w:tc>
          <w:tcPr>
            <w:tcW w:w="815" w:type="dxa"/>
            <w:shd w:val="clear" w:color="auto" w:fill="auto"/>
            <w:noWrap/>
            <w:hideMark/>
          </w:tcPr>
          <w:p w14:paraId="502C7051" w14:textId="77777777" w:rsidR="00574E5E" w:rsidRPr="00836592" w:rsidRDefault="00574E5E" w:rsidP="00431E2C">
            <w:pPr>
              <w:jc w:val="both"/>
              <w:rPr>
                <w:sz w:val="22"/>
                <w:szCs w:val="22"/>
              </w:rPr>
            </w:pPr>
            <w:proofErr w:type="spellStart"/>
            <w:r w:rsidRPr="00836592">
              <w:rPr>
                <w:sz w:val="22"/>
                <w:szCs w:val="22"/>
              </w:rPr>
              <w:t>Eil.Nr</w:t>
            </w:r>
            <w:proofErr w:type="spellEnd"/>
            <w:r w:rsidRPr="00836592">
              <w:rPr>
                <w:sz w:val="22"/>
                <w:szCs w:val="22"/>
              </w:rPr>
              <w:t>.</w:t>
            </w:r>
          </w:p>
        </w:tc>
        <w:tc>
          <w:tcPr>
            <w:tcW w:w="4160" w:type="dxa"/>
            <w:shd w:val="clear" w:color="auto" w:fill="auto"/>
            <w:noWrap/>
            <w:hideMark/>
          </w:tcPr>
          <w:p w14:paraId="53DDBC40" w14:textId="77777777" w:rsidR="00574E5E" w:rsidRPr="00836592" w:rsidRDefault="00574E5E" w:rsidP="00431E2C">
            <w:pPr>
              <w:jc w:val="both"/>
              <w:rPr>
                <w:sz w:val="22"/>
                <w:szCs w:val="22"/>
              </w:rPr>
            </w:pPr>
            <w:proofErr w:type="spellStart"/>
            <w:r w:rsidRPr="00836592">
              <w:rPr>
                <w:sz w:val="22"/>
                <w:szCs w:val="22"/>
              </w:rPr>
              <w:t>Prietaiso</w:t>
            </w:r>
            <w:proofErr w:type="spellEnd"/>
            <w:r w:rsidRPr="00836592">
              <w:rPr>
                <w:sz w:val="22"/>
                <w:szCs w:val="22"/>
              </w:rPr>
              <w:t xml:space="preserve"> </w:t>
            </w:r>
            <w:proofErr w:type="spellStart"/>
            <w:r w:rsidRPr="00836592">
              <w:rPr>
                <w:sz w:val="22"/>
                <w:szCs w:val="22"/>
              </w:rPr>
              <w:t>pavadinimas</w:t>
            </w:r>
            <w:proofErr w:type="spellEnd"/>
          </w:p>
        </w:tc>
        <w:tc>
          <w:tcPr>
            <w:tcW w:w="960" w:type="dxa"/>
            <w:shd w:val="clear" w:color="auto" w:fill="auto"/>
            <w:hideMark/>
          </w:tcPr>
          <w:p w14:paraId="7C8BC182" w14:textId="77777777" w:rsidR="00574E5E" w:rsidRPr="00836592" w:rsidRDefault="00574E5E" w:rsidP="00431E2C">
            <w:pPr>
              <w:jc w:val="both"/>
              <w:rPr>
                <w:sz w:val="22"/>
                <w:szCs w:val="22"/>
              </w:rPr>
            </w:pPr>
            <w:proofErr w:type="spellStart"/>
            <w:r w:rsidRPr="00836592">
              <w:rPr>
                <w:sz w:val="22"/>
                <w:szCs w:val="22"/>
              </w:rPr>
              <w:t>Kiekis</w:t>
            </w:r>
            <w:proofErr w:type="spellEnd"/>
            <w:r w:rsidRPr="00836592">
              <w:rPr>
                <w:sz w:val="22"/>
                <w:szCs w:val="22"/>
              </w:rPr>
              <w:t xml:space="preserve">, </w:t>
            </w:r>
            <w:proofErr w:type="spellStart"/>
            <w:r w:rsidRPr="00836592">
              <w:rPr>
                <w:sz w:val="22"/>
                <w:szCs w:val="22"/>
              </w:rPr>
              <w:t>vnt</w:t>
            </w:r>
            <w:proofErr w:type="spellEnd"/>
            <w:r w:rsidRPr="00836592">
              <w:rPr>
                <w:sz w:val="22"/>
                <w:szCs w:val="22"/>
              </w:rPr>
              <w:t>.</w:t>
            </w:r>
          </w:p>
        </w:tc>
        <w:tc>
          <w:tcPr>
            <w:tcW w:w="1970" w:type="dxa"/>
            <w:shd w:val="clear" w:color="auto" w:fill="auto"/>
            <w:hideMark/>
          </w:tcPr>
          <w:p w14:paraId="188B8566" w14:textId="77777777" w:rsidR="00574E5E" w:rsidRPr="00836592" w:rsidRDefault="00574E5E" w:rsidP="00431E2C">
            <w:pPr>
              <w:jc w:val="both"/>
              <w:rPr>
                <w:sz w:val="22"/>
                <w:szCs w:val="22"/>
              </w:rPr>
            </w:pPr>
            <w:proofErr w:type="spellStart"/>
            <w:r w:rsidRPr="00836592">
              <w:rPr>
                <w:sz w:val="22"/>
                <w:szCs w:val="22"/>
              </w:rPr>
              <w:t>Vieneto</w:t>
            </w:r>
            <w:proofErr w:type="spellEnd"/>
            <w:r w:rsidRPr="00836592">
              <w:rPr>
                <w:sz w:val="22"/>
                <w:szCs w:val="22"/>
              </w:rPr>
              <w:t xml:space="preserve"> </w:t>
            </w:r>
            <w:proofErr w:type="spellStart"/>
            <w:r w:rsidRPr="00836592">
              <w:rPr>
                <w:sz w:val="22"/>
                <w:szCs w:val="22"/>
              </w:rPr>
              <w:t>kaina</w:t>
            </w:r>
            <w:proofErr w:type="spellEnd"/>
            <w:r w:rsidRPr="00836592">
              <w:rPr>
                <w:sz w:val="22"/>
                <w:szCs w:val="22"/>
              </w:rPr>
              <w:t xml:space="preserve"> </w:t>
            </w:r>
            <w:proofErr w:type="spellStart"/>
            <w:r w:rsidRPr="00836592">
              <w:rPr>
                <w:sz w:val="22"/>
                <w:szCs w:val="22"/>
              </w:rPr>
              <w:t>Eur</w:t>
            </w:r>
            <w:proofErr w:type="spellEnd"/>
            <w:r w:rsidRPr="00836592">
              <w:rPr>
                <w:sz w:val="22"/>
                <w:szCs w:val="22"/>
              </w:rPr>
              <w:t xml:space="preserve"> be PVM </w:t>
            </w:r>
          </w:p>
        </w:tc>
        <w:tc>
          <w:tcPr>
            <w:tcW w:w="1984" w:type="dxa"/>
            <w:shd w:val="clear" w:color="auto" w:fill="auto"/>
            <w:hideMark/>
          </w:tcPr>
          <w:p w14:paraId="3B89668F" w14:textId="77777777" w:rsidR="00574E5E" w:rsidRPr="00574E5E" w:rsidRDefault="00574E5E" w:rsidP="00431E2C">
            <w:pPr>
              <w:jc w:val="both"/>
              <w:rPr>
                <w:sz w:val="22"/>
                <w:szCs w:val="22"/>
                <w:lang w:val="pt-BR"/>
              </w:rPr>
            </w:pPr>
            <w:r w:rsidRPr="00574E5E">
              <w:rPr>
                <w:sz w:val="22"/>
                <w:szCs w:val="22"/>
                <w:lang w:val="pt-BR"/>
              </w:rPr>
              <w:t>Viso kiekio kaina Eur su PVM</w:t>
            </w:r>
          </w:p>
        </w:tc>
      </w:tr>
      <w:tr w:rsidR="00574E5E" w:rsidRPr="00836592" w14:paraId="15941DE2" w14:textId="77777777" w:rsidTr="00431E2C">
        <w:trPr>
          <w:trHeight w:val="315"/>
        </w:trPr>
        <w:tc>
          <w:tcPr>
            <w:tcW w:w="815" w:type="dxa"/>
            <w:shd w:val="clear" w:color="auto" w:fill="auto"/>
            <w:noWrap/>
            <w:hideMark/>
          </w:tcPr>
          <w:p w14:paraId="5335FC23" w14:textId="77777777" w:rsidR="00574E5E" w:rsidRPr="00836592" w:rsidRDefault="00574E5E" w:rsidP="00431E2C">
            <w:pPr>
              <w:jc w:val="both"/>
              <w:rPr>
                <w:sz w:val="22"/>
                <w:szCs w:val="22"/>
              </w:rPr>
            </w:pPr>
            <w:r w:rsidRPr="00836592">
              <w:rPr>
                <w:sz w:val="22"/>
                <w:szCs w:val="22"/>
              </w:rPr>
              <w:t>1</w:t>
            </w:r>
          </w:p>
        </w:tc>
        <w:tc>
          <w:tcPr>
            <w:tcW w:w="4160" w:type="dxa"/>
            <w:shd w:val="clear" w:color="auto" w:fill="auto"/>
            <w:noWrap/>
            <w:hideMark/>
          </w:tcPr>
          <w:p w14:paraId="5916A2FB" w14:textId="77777777" w:rsidR="00574E5E" w:rsidRPr="00836592" w:rsidRDefault="00574E5E" w:rsidP="00431E2C">
            <w:pPr>
              <w:jc w:val="both"/>
              <w:rPr>
                <w:sz w:val="22"/>
                <w:szCs w:val="22"/>
              </w:rPr>
            </w:pPr>
            <w:proofErr w:type="spellStart"/>
            <w:r w:rsidRPr="00836592">
              <w:rPr>
                <w:sz w:val="22"/>
                <w:szCs w:val="22"/>
              </w:rPr>
              <w:t>Elektrochirurginiai</w:t>
            </w:r>
            <w:proofErr w:type="spellEnd"/>
            <w:r w:rsidRPr="00836592">
              <w:rPr>
                <w:sz w:val="22"/>
                <w:szCs w:val="22"/>
              </w:rPr>
              <w:t xml:space="preserve"> </w:t>
            </w:r>
            <w:proofErr w:type="spellStart"/>
            <w:r w:rsidRPr="00836592">
              <w:rPr>
                <w:sz w:val="22"/>
                <w:szCs w:val="22"/>
              </w:rPr>
              <w:t>peiliai</w:t>
            </w:r>
            <w:proofErr w:type="spellEnd"/>
          </w:p>
        </w:tc>
        <w:tc>
          <w:tcPr>
            <w:tcW w:w="960" w:type="dxa"/>
            <w:shd w:val="clear" w:color="auto" w:fill="auto"/>
            <w:noWrap/>
            <w:hideMark/>
          </w:tcPr>
          <w:p w14:paraId="54774FF9" w14:textId="77777777" w:rsidR="00574E5E" w:rsidRPr="00836592" w:rsidRDefault="00574E5E" w:rsidP="00431E2C">
            <w:pPr>
              <w:jc w:val="right"/>
              <w:rPr>
                <w:sz w:val="22"/>
                <w:szCs w:val="22"/>
              </w:rPr>
            </w:pPr>
            <w:r w:rsidRPr="00836592">
              <w:rPr>
                <w:sz w:val="22"/>
                <w:szCs w:val="22"/>
              </w:rPr>
              <w:t>8</w:t>
            </w:r>
          </w:p>
        </w:tc>
        <w:tc>
          <w:tcPr>
            <w:tcW w:w="1970" w:type="dxa"/>
            <w:shd w:val="clear" w:color="auto" w:fill="auto"/>
            <w:noWrap/>
            <w:hideMark/>
          </w:tcPr>
          <w:p w14:paraId="0043E6AB" w14:textId="77777777" w:rsidR="00574E5E" w:rsidRPr="00836592" w:rsidRDefault="00574E5E" w:rsidP="00431E2C">
            <w:pPr>
              <w:jc w:val="right"/>
              <w:rPr>
                <w:sz w:val="22"/>
                <w:szCs w:val="22"/>
              </w:rPr>
            </w:pPr>
            <w:r w:rsidRPr="00836592">
              <w:rPr>
                <w:sz w:val="22"/>
                <w:szCs w:val="22"/>
              </w:rPr>
              <w:t>59,00</w:t>
            </w:r>
          </w:p>
        </w:tc>
        <w:tc>
          <w:tcPr>
            <w:tcW w:w="1984" w:type="dxa"/>
            <w:shd w:val="clear" w:color="auto" w:fill="auto"/>
            <w:noWrap/>
            <w:hideMark/>
          </w:tcPr>
          <w:p w14:paraId="47F4CE1E" w14:textId="77777777" w:rsidR="00574E5E" w:rsidRPr="00836592" w:rsidRDefault="00574E5E" w:rsidP="00431E2C">
            <w:pPr>
              <w:jc w:val="right"/>
              <w:rPr>
                <w:sz w:val="22"/>
                <w:szCs w:val="22"/>
              </w:rPr>
            </w:pPr>
            <w:r w:rsidRPr="00836592">
              <w:rPr>
                <w:sz w:val="22"/>
                <w:szCs w:val="22"/>
              </w:rPr>
              <w:t>571,12</w:t>
            </w:r>
          </w:p>
        </w:tc>
      </w:tr>
      <w:tr w:rsidR="00574E5E" w:rsidRPr="00836592" w14:paraId="30EB7410" w14:textId="77777777" w:rsidTr="00431E2C">
        <w:trPr>
          <w:trHeight w:val="315"/>
        </w:trPr>
        <w:tc>
          <w:tcPr>
            <w:tcW w:w="815" w:type="dxa"/>
            <w:shd w:val="clear" w:color="auto" w:fill="auto"/>
            <w:noWrap/>
            <w:hideMark/>
          </w:tcPr>
          <w:p w14:paraId="6E4B25D0" w14:textId="77777777" w:rsidR="00574E5E" w:rsidRPr="00836592" w:rsidRDefault="00574E5E" w:rsidP="00431E2C">
            <w:pPr>
              <w:jc w:val="both"/>
              <w:rPr>
                <w:sz w:val="22"/>
                <w:szCs w:val="22"/>
              </w:rPr>
            </w:pPr>
            <w:r w:rsidRPr="00836592">
              <w:rPr>
                <w:sz w:val="22"/>
                <w:szCs w:val="22"/>
              </w:rPr>
              <w:t>2</w:t>
            </w:r>
          </w:p>
        </w:tc>
        <w:tc>
          <w:tcPr>
            <w:tcW w:w="4160" w:type="dxa"/>
            <w:shd w:val="clear" w:color="auto" w:fill="auto"/>
            <w:noWrap/>
            <w:hideMark/>
          </w:tcPr>
          <w:p w14:paraId="53F69E0A" w14:textId="77777777" w:rsidR="00574E5E" w:rsidRPr="00836592" w:rsidRDefault="00574E5E" w:rsidP="00431E2C">
            <w:pPr>
              <w:jc w:val="both"/>
              <w:rPr>
                <w:sz w:val="22"/>
                <w:szCs w:val="22"/>
              </w:rPr>
            </w:pPr>
            <w:proofErr w:type="spellStart"/>
            <w:r w:rsidRPr="00836592">
              <w:rPr>
                <w:sz w:val="22"/>
                <w:szCs w:val="22"/>
              </w:rPr>
              <w:t>Elektrokardiografai</w:t>
            </w:r>
            <w:proofErr w:type="spellEnd"/>
          </w:p>
        </w:tc>
        <w:tc>
          <w:tcPr>
            <w:tcW w:w="960" w:type="dxa"/>
            <w:shd w:val="clear" w:color="auto" w:fill="auto"/>
            <w:noWrap/>
            <w:hideMark/>
          </w:tcPr>
          <w:p w14:paraId="3719BAAD" w14:textId="77777777" w:rsidR="00574E5E" w:rsidRPr="00836592" w:rsidRDefault="00574E5E" w:rsidP="00431E2C">
            <w:pPr>
              <w:jc w:val="right"/>
              <w:rPr>
                <w:sz w:val="22"/>
                <w:szCs w:val="22"/>
              </w:rPr>
            </w:pPr>
            <w:r w:rsidRPr="00836592">
              <w:rPr>
                <w:sz w:val="22"/>
                <w:szCs w:val="22"/>
              </w:rPr>
              <w:t>12</w:t>
            </w:r>
          </w:p>
        </w:tc>
        <w:tc>
          <w:tcPr>
            <w:tcW w:w="1970" w:type="dxa"/>
            <w:shd w:val="clear" w:color="auto" w:fill="auto"/>
            <w:noWrap/>
            <w:hideMark/>
          </w:tcPr>
          <w:p w14:paraId="711B5EE7" w14:textId="77777777" w:rsidR="00574E5E" w:rsidRPr="00836592" w:rsidRDefault="00574E5E" w:rsidP="00431E2C">
            <w:pPr>
              <w:jc w:val="right"/>
              <w:rPr>
                <w:sz w:val="22"/>
                <w:szCs w:val="22"/>
              </w:rPr>
            </w:pPr>
            <w:r w:rsidRPr="00836592">
              <w:rPr>
                <w:sz w:val="22"/>
                <w:szCs w:val="22"/>
              </w:rPr>
              <w:t>29,00</w:t>
            </w:r>
          </w:p>
        </w:tc>
        <w:tc>
          <w:tcPr>
            <w:tcW w:w="1984" w:type="dxa"/>
            <w:shd w:val="clear" w:color="auto" w:fill="auto"/>
            <w:noWrap/>
            <w:hideMark/>
          </w:tcPr>
          <w:p w14:paraId="4214BEE0" w14:textId="77777777" w:rsidR="00574E5E" w:rsidRPr="00836592" w:rsidRDefault="00574E5E" w:rsidP="00431E2C">
            <w:pPr>
              <w:jc w:val="right"/>
              <w:rPr>
                <w:sz w:val="22"/>
                <w:szCs w:val="22"/>
              </w:rPr>
            </w:pPr>
            <w:r w:rsidRPr="00836592">
              <w:rPr>
                <w:sz w:val="22"/>
                <w:szCs w:val="22"/>
              </w:rPr>
              <w:t>421,08</w:t>
            </w:r>
          </w:p>
        </w:tc>
      </w:tr>
      <w:tr w:rsidR="00574E5E" w:rsidRPr="00836592" w14:paraId="06022045" w14:textId="77777777" w:rsidTr="00431E2C">
        <w:trPr>
          <w:trHeight w:val="315"/>
        </w:trPr>
        <w:tc>
          <w:tcPr>
            <w:tcW w:w="815" w:type="dxa"/>
            <w:shd w:val="clear" w:color="auto" w:fill="auto"/>
            <w:noWrap/>
            <w:hideMark/>
          </w:tcPr>
          <w:p w14:paraId="53D057BD" w14:textId="77777777" w:rsidR="00574E5E" w:rsidRPr="00836592" w:rsidRDefault="00574E5E" w:rsidP="00431E2C">
            <w:pPr>
              <w:jc w:val="both"/>
              <w:rPr>
                <w:sz w:val="22"/>
                <w:szCs w:val="22"/>
              </w:rPr>
            </w:pPr>
            <w:r w:rsidRPr="00836592">
              <w:rPr>
                <w:sz w:val="22"/>
                <w:szCs w:val="22"/>
              </w:rPr>
              <w:t>3</w:t>
            </w:r>
          </w:p>
        </w:tc>
        <w:tc>
          <w:tcPr>
            <w:tcW w:w="4160" w:type="dxa"/>
            <w:shd w:val="clear" w:color="auto" w:fill="auto"/>
            <w:noWrap/>
            <w:hideMark/>
          </w:tcPr>
          <w:p w14:paraId="7AC2C3E6" w14:textId="77777777" w:rsidR="00574E5E" w:rsidRPr="00836592" w:rsidRDefault="00574E5E" w:rsidP="00431E2C">
            <w:pPr>
              <w:jc w:val="both"/>
              <w:rPr>
                <w:sz w:val="22"/>
                <w:szCs w:val="22"/>
              </w:rPr>
            </w:pPr>
            <w:proofErr w:type="spellStart"/>
            <w:r w:rsidRPr="00836592">
              <w:rPr>
                <w:sz w:val="22"/>
                <w:szCs w:val="22"/>
              </w:rPr>
              <w:t>Defibriliatoriai</w:t>
            </w:r>
            <w:proofErr w:type="spellEnd"/>
            <w:r w:rsidRPr="00836592">
              <w:rPr>
                <w:sz w:val="22"/>
                <w:szCs w:val="22"/>
              </w:rPr>
              <w:t xml:space="preserve">; </w:t>
            </w:r>
            <w:proofErr w:type="spellStart"/>
            <w:r w:rsidRPr="00836592">
              <w:rPr>
                <w:sz w:val="22"/>
                <w:szCs w:val="22"/>
              </w:rPr>
              <w:t>monitoriai</w:t>
            </w:r>
            <w:proofErr w:type="spellEnd"/>
            <w:r w:rsidRPr="00836592">
              <w:rPr>
                <w:sz w:val="22"/>
                <w:szCs w:val="22"/>
              </w:rPr>
              <w:t xml:space="preserve"> </w:t>
            </w:r>
            <w:proofErr w:type="spellStart"/>
            <w:r w:rsidRPr="00836592">
              <w:rPr>
                <w:sz w:val="22"/>
                <w:szCs w:val="22"/>
              </w:rPr>
              <w:t>defibr</w:t>
            </w:r>
            <w:proofErr w:type="spellEnd"/>
            <w:r w:rsidRPr="00836592">
              <w:rPr>
                <w:sz w:val="22"/>
                <w:szCs w:val="22"/>
              </w:rPr>
              <w:t>.</w:t>
            </w:r>
          </w:p>
        </w:tc>
        <w:tc>
          <w:tcPr>
            <w:tcW w:w="960" w:type="dxa"/>
            <w:shd w:val="clear" w:color="auto" w:fill="auto"/>
            <w:noWrap/>
            <w:hideMark/>
          </w:tcPr>
          <w:p w14:paraId="1CE25162" w14:textId="77777777" w:rsidR="00574E5E" w:rsidRPr="00836592" w:rsidRDefault="00574E5E" w:rsidP="00431E2C">
            <w:pPr>
              <w:jc w:val="right"/>
              <w:rPr>
                <w:sz w:val="22"/>
                <w:szCs w:val="22"/>
              </w:rPr>
            </w:pPr>
            <w:r w:rsidRPr="00836592">
              <w:rPr>
                <w:sz w:val="22"/>
                <w:szCs w:val="22"/>
              </w:rPr>
              <w:t>7</w:t>
            </w:r>
          </w:p>
        </w:tc>
        <w:tc>
          <w:tcPr>
            <w:tcW w:w="1970" w:type="dxa"/>
            <w:shd w:val="clear" w:color="auto" w:fill="auto"/>
            <w:noWrap/>
            <w:hideMark/>
          </w:tcPr>
          <w:p w14:paraId="3158D5C6" w14:textId="77777777" w:rsidR="00574E5E" w:rsidRPr="00836592" w:rsidRDefault="00574E5E" w:rsidP="00431E2C">
            <w:pPr>
              <w:jc w:val="right"/>
              <w:rPr>
                <w:sz w:val="22"/>
                <w:szCs w:val="22"/>
              </w:rPr>
            </w:pPr>
            <w:r w:rsidRPr="00836592">
              <w:rPr>
                <w:sz w:val="22"/>
                <w:szCs w:val="22"/>
              </w:rPr>
              <w:t>32,00</w:t>
            </w:r>
          </w:p>
        </w:tc>
        <w:tc>
          <w:tcPr>
            <w:tcW w:w="1984" w:type="dxa"/>
            <w:shd w:val="clear" w:color="auto" w:fill="auto"/>
            <w:noWrap/>
            <w:hideMark/>
          </w:tcPr>
          <w:p w14:paraId="380DD71C" w14:textId="77777777" w:rsidR="00574E5E" w:rsidRPr="00836592" w:rsidRDefault="00574E5E" w:rsidP="00431E2C">
            <w:pPr>
              <w:jc w:val="right"/>
              <w:rPr>
                <w:sz w:val="22"/>
                <w:szCs w:val="22"/>
              </w:rPr>
            </w:pPr>
            <w:r w:rsidRPr="00836592">
              <w:rPr>
                <w:sz w:val="22"/>
                <w:szCs w:val="22"/>
              </w:rPr>
              <w:t>271,04</w:t>
            </w:r>
          </w:p>
        </w:tc>
      </w:tr>
      <w:tr w:rsidR="00574E5E" w:rsidRPr="00836592" w14:paraId="64FEB9A3" w14:textId="77777777" w:rsidTr="00431E2C">
        <w:trPr>
          <w:trHeight w:val="315"/>
        </w:trPr>
        <w:tc>
          <w:tcPr>
            <w:tcW w:w="815" w:type="dxa"/>
            <w:shd w:val="clear" w:color="auto" w:fill="auto"/>
            <w:noWrap/>
            <w:hideMark/>
          </w:tcPr>
          <w:p w14:paraId="1A9CBB67" w14:textId="77777777" w:rsidR="00574E5E" w:rsidRPr="00836592" w:rsidRDefault="00574E5E" w:rsidP="00431E2C">
            <w:pPr>
              <w:jc w:val="both"/>
              <w:rPr>
                <w:sz w:val="22"/>
                <w:szCs w:val="22"/>
              </w:rPr>
            </w:pPr>
            <w:r w:rsidRPr="00836592">
              <w:rPr>
                <w:sz w:val="22"/>
                <w:szCs w:val="22"/>
              </w:rPr>
              <w:t>4</w:t>
            </w:r>
          </w:p>
        </w:tc>
        <w:tc>
          <w:tcPr>
            <w:tcW w:w="4160" w:type="dxa"/>
            <w:shd w:val="clear" w:color="auto" w:fill="auto"/>
            <w:noWrap/>
            <w:hideMark/>
          </w:tcPr>
          <w:p w14:paraId="09CE2B13" w14:textId="77777777" w:rsidR="00574E5E" w:rsidRPr="00836592" w:rsidRDefault="00574E5E" w:rsidP="00431E2C">
            <w:pPr>
              <w:jc w:val="both"/>
              <w:rPr>
                <w:sz w:val="22"/>
                <w:szCs w:val="22"/>
              </w:rPr>
            </w:pPr>
            <w:proofErr w:type="spellStart"/>
            <w:r w:rsidRPr="00836592">
              <w:rPr>
                <w:sz w:val="22"/>
                <w:szCs w:val="22"/>
              </w:rPr>
              <w:t>Fizioterap</w:t>
            </w:r>
            <w:proofErr w:type="spellEnd"/>
            <w:r w:rsidRPr="00836592">
              <w:rPr>
                <w:sz w:val="22"/>
                <w:szCs w:val="22"/>
              </w:rPr>
              <w:t xml:space="preserve">. </w:t>
            </w:r>
            <w:proofErr w:type="spellStart"/>
            <w:r w:rsidRPr="00836592">
              <w:rPr>
                <w:sz w:val="22"/>
                <w:szCs w:val="22"/>
              </w:rPr>
              <w:t>priet</w:t>
            </w:r>
            <w:proofErr w:type="spellEnd"/>
            <w:r w:rsidRPr="00836592">
              <w:rPr>
                <w:sz w:val="22"/>
                <w:szCs w:val="22"/>
              </w:rPr>
              <w:t xml:space="preserve">.; </w:t>
            </w:r>
          </w:p>
        </w:tc>
        <w:tc>
          <w:tcPr>
            <w:tcW w:w="960" w:type="dxa"/>
            <w:shd w:val="clear" w:color="auto" w:fill="auto"/>
            <w:noWrap/>
            <w:hideMark/>
          </w:tcPr>
          <w:p w14:paraId="45572469" w14:textId="77777777" w:rsidR="00574E5E" w:rsidRPr="00836592" w:rsidRDefault="00574E5E" w:rsidP="00431E2C">
            <w:pPr>
              <w:jc w:val="right"/>
              <w:rPr>
                <w:sz w:val="22"/>
                <w:szCs w:val="22"/>
              </w:rPr>
            </w:pPr>
            <w:r w:rsidRPr="00836592">
              <w:rPr>
                <w:sz w:val="22"/>
                <w:szCs w:val="22"/>
              </w:rPr>
              <w:t>17</w:t>
            </w:r>
          </w:p>
        </w:tc>
        <w:tc>
          <w:tcPr>
            <w:tcW w:w="1970" w:type="dxa"/>
            <w:shd w:val="clear" w:color="auto" w:fill="auto"/>
            <w:noWrap/>
            <w:hideMark/>
          </w:tcPr>
          <w:p w14:paraId="3B1CA5F0" w14:textId="77777777" w:rsidR="00574E5E" w:rsidRPr="00836592" w:rsidRDefault="00574E5E" w:rsidP="00431E2C">
            <w:pPr>
              <w:jc w:val="right"/>
              <w:rPr>
                <w:sz w:val="22"/>
                <w:szCs w:val="22"/>
              </w:rPr>
            </w:pPr>
            <w:r w:rsidRPr="00836592">
              <w:rPr>
                <w:sz w:val="22"/>
                <w:szCs w:val="22"/>
              </w:rPr>
              <w:t>21,00</w:t>
            </w:r>
          </w:p>
        </w:tc>
        <w:tc>
          <w:tcPr>
            <w:tcW w:w="1984" w:type="dxa"/>
            <w:shd w:val="clear" w:color="auto" w:fill="auto"/>
            <w:noWrap/>
            <w:hideMark/>
          </w:tcPr>
          <w:p w14:paraId="5516C134" w14:textId="77777777" w:rsidR="00574E5E" w:rsidRPr="00836592" w:rsidRDefault="00574E5E" w:rsidP="00431E2C">
            <w:pPr>
              <w:jc w:val="right"/>
              <w:rPr>
                <w:sz w:val="22"/>
                <w:szCs w:val="22"/>
              </w:rPr>
            </w:pPr>
            <w:r w:rsidRPr="00836592">
              <w:rPr>
                <w:sz w:val="22"/>
                <w:szCs w:val="22"/>
              </w:rPr>
              <w:t>431,97</w:t>
            </w:r>
          </w:p>
        </w:tc>
      </w:tr>
      <w:tr w:rsidR="00574E5E" w:rsidRPr="00836592" w14:paraId="4381D2D3" w14:textId="77777777" w:rsidTr="00431E2C">
        <w:trPr>
          <w:trHeight w:val="315"/>
        </w:trPr>
        <w:tc>
          <w:tcPr>
            <w:tcW w:w="815" w:type="dxa"/>
            <w:shd w:val="clear" w:color="auto" w:fill="auto"/>
            <w:noWrap/>
            <w:hideMark/>
          </w:tcPr>
          <w:p w14:paraId="1B248293" w14:textId="77777777" w:rsidR="00574E5E" w:rsidRPr="00836592" w:rsidRDefault="00574E5E" w:rsidP="00431E2C">
            <w:pPr>
              <w:jc w:val="both"/>
              <w:rPr>
                <w:sz w:val="22"/>
                <w:szCs w:val="22"/>
              </w:rPr>
            </w:pPr>
            <w:r w:rsidRPr="00836592">
              <w:rPr>
                <w:sz w:val="22"/>
                <w:szCs w:val="22"/>
              </w:rPr>
              <w:t>5</w:t>
            </w:r>
          </w:p>
        </w:tc>
        <w:tc>
          <w:tcPr>
            <w:tcW w:w="4160" w:type="dxa"/>
            <w:shd w:val="clear" w:color="auto" w:fill="auto"/>
            <w:noWrap/>
            <w:hideMark/>
          </w:tcPr>
          <w:p w14:paraId="62B20B81" w14:textId="77777777" w:rsidR="00574E5E" w:rsidRPr="00836592" w:rsidRDefault="00574E5E" w:rsidP="00431E2C">
            <w:pPr>
              <w:jc w:val="both"/>
              <w:rPr>
                <w:sz w:val="22"/>
                <w:szCs w:val="22"/>
              </w:rPr>
            </w:pPr>
            <w:proofErr w:type="spellStart"/>
            <w:r w:rsidRPr="00836592">
              <w:rPr>
                <w:sz w:val="22"/>
                <w:szCs w:val="22"/>
              </w:rPr>
              <w:t>Narkozės</w:t>
            </w:r>
            <w:proofErr w:type="spellEnd"/>
            <w:r w:rsidRPr="00836592">
              <w:rPr>
                <w:sz w:val="22"/>
                <w:szCs w:val="22"/>
              </w:rPr>
              <w:t xml:space="preserve"> </w:t>
            </w:r>
            <w:proofErr w:type="spellStart"/>
            <w:r w:rsidRPr="00836592">
              <w:rPr>
                <w:sz w:val="22"/>
                <w:szCs w:val="22"/>
              </w:rPr>
              <w:t>aparatai</w:t>
            </w:r>
            <w:proofErr w:type="spellEnd"/>
          </w:p>
        </w:tc>
        <w:tc>
          <w:tcPr>
            <w:tcW w:w="960" w:type="dxa"/>
            <w:shd w:val="clear" w:color="auto" w:fill="auto"/>
            <w:noWrap/>
            <w:hideMark/>
          </w:tcPr>
          <w:p w14:paraId="6370465A" w14:textId="77777777" w:rsidR="00574E5E" w:rsidRPr="00836592" w:rsidRDefault="00574E5E" w:rsidP="00431E2C">
            <w:pPr>
              <w:jc w:val="right"/>
              <w:rPr>
                <w:sz w:val="22"/>
                <w:szCs w:val="22"/>
              </w:rPr>
            </w:pPr>
            <w:r w:rsidRPr="00836592">
              <w:rPr>
                <w:sz w:val="22"/>
                <w:szCs w:val="22"/>
              </w:rPr>
              <w:t>5</w:t>
            </w:r>
          </w:p>
        </w:tc>
        <w:tc>
          <w:tcPr>
            <w:tcW w:w="1970" w:type="dxa"/>
            <w:shd w:val="clear" w:color="auto" w:fill="auto"/>
            <w:noWrap/>
            <w:hideMark/>
          </w:tcPr>
          <w:p w14:paraId="6547D983" w14:textId="77777777" w:rsidR="00574E5E" w:rsidRPr="00836592" w:rsidRDefault="00574E5E" w:rsidP="00431E2C">
            <w:pPr>
              <w:jc w:val="right"/>
              <w:rPr>
                <w:sz w:val="22"/>
                <w:szCs w:val="22"/>
              </w:rPr>
            </w:pPr>
            <w:r w:rsidRPr="00836592">
              <w:rPr>
                <w:sz w:val="22"/>
                <w:szCs w:val="22"/>
              </w:rPr>
              <w:t>139,00</w:t>
            </w:r>
          </w:p>
        </w:tc>
        <w:tc>
          <w:tcPr>
            <w:tcW w:w="1984" w:type="dxa"/>
            <w:shd w:val="clear" w:color="auto" w:fill="auto"/>
            <w:noWrap/>
            <w:hideMark/>
          </w:tcPr>
          <w:p w14:paraId="1070693C" w14:textId="77777777" w:rsidR="00574E5E" w:rsidRPr="00836592" w:rsidRDefault="00574E5E" w:rsidP="00431E2C">
            <w:pPr>
              <w:jc w:val="right"/>
              <w:rPr>
                <w:sz w:val="22"/>
                <w:szCs w:val="22"/>
              </w:rPr>
            </w:pPr>
            <w:r w:rsidRPr="00836592">
              <w:rPr>
                <w:sz w:val="22"/>
                <w:szCs w:val="22"/>
              </w:rPr>
              <w:t>840,95</w:t>
            </w:r>
          </w:p>
        </w:tc>
      </w:tr>
      <w:tr w:rsidR="00574E5E" w:rsidRPr="00836592" w14:paraId="3E3D4DFA" w14:textId="77777777" w:rsidTr="00431E2C">
        <w:trPr>
          <w:trHeight w:val="315"/>
        </w:trPr>
        <w:tc>
          <w:tcPr>
            <w:tcW w:w="815" w:type="dxa"/>
            <w:shd w:val="clear" w:color="auto" w:fill="auto"/>
            <w:noWrap/>
            <w:hideMark/>
          </w:tcPr>
          <w:p w14:paraId="6681D30C" w14:textId="77777777" w:rsidR="00574E5E" w:rsidRPr="00836592" w:rsidRDefault="00574E5E" w:rsidP="00431E2C">
            <w:pPr>
              <w:jc w:val="both"/>
              <w:rPr>
                <w:sz w:val="22"/>
                <w:szCs w:val="22"/>
              </w:rPr>
            </w:pPr>
            <w:r w:rsidRPr="00836592">
              <w:rPr>
                <w:sz w:val="22"/>
                <w:szCs w:val="22"/>
              </w:rPr>
              <w:t>6</w:t>
            </w:r>
          </w:p>
        </w:tc>
        <w:tc>
          <w:tcPr>
            <w:tcW w:w="4160" w:type="dxa"/>
            <w:shd w:val="clear" w:color="auto" w:fill="auto"/>
            <w:noWrap/>
            <w:hideMark/>
          </w:tcPr>
          <w:p w14:paraId="1D8A70DE" w14:textId="77777777" w:rsidR="00574E5E" w:rsidRPr="00836592" w:rsidRDefault="00574E5E" w:rsidP="00431E2C">
            <w:pPr>
              <w:jc w:val="both"/>
              <w:rPr>
                <w:sz w:val="22"/>
                <w:szCs w:val="22"/>
              </w:rPr>
            </w:pPr>
            <w:proofErr w:type="spellStart"/>
            <w:r w:rsidRPr="00836592">
              <w:rPr>
                <w:sz w:val="22"/>
                <w:szCs w:val="22"/>
              </w:rPr>
              <w:t>Deguonies</w:t>
            </w:r>
            <w:proofErr w:type="spellEnd"/>
            <w:r w:rsidRPr="00836592">
              <w:rPr>
                <w:sz w:val="22"/>
                <w:szCs w:val="22"/>
              </w:rPr>
              <w:t xml:space="preserve"> </w:t>
            </w:r>
            <w:proofErr w:type="spellStart"/>
            <w:r w:rsidRPr="00836592">
              <w:rPr>
                <w:sz w:val="22"/>
                <w:szCs w:val="22"/>
              </w:rPr>
              <w:t>koncentratoriai</w:t>
            </w:r>
            <w:proofErr w:type="spellEnd"/>
          </w:p>
        </w:tc>
        <w:tc>
          <w:tcPr>
            <w:tcW w:w="960" w:type="dxa"/>
            <w:shd w:val="clear" w:color="auto" w:fill="auto"/>
            <w:noWrap/>
            <w:hideMark/>
          </w:tcPr>
          <w:p w14:paraId="6318B1A3" w14:textId="77777777" w:rsidR="00574E5E" w:rsidRPr="00836592" w:rsidRDefault="00574E5E" w:rsidP="00431E2C">
            <w:pPr>
              <w:jc w:val="right"/>
              <w:rPr>
                <w:sz w:val="22"/>
                <w:szCs w:val="22"/>
              </w:rPr>
            </w:pPr>
            <w:r w:rsidRPr="00836592">
              <w:rPr>
                <w:sz w:val="22"/>
                <w:szCs w:val="22"/>
              </w:rPr>
              <w:t>12</w:t>
            </w:r>
          </w:p>
        </w:tc>
        <w:tc>
          <w:tcPr>
            <w:tcW w:w="1970" w:type="dxa"/>
            <w:shd w:val="clear" w:color="auto" w:fill="auto"/>
            <w:noWrap/>
            <w:hideMark/>
          </w:tcPr>
          <w:p w14:paraId="4563B4DF" w14:textId="77777777" w:rsidR="00574E5E" w:rsidRPr="00836592" w:rsidRDefault="00574E5E" w:rsidP="00431E2C">
            <w:pPr>
              <w:jc w:val="right"/>
              <w:rPr>
                <w:sz w:val="22"/>
                <w:szCs w:val="22"/>
              </w:rPr>
            </w:pPr>
            <w:r w:rsidRPr="00836592">
              <w:rPr>
                <w:sz w:val="22"/>
                <w:szCs w:val="22"/>
              </w:rPr>
              <w:t>74,00</w:t>
            </w:r>
          </w:p>
        </w:tc>
        <w:tc>
          <w:tcPr>
            <w:tcW w:w="1984" w:type="dxa"/>
            <w:shd w:val="clear" w:color="auto" w:fill="auto"/>
            <w:noWrap/>
            <w:hideMark/>
          </w:tcPr>
          <w:p w14:paraId="1D1EB61E" w14:textId="77777777" w:rsidR="00574E5E" w:rsidRPr="00836592" w:rsidRDefault="00574E5E" w:rsidP="00431E2C">
            <w:pPr>
              <w:jc w:val="right"/>
              <w:rPr>
                <w:sz w:val="22"/>
                <w:szCs w:val="22"/>
              </w:rPr>
            </w:pPr>
            <w:r w:rsidRPr="00836592">
              <w:rPr>
                <w:sz w:val="22"/>
                <w:szCs w:val="22"/>
              </w:rPr>
              <w:t>1074,48</w:t>
            </w:r>
          </w:p>
        </w:tc>
      </w:tr>
      <w:tr w:rsidR="00574E5E" w:rsidRPr="00836592" w14:paraId="7065DCAD" w14:textId="77777777" w:rsidTr="00431E2C">
        <w:trPr>
          <w:trHeight w:val="315"/>
        </w:trPr>
        <w:tc>
          <w:tcPr>
            <w:tcW w:w="815" w:type="dxa"/>
            <w:shd w:val="clear" w:color="auto" w:fill="auto"/>
            <w:noWrap/>
            <w:hideMark/>
          </w:tcPr>
          <w:p w14:paraId="50E548AF" w14:textId="77777777" w:rsidR="00574E5E" w:rsidRPr="00836592" w:rsidRDefault="00574E5E" w:rsidP="00431E2C">
            <w:pPr>
              <w:jc w:val="both"/>
              <w:rPr>
                <w:sz w:val="22"/>
                <w:szCs w:val="22"/>
              </w:rPr>
            </w:pPr>
            <w:r w:rsidRPr="00836592">
              <w:rPr>
                <w:sz w:val="22"/>
                <w:szCs w:val="22"/>
              </w:rPr>
              <w:t>7</w:t>
            </w:r>
          </w:p>
        </w:tc>
        <w:tc>
          <w:tcPr>
            <w:tcW w:w="4160" w:type="dxa"/>
            <w:shd w:val="clear" w:color="auto" w:fill="auto"/>
            <w:noWrap/>
            <w:hideMark/>
          </w:tcPr>
          <w:p w14:paraId="07224BC0" w14:textId="77777777" w:rsidR="00574E5E" w:rsidRPr="00836592" w:rsidRDefault="00574E5E" w:rsidP="00431E2C">
            <w:pPr>
              <w:jc w:val="both"/>
              <w:rPr>
                <w:sz w:val="22"/>
                <w:szCs w:val="22"/>
              </w:rPr>
            </w:pPr>
            <w:r w:rsidRPr="00836592">
              <w:rPr>
                <w:sz w:val="22"/>
                <w:szCs w:val="22"/>
              </w:rPr>
              <w:t xml:space="preserve"> </w:t>
            </w:r>
            <w:proofErr w:type="spellStart"/>
            <w:r w:rsidRPr="00836592">
              <w:rPr>
                <w:sz w:val="22"/>
                <w:szCs w:val="22"/>
              </w:rPr>
              <w:t>Sterilizatoriai</w:t>
            </w:r>
            <w:proofErr w:type="spellEnd"/>
          </w:p>
        </w:tc>
        <w:tc>
          <w:tcPr>
            <w:tcW w:w="960" w:type="dxa"/>
            <w:shd w:val="clear" w:color="auto" w:fill="auto"/>
            <w:noWrap/>
            <w:hideMark/>
          </w:tcPr>
          <w:p w14:paraId="49C0C6FD" w14:textId="77777777" w:rsidR="00574E5E" w:rsidRPr="00836592" w:rsidRDefault="00574E5E" w:rsidP="00431E2C">
            <w:pPr>
              <w:jc w:val="right"/>
              <w:rPr>
                <w:sz w:val="22"/>
                <w:szCs w:val="22"/>
              </w:rPr>
            </w:pPr>
            <w:r w:rsidRPr="00836592">
              <w:rPr>
                <w:sz w:val="22"/>
                <w:szCs w:val="22"/>
              </w:rPr>
              <w:t>2</w:t>
            </w:r>
          </w:p>
        </w:tc>
        <w:tc>
          <w:tcPr>
            <w:tcW w:w="1970" w:type="dxa"/>
            <w:shd w:val="clear" w:color="auto" w:fill="auto"/>
            <w:noWrap/>
            <w:hideMark/>
          </w:tcPr>
          <w:p w14:paraId="039EA145" w14:textId="77777777" w:rsidR="00574E5E" w:rsidRPr="00836592" w:rsidRDefault="00574E5E" w:rsidP="00431E2C">
            <w:pPr>
              <w:jc w:val="right"/>
              <w:rPr>
                <w:sz w:val="22"/>
                <w:szCs w:val="22"/>
              </w:rPr>
            </w:pPr>
            <w:r w:rsidRPr="00836592">
              <w:rPr>
                <w:sz w:val="22"/>
                <w:szCs w:val="22"/>
              </w:rPr>
              <w:t>120,00</w:t>
            </w:r>
          </w:p>
        </w:tc>
        <w:tc>
          <w:tcPr>
            <w:tcW w:w="1984" w:type="dxa"/>
            <w:shd w:val="clear" w:color="auto" w:fill="auto"/>
            <w:noWrap/>
            <w:hideMark/>
          </w:tcPr>
          <w:p w14:paraId="779D80DF" w14:textId="77777777" w:rsidR="00574E5E" w:rsidRPr="00836592" w:rsidRDefault="00574E5E" w:rsidP="00431E2C">
            <w:pPr>
              <w:jc w:val="right"/>
              <w:rPr>
                <w:sz w:val="22"/>
                <w:szCs w:val="22"/>
              </w:rPr>
            </w:pPr>
            <w:r w:rsidRPr="00836592">
              <w:rPr>
                <w:sz w:val="22"/>
                <w:szCs w:val="22"/>
              </w:rPr>
              <w:t>290,40</w:t>
            </w:r>
          </w:p>
        </w:tc>
      </w:tr>
      <w:tr w:rsidR="00574E5E" w:rsidRPr="00836592" w14:paraId="05C42D15" w14:textId="77777777" w:rsidTr="00431E2C">
        <w:trPr>
          <w:trHeight w:val="315"/>
        </w:trPr>
        <w:tc>
          <w:tcPr>
            <w:tcW w:w="815" w:type="dxa"/>
            <w:shd w:val="clear" w:color="auto" w:fill="auto"/>
            <w:noWrap/>
            <w:hideMark/>
          </w:tcPr>
          <w:p w14:paraId="0ECFC7D2" w14:textId="77777777" w:rsidR="00574E5E" w:rsidRPr="00836592" w:rsidRDefault="00574E5E" w:rsidP="00431E2C">
            <w:pPr>
              <w:jc w:val="both"/>
              <w:rPr>
                <w:sz w:val="22"/>
                <w:szCs w:val="22"/>
              </w:rPr>
            </w:pPr>
            <w:r w:rsidRPr="00836592">
              <w:rPr>
                <w:sz w:val="22"/>
                <w:szCs w:val="22"/>
              </w:rPr>
              <w:t>8</w:t>
            </w:r>
          </w:p>
        </w:tc>
        <w:tc>
          <w:tcPr>
            <w:tcW w:w="4160" w:type="dxa"/>
            <w:shd w:val="clear" w:color="auto" w:fill="auto"/>
            <w:noWrap/>
            <w:hideMark/>
          </w:tcPr>
          <w:p w14:paraId="54317737" w14:textId="77777777" w:rsidR="00574E5E" w:rsidRPr="00836592" w:rsidRDefault="00574E5E" w:rsidP="00431E2C">
            <w:pPr>
              <w:jc w:val="both"/>
              <w:rPr>
                <w:sz w:val="22"/>
                <w:szCs w:val="22"/>
              </w:rPr>
            </w:pPr>
            <w:r w:rsidRPr="00836592">
              <w:rPr>
                <w:sz w:val="22"/>
                <w:szCs w:val="22"/>
              </w:rPr>
              <w:t xml:space="preserve">DVP </w:t>
            </w:r>
            <w:proofErr w:type="spellStart"/>
            <w:r w:rsidRPr="00836592">
              <w:rPr>
                <w:sz w:val="22"/>
                <w:szCs w:val="22"/>
              </w:rPr>
              <w:t>aparatai</w:t>
            </w:r>
            <w:proofErr w:type="spellEnd"/>
          </w:p>
        </w:tc>
        <w:tc>
          <w:tcPr>
            <w:tcW w:w="960" w:type="dxa"/>
            <w:shd w:val="clear" w:color="auto" w:fill="auto"/>
            <w:noWrap/>
            <w:hideMark/>
          </w:tcPr>
          <w:p w14:paraId="08B74E1A" w14:textId="77777777" w:rsidR="00574E5E" w:rsidRPr="00836592" w:rsidRDefault="00574E5E" w:rsidP="00431E2C">
            <w:pPr>
              <w:jc w:val="right"/>
              <w:rPr>
                <w:sz w:val="22"/>
                <w:szCs w:val="22"/>
              </w:rPr>
            </w:pPr>
            <w:r w:rsidRPr="00836592">
              <w:rPr>
                <w:sz w:val="22"/>
                <w:szCs w:val="22"/>
              </w:rPr>
              <w:t>11</w:t>
            </w:r>
          </w:p>
        </w:tc>
        <w:tc>
          <w:tcPr>
            <w:tcW w:w="1970" w:type="dxa"/>
            <w:shd w:val="clear" w:color="auto" w:fill="auto"/>
            <w:noWrap/>
            <w:hideMark/>
          </w:tcPr>
          <w:p w14:paraId="7B3BFC1B" w14:textId="77777777" w:rsidR="00574E5E" w:rsidRPr="00836592" w:rsidRDefault="00574E5E" w:rsidP="00431E2C">
            <w:pPr>
              <w:jc w:val="right"/>
              <w:rPr>
                <w:sz w:val="22"/>
                <w:szCs w:val="22"/>
              </w:rPr>
            </w:pPr>
            <w:r w:rsidRPr="00836592">
              <w:rPr>
                <w:sz w:val="22"/>
                <w:szCs w:val="22"/>
              </w:rPr>
              <w:t>79,00</w:t>
            </w:r>
          </w:p>
        </w:tc>
        <w:tc>
          <w:tcPr>
            <w:tcW w:w="1984" w:type="dxa"/>
            <w:shd w:val="clear" w:color="auto" w:fill="auto"/>
            <w:noWrap/>
            <w:hideMark/>
          </w:tcPr>
          <w:p w14:paraId="47438EA5" w14:textId="77777777" w:rsidR="00574E5E" w:rsidRPr="00836592" w:rsidRDefault="00574E5E" w:rsidP="00431E2C">
            <w:pPr>
              <w:jc w:val="right"/>
              <w:rPr>
                <w:sz w:val="22"/>
                <w:szCs w:val="22"/>
              </w:rPr>
            </w:pPr>
            <w:r w:rsidRPr="00836592">
              <w:rPr>
                <w:sz w:val="22"/>
                <w:szCs w:val="22"/>
              </w:rPr>
              <w:t>1051,49</w:t>
            </w:r>
          </w:p>
        </w:tc>
      </w:tr>
      <w:tr w:rsidR="00574E5E" w:rsidRPr="00836592" w14:paraId="5A66A392" w14:textId="77777777" w:rsidTr="00431E2C">
        <w:trPr>
          <w:trHeight w:val="315"/>
        </w:trPr>
        <w:tc>
          <w:tcPr>
            <w:tcW w:w="815" w:type="dxa"/>
            <w:shd w:val="clear" w:color="auto" w:fill="auto"/>
            <w:noWrap/>
            <w:hideMark/>
          </w:tcPr>
          <w:p w14:paraId="520229A3" w14:textId="77777777" w:rsidR="00574E5E" w:rsidRPr="00836592" w:rsidRDefault="00574E5E" w:rsidP="00431E2C">
            <w:pPr>
              <w:jc w:val="both"/>
              <w:rPr>
                <w:sz w:val="22"/>
                <w:szCs w:val="22"/>
              </w:rPr>
            </w:pPr>
            <w:r w:rsidRPr="00836592">
              <w:rPr>
                <w:sz w:val="22"/>
                <w:szCs w:val="22"/>
              </w:rPr>
              <w:t>9</w:t>
            </w:r>
          </w:p>
        </w:tc>
        <w:tc>
          <w:tcPr>
            <w:tcW w:w="4160" w:type="dxa"/>
            <w:shd w:val="clear" w:color="auto" w:fill="auto"/>
            <w:noWrap/>
            <w:hideMark/>
          </w:tcPr>
          <w:p w14:paraId="38043618" w14:textId="77777777" w:rsidR="00574E5E" w:rsidRPr="00836592" w:rsidRDefault="00574E5E" w:rsidP="00431E2C">
            <w:pPr>
              <w:jc w:val="both"/>
              <w:rPr>
                <w:sz w:val="22"/>
                <w:szCs w:val="22"/>
              </w:rPr>
            </w:pPr>
            <w:proofErr w:type="spellStart"/>
            <w:r w:rsidRPr="00836592">
              <w:rPr>
                <w:sz w:val="22"/>
                <w:szCs w:val="22"/>
              </w:rPr>
              <w:t>Spirometrai</w:t>
            </w:r>
            <w:proofErr w:type="spellEnd"/>
          </w:p>
        </w:tc>
        <w:tc>
          <w:tcPr>
            <w:tcW w:w="960" w:type="dxa"/>
            <w:shd w:val="clear" w:color="auto" w:fill="auto"/>
            <w:noWrap/>
            <w:hideMark/>
          </w:tcPr>
          <w:p w14:paraId="149C156E" w14:textId="77777777" w:rsidR="00574E5E" w:rsidRPr="00836592" w:rsidRDefault="00574E5E" w:rsidP="00431E2C">
            <w:pPr>
              <w:jc w:val="right"/>
              <w:rPr>
                <w:sz w:val="22"/>
                <w:szCs w:val="22"/>
              </w:rPr>
            </w:pPr>
            <w:r w:rsidRPr="00836592">
              <w:rPr>
                <w:sz w:val="22"/>
                <w:szCs w:val="22"/>
              </w:rPr>
              <w:t>1</w:t>
            </w:r>
          </w:p>
        </w:tc>
        <w:tc>
          <w:tcPr>
            <w:tcW w:w="1970" w:type="dxa"/>
            <w:shd w:val="clear" w:color="auto" w:fill="auto"/>
            <w:noWrap/>
            <w:hideMark/>
          </w:tcPr>
          <w:p w14:paraId="42EEE737" w14:textId="77777777" w:rsidR="00574E5E" w:rsidRPr="00836592" w:rsidRDefault="00574E5E" w:rsidP="00431E2C">
            <w:pPr>
              <w:jc w:val="right"/>
              <w:rPr>
                <w:sz w:val="22"/>
                <w:szCs w:val="22"/>
              </w:rPr>
            </w:pPr>
            <w:r w:rsidRPr="00836592">
              <w:rPr>
                <w:sz w:val="22"/>
                <w:szCs w:val="22"/>
              </w:rPr>
              <w:t>48,00</w:t>
            </w:r>
          </w:p>
        </w:tc>
        <w:tc>
          <w:tcPr>
            <w:tcW w:w="1984" w:type="dxa"/>
            <w:shd w:val="clear" w:color="auto" w:fill="auto"/>
            <w:noWrap/>
            <w:hideMark/>
          </w:tcPr>
          <w:p w14:paraId="6229030B" w14:textId="77777777" w:rsidR="00574E5E" w:rsidRPr="00836592" w:rsidRDefault="00574E5E" w:rsidP="00431E2C">
            <w:pPr>
              <w:jc w:val="right"/>
              <w:rPr>
                <w:sz w:val="22"/>
                <w:szCs w:val="22"/>
              </w:rPr>
            </w:pPr>
            <w:r w:rsidRPr="00836592">
              <w:rPr>
                <w:sz w:val="22"/>
                <w:szCs w:val="22"/>
              </w:rPr>
              <w:t>58,08</w:t>
            </w:r>
          </w:p>
        </w:tc>
      </w:tr>
      <w:tr w:rsidR="00574E5E" w:rsidRPr="00836592" w14:paraId="7D832491" w14:textId="77777777" w:rsidTr="00431E2C">
        <w:trPr>
          <w:trHeight w:val="315"/>
        </w:trPr>
        <w:tc>
          <w:tcPr>
            <w:tcW w:w="815" w:type="dxa"/>
            <w:shd w:val="clear" w:color="auto" w:fill="auto"/>
            <w:noWrap/>
            <w:hideMark/>
          </w:tcPr>
          <w:p w14:paraId="2E9E0B6E" w14:textId="77777777" w:rsidR="00574E5E" w:rsidRPr="00836592" w:rsidRDefault="00574E5E" w:rsidP="00431E2C">
            <w:pPr>
              <w:jc w:val="both"/>
              <w:rPr>
                <w:sz w:val="22"/>
                <w:szCs w:val="22"/>
              </w:rPr>
            </w:pPr>
            <w:r w:rsidRPr="00836592">
              <w:rPr>
                <w:sz w:val="22"/>
                <w:szCs w:val="22"/>
              </w:rPr>
              <w:t>10</w:t>
            </w:r>
          </w:p>
        </w:tc>
        <w:tc>
          <w:tcPr>
            <w:tcW w:w="4160" w:type="dxa"/>
            <w:shd w:val="clear" w:color="auto" w:fill="auto"/>
            <w:noWrap/>
            <w:hideMark/>
          </w:tcPr>
          <w:p w14:paraId="00294A50" w14:textId="77777777" w:rsidR="00574E5E" w:rsidRPr="00836592" w:rsidRDefault="00574E5E" w:rsidP="00431E2C">
            <w:pPr>
              <w:jc w:val="both"/>
              <w:rPr>
                <w:sz w:val="22"/>
                <w:szCs w:val="22"/>
              </w:rPr>
            </w:pPr>
            <w:proofErr w:type="spellStart"/>
            <w:r w:rsidRPr="00836592">
              <w:rPr>
                <w:sz w:val="22"/>
                <w:szCs w:val="22"/>
              </w:rPr>
              <w:t>Audiometrai</w:t>
            </w:r>
            <w:proofErr w:type="spellEnd"/>
            <w:r w:rsidRPr="00836592">
              <w:rPr>
                <w:sz w:val="22"/>
                <w:szCs w:val="22"/>
              </w:rPr>
              <w:t xml:space="preserve"> (</w:t>
            </w:r>
            <w:proofErr w:type="spellStart"/>
            <w:r w:rsidRPr="00836592">
              <w:rPr>
                <w:sz w:val="22"/>
                <w:szCs w:val="22"/>
              </w:rPr>
              <w:t>metrologija</w:t>
            </w:r>
            <w:proofErr w:type="spellEnd"/>
            <w:r w:rsidRPr="00836592">
              <w:rPr>
                <w:sz w:val="22"/>
                <w:szCs w:val="22"/>
              </w:rPr>
              <w:t>)</w:t>
            </w:r>
          </w:p>
        </w:tc>
        <w:tc>
          <w:tcPr>
            <w:tcW w:w="960" w:type="dxa"/>
            <w:shd w:val="clear" w:color="auto" w:fill="auto"/>
            <w:noWrap/>
            <w:hideMark/>
          </w:tcPr>
          <w:p w14:paraId="4B14A040" w14:textId="77777777" w:rsidR="00574E5E" w:rsidRPr="00836592" w:rsidRDefault="00574E5E" w:rsidP="00431E2C">
            <w:pPr>
              <w:jc w:val="right"/>
              <w:rPr>
                <w:sz w:val="22"/>
                <w:szCs w:val="22"/>
              </w:rPr>
            </w:pPr>
            <w:r w:rsidRPr="00836592">
              <w:rPr>
                <w:sz w:val="22"/>
                <w:szCs w:val="22"/>
              </w:rPr>
              <w:t>0</w:t>
            </w:r>
          </w:p>
        </w:tc>
        <w:tc>
          <w:tcPr>
            <w:tcW w:w="1970" w:type="dxa"/>
            <w:shd w:val="clear" w:color="auto" w:fill="auto"/>
            <w:noWrap/>
            <w:hideMark/>
          </w:tcPr>
          <w:p w14:paraId="71549223" w14:textId="77777777" w:rsidR="00574E5E" w:rsidRPr="00836592" w:rsidRDefault="00574E5E" w:rsidP="00431E2C">
            <w:pPr>
              <w:jc w:val="right"/>
              <w:rPr>
                <w:sz w:val="22"/>
                <w:szCs w:val="22"/>
              </w:rPr>
            </w:pPr>
            <w:r w:rsidRPr="00836592">
              <w:rPr>
                <w:sz w:val="22"/>
                <w:szCs w:val="22"/>
              </w:rPr>
              <w:t> </w:t>
            </w:r>
          </w:p>
        </w:tc>
        <w:tc>
          <w:tcPr>
            <w:tcW w:w="1984" w:type="dxa"/>
            <w:shd w:val="clear" w:color="auto" w:fill="auto"/>
            <w:noWrap/>
            <w:hideMark/>
          </w:tcPr>
          <w:p w14:paraId="54773D9A" w14:textId="77777777" w:rsidR="00574E5E" w:rsidRPr="00836592" w:rsidRDefault="00574E5E" w:rsidP="00431E2C">
            <w:pPr>
              <w:jc w:val="right"/>
              <w:rPr>
                <w:sz w:val="22"/>
                <w:szCs w:val="22"/>
              </w:rPr>
            </w:pPr>
            <w:r w:rsidRPr="00836592">
              <w:rPr>
                <w:sz w:val="22"/>
                <w:szCs w:val="22"/>
              </w:rPr>
              <w:t>0,00</w:t>
            </w:r>
          </w:p>
        </w:tc>
      </w:tr>
      <w:tr w:rsidR="00574E5E" w:rsidRPr="00836592" w14:paraId="76BC5D08" w14:textId="77777777" w:rsidTr="00431E2C">
        <w:trPr>
          <w:trHeight w:val="315"/>
        </w:trPr>
        <w:tc>
          <w:tcPr>
            <w:tcW w:w="815" w:type="dxa"/>
            <w:shd w:val="clear" w:color="auto" w:fill="auto"/>
            <w:noWrap/>
            <w:hideMark/>
          </w:tcPr>
          <w:p w14:paraId="2B1ED6E6" w14:textId="77777777" w:rsidR="00574E5E" w:rsidRPr="00836592" w:rsidRDefault="00574E5E" w:rsidP="00431E2C">
            <w:pPr>
              <w:jc w:val="both"/>
              <w:rPr>
                <w:sz w:val="22"/>
                <w:szCs w:val="22"/>
              </w:rPr>
            </w:pPr>
            <w:r w:rsidRPr="00836592">
              <w:rPr>
                <w:sz w:val="22"/>
                <w:szCs w:val="22"/>
              </w:rPr>
              <w:t>11</w:t>
            </w:r>
          </w:p>
        </w:tc>
        <w:tc>
          <w:tcPr>
            <w:tcW w:w="4160" w:type="dxa"/>
            <w:shd w:val="clear" w:color="auto" w:fill="auto"/>
            <w:noWrap/>
            <w:hideMark/>
          </w:tcPr>
          <w:p w14:paraId="5926F1B9" w14:textId="77777777" w:rsidR="00574E5E" w:rsidRPr="00836592" w:rsidRDefault="00574E5E" w:rsidP="00431E2C">
            <w:pPr>
              <w:jc w:val="both"/>
              <w:rPr>
                <w:sz w:val="22"/>
                <w:szCs w:val="22"/>
              </w:rPr>
            </w:pPr>
            <w:proofErr w:type="spellStart"/>
            <w:r w:rsidRPr="00836592">
              <w:rPr>
                <w:sz w:val="22"/>
                <w:szCs w:val="22"/>
              </w:rPr>
              <w:t>Monitoriai</w:t>
            </w:r>
            <w:proofErr w:type="spellEnd"/>
          </w:p>
        </w:tc>
        <w:tc>
          <w:tcPr>
            <w:tcW w:w="960" w:type="dxa"/>
            <w:shd w:val="clear" w:color="auto" w:fill="auto"/>
            <w:noWrap/>
            <w:hideMark/>
          </w:tcPr>
          <w:p w14:paraId="46141A94" w14:textId="77777777" w:rsidR="00574E5E" w:rsidRPr="00836592" w:rsidRDefault="00574E5E" w:rsidP="00431E2C">
            <w:pPr>
              <w:jc w:val="right"/>
              <w:rPr>
                <w:sz w:val="22"/>
                <w:szCs w:val="22"/>
              </w:rPr>
            </w:pPr>
            <w:r w:rsidRPr="00836592">
              <w:rPr>
                <w:sz w:val="22"/>
                <w:szCs w:val="22"/>
              </w:rPr>
              <w:t>14</w:t>
            </w:r>
          </w:p>
        </w:tc>
        <w:tc>
          <w:tcPr>
            <w:tcW w:w="1970" w:type="dxa"/>
            <w:shd w:val="clear" w:color="auto" w:fill="auto"/>
            <w:noWrap/>
            <w:hideMark/>
          </w:tcPr>
          <w:p w14:paraId="0C4C677A" w14:textId="77777777" w:rsidR="00574E5E" w:rsidRPr="00836592" w:rsidRDefault="00574E5E" w:rsidP="00431E2C">
            <w:pPr>
              <w:jc w:val="right"/>
              <w:rPr>
                <w:sz w:val="22"/>
                <w:szCs w:val="22"/>
              </w:rPr>
            </w:pPr>
            <w:r w:rsidRPr="00836592">
              <w:rPr>
                <w:sz w:val="22"/>
                <w:szCs w:val="22"/>
              </w:rPr>
              <w:t>36,00</w:t>
            </w:r>
          </w:p>
        </w:tc>
        <w:tc>
          <w:tcPr>
            <w:tcW w:w="1984" w:type="dxa"/>
            <w:shd w:val="clear" w:color="auto" w:fill="auto"/>
            <w:noWrap/>
            <w:hideMark/>
          </w:tcPr>
          <w:p w14:paraId="6A2A6046" w14:textId="77777777" w:rsidR="00574E5E" w:rsidRPr="00836592" w:rsidRDefault="00574E5E" w:rsidP="00431E2C">
            <w:pPr>
              <w:jc w:val="right"/>
              <w:rPr>
                <w:sz w:val="22"/>
                <w:szCs w:val="22"/>
              </w:rPr>
            </w:pPr>
            <w:r w:rsidRPr="00836592">
              <w:rPr>
                <w:sz w:val="22"/>
                <w:szCs w:val="22"/>
              </w:rPr>
              <w:t>609,84</w:t>
            </w:r>
          </w:p>
        </w:tc>
      </w:tr>
      <w:tr w:rsidR="00574E5E" w:rsidRPr="00836592" w14:paraId="42145A70" w14:textId="77777777" w:rsidTr="00431E2C">
        <w:trPr>
          <w:trHeight w:val="315"/>
        </w:trPr>
        <w:tc>
          <w:tcPr>
            <w:tcW w:w="815" w:type="dxa"/>
            <w:shd w:val="clear" w:color="auto" w:fill="auto"/>
            <w:noWrap/>
            <w:hideMark/>
          </w:tcPr>
          <w:p w14:paraId="3349E28F" w14:textId="77777777" w:rsidR="00574E5E" w:rsidRPr="00836592" w:rsidRDefault="00574E5E" w:rsidP="00431E2C">
            <w:pPr>
              <w:jc w:val="both"/>
              <w:rPr>
                <w:sz w:val="22"/>
                <w:szCs w:val="22"/>
              </w:rPr>
            </w:pPr>
            <w:r w:rsidRPr="00836592">
              <w:rPr>
                <w:sz w:val="22"/>
                <w:szCs w:val="22"/>
              </w:rPr>
              <w:t>12</w:t>
            </w:r>
          </w:p>
        </w:tc>
        <w:tc>
          <w:tcPr>
            <w:tcW w:w="4160" w:type="dxa"/>
            <w:shd w:val="clear" w:color="auto" w:fill="auto"/>
            <w:noWrap/>
            <w:hideMark/>
          </w:tcPr>
          <w:p w14:paraId="34855C18" w14:textId="77777777" w:rsidR="00574E5E" w:rsidRPr="00836592" w:rsidRDefault="00574E5E" w:rsidP="00431E2C">
            <w:pPr>
              <w:jc w:val="both"/>
              <w:rPr>
                <w:sz w:val="22"/>
                <w:szCs w:val="22"/>
              </w:rPr>
            </w:pPr>
            <w:proofErr w:type="spellStart"/>
            <w:r w:rsidRPr="00836592">
              <w:rPr>
                <w:sz w:val="22"/>
                <w:szCs w:val="22"/>
              </w:rPr>
              <w:t>Infuziniai</w:t>
            </w:r>
            <w:proofErr w:type="spellEnd"/>
            <w:r w:rsidRPr="00836592">
              <w:rPr>
                <w:sz w:val="22"/>
                <w:szCs w:val="22"/>
              </w:rPr>
              <w:t xml:space="preserve"> </w:t>
            </w:r>
            <w:proofErr w:type="spellStart"/>
            <w:r w:rsidRPr="00836592">
              <w:rPr>
                <w:sz w:val="22"/>
                <w:szCs w:val="22"/>
              </w:rPr>
              <w:t>švirkštai</w:t>
            </w:r>
            <w:proofErr w:type="spellEnd"/>
          </w:p>
        </w:tc>
        <w:tc>
          <w:tcPr>
            <w:tcW w:w="960" w:type="dxa"/>
            <w:shd w:val="clear" w:color="auto" w:fill="auto"/>
            <w:noWrap/>
            <w:hideMark/>
          </w:tcPr>
          <w:p w14:paraId="7B2ADDE1" w14:textId="77777777" w:rsidR="00574E5E" w:rsidRPr="00836592" w:rsidRDefault="00574E5E" w:rsidP="00431E2C">
            <w:pPr>
              <w:jc w:val="right"/>
              <w:rPr>
                <w:sz w:val="22"/>
                <w:szCs w:val="22"/>
              </w:rPr>
            </w:pPr>
            <w:r w:rsidRPr="00836592">
              <w:rPr>
                <w:sz w:val="22"/>
                <w:szCs w:val="22"/>
              </w:rPr>
              <w:t>26</w:t>
            </w:r>
          </w:p>
        </w:tc>
        <w:tc>
          <w:tcPr>
            <w:tcW w:w="1970" w:type="dxa"/>
            <w:shd w:val="clear" w:color="auto" w:fill="auto"/>
            <w:noWrap/>
            <w:hideMark/>
          </w:tcPr>
          <w:p w14:paraId="368F06C9" w14:textId="77777777" w:rsidR="00574E5E" w:rsidRPr="00836592" w:rsidRDefault="00574E5E" w:rsidP="00431E2C">
            <w:pPr>
              <w:jc w:val="right"/>
              <w:rPr>
                <w:sz w:val="22"/>
                <w:szCs w:val="22"/>
              </w:rPr>
            </w:pPr>
            <w:r w:rsidRPr="00836592">
              <w:rPr>
                <w:sz w:val="22"/>
                <w:szCs w:val="22"/>
              </w:rPr>
              <w:t>19,00</w:t>
            </w:r>
          </w:p>
        </w:tc>
        <w:tc>
          <w:tcPr>
            <w:tcW w:w="1984" w:type="dxa"/>
            <w:shd w:val="clear" w:color="auto" w:fill="auto"/>
            <w:noWrap/>
            <w:hideMark/>
          </w:tcPr>
          <w:p w14:paraId="28042536" w14:textId="77777777" w:rsidR="00574E5E" w:rsidRPr="00836592" w:rsidRDefault="00574E5E" w:rsidP="00431E2C">
            <w:pPr>
              <w:jc w:val="right"/>
              <w:rPr>
                <w:sz w:val="22"/>
                <w:szCs w:val="22"/>
              </w:rPr>
            </w:pPr>
            <w:r w:rsidRPr="00836592">
              <w:rPr>
                <w:sz w:val="22"/>
                <w:szCs w:val="22"/>
              </w:rPr>
              <w:t>597,74</w:t>
            </w:r>
          </w:p>
        </w:tc>
      </w:tr>
      <w:tr w:rsidR="00574E5E" w:rsidRPr="00836592" w14:paraId="0F32CF0A" w14:textId="77777777" w:rsidTr="00431E2C">
        <w:trPr>
          <w:trHeight w:val="315"/>
        </w:trPr>
        <w:tc>
          <w:tcPr>
            <w:tcW w:w="815" w:type="dxa"/>
            <w:shd w:val="clear" w:color="auto" w:fill="auto"/>
            <w:noWrap/>
            <w:hideMark/>
          </w:tcPr>
          <w:p w14:paraId="21DE6204" w14:textId="77777777" w:rsidR="00574E5E" w:rsidRPr="00836592" w:rsidRDefault="00574E5E" w:rsidP="00431E2C">
            <w:pPr>
              <w:jc w:val="both"/>
              <w:rPr>
                <w:sz w:val="22"/>
                <w:szCs w:val="22"/>
              </w:rPr>
            </w:pPr>
            <w:r w:rsidRPr="00836592">
              <w:rPr>
                <w:sz w:val="22"/>
                <w:szCs w:val="22"/>
              </w:rPr>
              <w:t>13</w:t>
            </w:r>
          </w:p>
        </w:tc>
        <w:tc>
          <w:tcPr>
            <w:tcW w:w="4160" w:type="dxa"/>
            <w:shd w:val="clear" w:color="auto" w:fill="auto"/>
            <w:noWrap/>
            <w:hideMark/>
          </w:tcPr>
          <w:p w14:paraId="6B62F96F" w14:textId="77777777" w:rsidR="00574E5E" w:rsidRPr="00836592" w:rsidRDefault="00574E5E" w:rsidP="00431E2C">
            <w:pPr>
              <w:jc w:val="both"/>
              <w:rPr>
                <w:sz w:val="22"/>
                <w:szCs w:val="22"/>
              </w:rPr>
            </w:pPr>
            <w:proofErr w:type="spellStart"/>
            <w:r w:rsidRPr="00836592">
              <w:rPr>
                <w:sz w:val="22"/>
                <w:szCs w:val="22"/>
              </w:rPr>
              <w:t>Stimuliatoriai</w:t>
            </w:r>
            <w:proofErr w:type="spellEnd"/>
          </w:p>
        </w:tc>
        <w:tc>
          <w:tcPr>
            <w:tcW w:w="960" w:type="dxa"/>
            <w:shd w:val="clear" w:color="auto" w:fill="auto"/>
            <w:noWrap/>
            <w:hideMark/>
          </w:tcPr>
          <w:p w14:paraId="4F080A30" w14:textId="77777777" w:rsidR="00574E5E" w:rsidRPr="00836592" w:rsidRDefault="00574E5E" w:rsidP="00431E2C">
            <w:pPr>
              <w:jc w:val="right"/>
              <w:rPr>
                <w:sz w:val="22"/>
                <w:szCs w:val="22"/>
              </w:rPr>
            </w:pPr>
            <w:r w:rsidRPr="00836592">
              <w:rPr>
                <w:sz w:val="22"/>
                <w:szCs w:val="22"/>
              </w:rPr>
              <w:t>2</w:t>
            </w:r>
          </w:p>
        </w:tc>
        <w:tc>
          <w:tcPr>
            <w:tcW w:w="1970" w:type="dxa"/>
            <w:shd w:val="clear" w:color="auto" w:fill="auto"/>
            <w:noWrap/>
            <w:hideMark/>
          </w:tcPr>
          <w:p w14:paraId="027BBED0" w14:textId="77777777" w:rsidR="00574E5E" w:rsidRPr="00836592" w:rsidRDefault="00574E5E" w:rsidP="00431E2C">
            <w:pPr>
              <w:jc w:val="right"/>
              <w:rPr>
                <w:sz w:val="22"/>
                <w:szCs w:val="22"/>
              </w:rPr>
            </w:pPr>
            <w:r w:rsidRPr="00836592">
              <w:rPr>
                <w:sz w:val="22"/>
                <w:szCs w:val="22"/>
              </w:rPr>
              <w:t>46,00</w:t>
            </w:r>
          </w:p>
        </w:tc>
        <w:tc>
          <w:tcPr>
            <w:tcW w:w="1984" w:type="dxa"/>
            <w:shd w:val="clear" w:color="auto" w:fill="auto"/>
            <w:noWrap/>
            <w:hideMark/>
          </w:tcPr>
          <w:p w14:paraId="6053F033" w14:textId="77777777" w:rsidR="00574E5E" w:rsidRPr="00836592" w:rsidRDefault="00574E5E" w:rsidP="00431E2C">
            <w:pPr>
              <w:jc w:val="right"/>
              <w:rPr>
                <w:sz w:val="22"/>
                <w:szCs w:val="22"/>
              </w:rPr>
            </w:pPr>
            <w:r w:rsidRPr="00836592">
              <w:rPr>
                <w:sz w:val="22"/>
                <w:szCs w:val="22"/>
              </w:rPr>
              <w:t>111,32</w:t>
            </w:r>
          </w:p>
        </w:tc>
      </w:tr>
      <w:tr w:rsidR="00574E5E" w:rsidRPr="00836592" w14:paraId="34885916" w14:textId="77777777" w:rsidTr="00431E2C">
        <w:trPr>
          <w:trHeight w:val="315"/>
        </w:trPr>
        <w:tc>
          <w:tcPr>
            <w:tcW w:w="815" w:type="dxa"/>
            <w:shd w:val="clear" w:color="auto" w:fill="auto"/>
            <w:noWrap/>
            <w:hideMark/>
          </w:tcPr>
          <w:p w14:paraId="2B3D7C70" w14:textId="77777777" w:rsidR="00574E5E" w:rsidRPr="00836592" w:rsidRDefault="00574E5E" w:rsidP="00431E2C">
            <w:pPr>
              <w:jc w:val="both"/>
              <w:rPr>
                <w:sz w:val="22"/>
                <w:szCs w:val="22"/>
              </w:rPr>
            </w:pPr>
            <w:r w:rsidRPr="00836592">
              <w:rPr>
                <w:sz w:val="22"/>
                <w:szCs w:val="22"/>
              </w:rPr>
              <w:t>14</w:t>
            </w:r>
          </w:p>
        </w:tc>
        <w:tc>
          <w:tcPr>
            <w:tcW w:w="4160" w:type="dxa"/>
            <w:shd w:val="clear" w:color="auto" w:fill="auto"/>
            <w:noWrap/>
            <w:hideMark/>
          </w:tcPr>
          <w:p w14:paraId="70DBAB4D" w14:textId="77777777" w:rsidR="00574E5E" w:rsidRPr="00574E5E" w:rsidRDefault="00574E5E" w:rsidP="00431E2C">
            <w:pPr>
              <w:jc w:val="both"/>
              <w:rPr>
                <w:sz w:val="22"/>
                <w:szCs w:val="22"/>
                <w:lang w:val="pt-BR"/>
              </w:rPr>
            </w:pPr>
            <w:r w:rsidRPr="00574E5E">
              <w:rPr>
                <w:sz w:val="22"/>
                <w:szCs w:val="22"/>
                <w:lang w:val="pt-BR"/>
              </w:rPr>
              <w:t>Kraujo spaudimo mat. ap. (metrologija)</w:t>
            </w:r>
          </w:p>
        </w:tc>
        <w:tc>
          <w:tcPr>
            <w:tcW w:w="960" w:type="dxa"/>
            <w:shd w:val="clear" w:color="auto" w:fill="auto"/>
            <w:noWrap/>
            <w:hideMark/>
          </w:tcPr>
          <w:p w14:paraId="3647A847" w14:textId="77777777" w:rsidR="00574E5E" w:rsidRPr="00836592" w:rsidRDefault="00574E5E" w:rsidP="00431E2C">
            <w:pPr>
              <w:jc w:val="right"/>
              <w:rPr>
                <w:sz w:val="22"/>
                <w:szCs w:val="22"/>
              </w:rPr>
            </w:pPr>
            <w:r w:rsidRPr="00836592">
              <w:rPr>
                <w:sz w:val="22"/>
                <w:szCs w:val="22"/>
              </w:rPr>
              <w:t>16</w:t>
            </w:r>
          </w:p>
        </w:tc>
        <w:tc>
          <w:tcPr>
            <w:tcW w:w="1970" w:type="dxa"/>
            <w:shd w:val="clear" w:color="auto" w:fill="auto"/>
            <w:noWrap/>
            <w:hideMark/>
          </w:tcPr>
          <w:p w14:paraId="760F76A5" w14:textId="77777777" w:rsidR="00574E5E" w:rsidRPr="00836592" w:rsidRDefault="00574E5E" w:rsidP="00431E2C">
            <w:pPr>
              <w:jc w:val="right"/>
              <w:rPr>
                <w:sz w:val="22"/>
                <w:szCs w:val="22"/>
              </w:rPr>
            </w:pPr>
            <w:r w:rsidRPr="00836592">
              <w:rPr>
                <w:sz w:val="22"/>
                <w:szCs w:val="22"/>
              </w:rPr>
              <w:t>8,00</w:t>
            </w:r>
          </w:p>
        </w:tc>
        <w:tc>
          <w:tcPr>
            <w:tcW w:w="1984" w:type="dxa"/>
            <w:shd w:val="clear" w:color="auto" w:fill="auto"/>
            <w:noWrap/>
            <w:hideMark/>
          </w:tcPr>
          <w:p w14:paraId="4A478363" w14:textId="77777777" w:rsidR="00574E5E" w:rsidRPr="00836592" w:rsidRDefault="00574E5E" w:rsidP="00431E2C">
            <w:pPr>
              <w:jc w:val="right"/>
              <w:rPr>
                <w:sz w:val="22"/>
                <w:szCs w:val="22"/>
              </w:rPr>
            </w:pPr>
            <w:r w:rsidRPr="00836592">
              <w:rPr>
                <w:sz w:val="22"/>
                <w:szCs w:val="22"/>
              </w:rPr>
              <w:t>154,88</w:t>
            </w:r>
          </w:p>
        </w:tc>
      </w:tr>
      <w:tr w:rsidR="00574E5E" w:rsidRPr="00836592" w14:paraId="4AC2C841" w14:textId="77777777" w:rsidTr="00431E2C">
        <w:trPr>
          <w:trHeight w:val="300"/>
        </w:trPr>
        <w:tc>
          <w:tcPr>
            <w:tcW w:w="815" w:type="dxa"/>
            <w:shd w:val="clear" w:color="auto" w:fill="auto"/>
            <w:noWrap/>
            <w:hideMark/>
          </w:tcPr>
          <w:p w14:paraId="6DCE7EF3" w14:textId="77777777" w:rsidR="00574E5E" w:rsidRPr="00836592" w:rsidRDefault="00574E5E" w:rsidP="00431E2C">
            <w:pPr>
              <w:jc w:val="both"/>
              <w:rPr>
                <w:sz w:val="22"/>
                <w:szCs w:val="22"/>
              </w:rPr>
            </w:pPr>
          </w:p>
        </w:tc>
        <w:tc>
          <w:tcPr>
            <w:tcW w:w="4160" w:type="dxa"/>
            <w:shd w:val="clear" w:color="auto" w:fill="auto"/>
            <w:noWrap/>
            <w:hideMark/>
          </w:tcPr>
          <w:p w14:paraId="25E927F1" w14:textId="77777777" w:rsidR="00574E5E" w:rsidRPr="00836592" w:rsidRDefault="00574E5E" w:rsidP="00431E2C">
            <w:pPr>
              <w:jc w:val="both"/>
              <w:rPr>
                <w:sz w:val="22"/>
                <w:szCs w:val="22"/>
              </w:rPr>
            </w:pPr>
          </w:p>
        </w:tc>
        <w:tc>
          <w:tcPr>
            <w:tcW w:w="960" w:type="dxa"/>
            <w:shd w:val="clear" w:color="auto" w:fill="auto"/>
            <w:noWrap/>
            <w:hideMark/>
          </w:tcPr>
          <w:p w14:paraId="7CADFF2C" w14:textId="77777777" w:rsidR="00574E5E" w:rsidRPr="00836592" w:rsidRDefault="00574E5E" w:rsidP="00431E2C">
            <w:pPr>
              <w:jc w:val="right"/>
              <w:rPr>
                <w:sz w:val="22"/>
                <w:szCs w:val="22"/>
              </w:rPr>
            </w:pPr>
          </w:p>
        </w:tc>
        <w:tc>
          <w:tcPr>
            <w:tcW w:w="1970" w:type="dxa"/>
            <w:shd w:val="clear" w:color="auto" w:fill="auto"/>
            <w:noWrap/>
            <w:hideMark/>
          </w:tcPr>
          <w:p w14:paraId="3A2324C9" w14:textId="77777777" w:rsidR="00574E5E" w:rsidRPr="00836592" w:rsidRDefault="00574E5E" w:rsidP="00431E2C">
            <w:pPr>
              <w:jc w:val="right"/>
              <w:rPr>
                <w:sz w:val="22"/>
                <w:szCs w:val="22"/>
              </w:rPr>
            </w:pPr>
            <w:r w:rsidRPr="00836592">
              <w:rPr>
                <w:sz w:val="22"/>
                <w:szCs w:val="22"/>
              </w:rPr>
              <w:t xml:space="preserve">Viso </w:t>
            </w:r>
            <w:proofErr w:type="spellStart"/>
            <w:r w:rsidRPr="00836592">
              <w:rPr>
                <w:sz w:val="22"/>
                <w:szCs w:val="22"/>
              </w:rPr>
              <w:t>su</w:t>
            </w:r>
            <w:proofErr w:type="spellEnd"/>
            <w:r w:rsidRPr="00836592">
              <w:rPr>
                <w:sz w:val="22"/>
                <w:szCs w:val="22"/>
              </w:rPr>
              <w:t xml:space="preserve"> 21% PVM</w:t>
            </w:r>
          </w:p>
        </w:tc>
        <w:tc>
          <w:tcPr>
            <w:tcW w:w="1984" w:type="dxa"/>
            <w:shd w:val="clear" w:color="auto" w:fill="auto"/>
            <w:noWrap/>
            <w:hideMark/>
          </w:tcPr>
          <w:p w14:paraId="7146F8C6" w14:textId="77777777" w:rsidR="00574E5E" w:rsidRPr="00836592" w:rsidRDefault="00574E5E" w:rsidP="00431E2C">
            <w:pPr>
              <w:jc w:val="right"/>
              <w:rPr>
                <w:b/>
                <w:bCs/>
                <w:sz w:val="22"/>
                <w:szCs w:val="22"/>
              </w:rPr>
            </w:pPr>
            <w:r w:rsidRPr="00836592">
              <w:rPr>
                <w:b/>
                <w:bCs/>
                <w:sz w:val="22"/>
                <w:szCs w:val="22"/>
              </w:rPr>
              <w:t>6484,39</w:t>
            </w:r>
          </w:p>
        </w:tc>
      </w:tr>
    </w:tbl>
    <w:p w14:paraId="5534CE76" w14:textId="77777777" w:rsidR="00707D75" w:rsidRDefault="00707D75" w:rsidP="00707D75">
      <w:pPr>
        <w:pStyle w:val="Antrats"/>
        <w:tabs>
          <w:tab w:val="left" w:pos="720"/>
        </w:tabs>
        <w:jc w:val="center"/>
        <w:rPr>
          <w:rFonts w:ascii="Times New Roman" w:hAnsi="Times New Roman"/>
          <w:b/>
          <w:bCs/>
          <w:color w:val="000000"/>
          <w:sz w:val="24"/>
          <w:szCs w:val="24"/>
          <w:lang w:val="lt-LT"/>
        </w:rPr>
      </w:pPr>
    </w:p>
    <w:p w14:paraId="65E15F61" w14:textId="77777777" w:rsidR="00707D75" w:rsidRDefault="00707D75" w:rsidP="00707D75">
      <w:pPr>
        <w:pStyle w:val="Antrats"/>
        <w:tabs>
          <w:tab w:val="left" w:pos="720"/>
        </w:tabs>
        <w:jc w:val="center"/>
        <w:rPr>
          <w:rFonts w:ascii="Times New Roman" w:hAnsi="Times New Roman"/>
          <w:b/>
          <w:bCs/>
          <w:color w:val="000000"/>
          <w:sz w:val="24"/>
          <w:szCs w:val="24"/>
          <w:lang w:val="lt-LT"/>
        </w:rPr>
      </w:pPr>
    </w:p>
    <w:p w14:paraId="1214F644" w14:textId="77777777" w:rsidR="00707D75" w:rsidRPr="0005794C" w:rsidRDefault="00707D75" w:rsidP="00707D75">
      <w:pPr>
        <w:pStyle w:val="Antrats"/>
        <w:tabs>
          <w:tab w:val="left" w:pos="720"/>
        </w:tabs>
        <w:jc w:val="center"/>
        <w:rPr>
          <w:rFonts w:ascii="Times New Roman" w:hAnsi="Times New Roman"/>
          <w:b/>
          <w:bCs/>
          <w:lang w:val="lt-LT"/>
        </w:rPr>
      </w:pPr>
    </w:p>
    <w:p w14:paraId="49384301" w14:textId="77777777" w:rsidR="00707D75" w:rsidRPr="0005794C" w:rsidRDefault="00707D75" w:rsidP="00707D75">
      <w:pPr>
        <w:pStyle w:val="Antrats"/>
        <w:tabs>
          <w:tab w:val="left" w:pos="720"/>
        </w:tabs>
        <w:jc w:val="both"/>
        <w:rPr>
          <w:rFonts w:ascii="Times New Roman" w:hAnsi="Times New Roman"/>
          <w:b/>
          <w:bCs/>
          <w:lang w:val="lt-LT"/>
        </w:rPr>
      </w:pPr>
    </w:p>
    <w:p w14:paraId="0E6F4EF7" w14:textId="77777777" w:rsidR="00707D75" w:rsidRPr="0005794C" w:rsidRDefault="00707D75" w:rsidP="00707D75">
      <w:pPr>
        <w:pStyle w:val="Antrats"/>
        <w:tabs>
          <w:tab w:val="left" w:pos="720"/>
        </w:tabs>
        <w:jc w:val="both"/>
        <w:rPr>
          <w:rFonts w:ascii="Times New Roman" w:hAnsi="Times New Roman"/>
          <w:sz w:val="20"/>
          <w:szCs w:val="20"/>
          <w:lang w:val="lt-LT"/>
        </w:rPr>
      </w:pPr>
    </w:p>
    <w:p w14:paraId="5F3505C9" w14:textId="77777777" w:rsidR="00707D75" w:rsidRPr="0005794C" w:rsidRDefault="00707D75" w:rsidP="00707D75">
      <w:pPr>
        <w:rPr>
          <w:vanish/>
          <w:sz w:val="22"/>
          <w:szCs w:val="22"/>
          <w:lang w:val="lt-LT"/>
        </w:rPr>
      </w:pPr>
    </w:p>
    <w:tbl>
      <w:tblPr>
        <w:tblW w:w="0" w:type="auto"/>
        <w:tblLayout w:type="fixed"/>
        <w:tblLook w:val="0000" w:firstRow="0" w:lastRow="0" w:firstColumn="0" w:lastColumn="0" w:noHBand="0" w:noVBand="0"/>
      </w:tblPr>
      <w:tblGrid>
        <w:gridCol w:w="5070"/>
        <w:gridCol w:w="4819"/>
      </w:tblGrid>
      <w:tr w:rsidR="00707D75" w:rsidRPr="0005794C" w14:paraId="70457B4B" w14:textId="77777777" w:rsidTr="002569F8">
        <w:tc>
          <w:tcPr>
            <w:tcW w:w="5070" w:type="dxa"/>
            <w:shd w:val="clear" w:color="auto" w:fill="auto"/>
          </w:tcPr>
          <w:p w14:paraId="102BE8BB" w14:textId="77777777" w:rsidR="00707D75" w:rsidRPr="0005794C" w:rsidRDefault="00707D75" w:rsidP="002569F8">
            <w:pPr>
              <w:jc w:val="both"/>
              <w:rPr>
                <w:b/>
                <w:bCs/>
                <w:lang w:val="lt-LT"/>
              </w:rPr>
            </w:pPr>
            <w:r w:rsidRPr="0005794C">
              <w:rPr>
                <w:b/>
                <w:bCs/>
                <w:lang w:val="lt-LT"/>
              </w:rPr>
              <w:t>UŽSAKOVAS:</w:t>
            </w:r>
          </w:p>
          <w:p w14:paraId="7F8C194F" w14:textId="77777777" w:rsidR="00707D75" w:rsidRPr="0005794C" w:rsidRDefault="00707D75" w:rsidP="002569F8">
            <w:pPr>
              <w:jc w:val="both"/>
              <w:rPr>
                <w:b/>
                <w:bCs/>
                <w:lang w:val="lt-LT"/>
              </w:rPr>
            </w:pPr>
          </w:p>
          <w:p w14:paraId="3CB3E190" w14:textId="77777777" w:rsidR="00707D75" w:rsidRPr="00145809" w:rsidRDefault="00707D75" w:rsidP="002569F8">
            <w:pPr>
              <w:rPr>
                <w:bCs/>
                <w:color w:val="000000"/>
                <w:sz w:val="22"/>
                <w:szCs w:val="22"/>
                <w:lang w:val="lt-LT"/>
              </w:rPr>
            </w:pPr>
            <w:r>
              <w:rPr>
                <w:bCs/>
                <w:color w:val="000000"/>
                <w:sz w:val="22"/>
                <w:szCs w:val="22"/>
                <w:lang w:val="lt-LT"/>
              </w:rPr>
              <w:t>Direktorius</w:t>
            </w:r>
          </w:p>
          <w:p w14:paraId="5BE12083" w14:textId="77777777" w:rsidR="00707D75" w:rsidRPr="0005794C" w:rsidRDefault="00707D75" w:rsidP="002569F8">
            <w:pPr>
              <w:jc w:val="both"/>
              <w:rPr>
                <w:vertAlign w:val="superscript"/>
                <w:lang w:val="lt-LT"/>
              </w:rPr>
            </w:pPr>
            <w:r w:rsidRPr="00145809">
              <w:rPr>
                <w:bCs/>
                <w:color w:val="000000"/>
                <w:sz w:val="22"/>
                <w:szCs w:val="22"/>
                <w:lang w:val="lt-LT"/>
              </w:rPr>
              <w:t>Remigijus Mažeika</w:t>
            </w:r>
            <w:r w:rsidRPr="0005794C">
              <w:rPr>
                <w:lang w:val="lt-LT"/>
              </w:rPr>
              <w:t xml:space="preserve"> ____________________          </w:t>
            </w:r>
          </w:p>
          <w:p w14:paraId="66A91B34" w14:textId="77777777" w:rsidR="00707D75" w:rsidRPr="0005794C" w:rsidRDefault="00707D75" w:rsidP="002569F8">
            <w:pPr>
              <w:jc w:val="both"/>
              <w:rPr>
                <w:lang w:val="lt-LT"/>
              </w:rPr>
            </w:pPr>
            <w:r w:rsidRPr="0005794C">
              <w:rPr>
                <w:vertAlign w:val="superscript"/>
                <w:lang w:val="lt-LT"/>
              </w:rPr>
              <w:t xml:space="preserve">                                                            (parašas)</w:t>
            </w:r>
          </w:p>
          <w:p w14:paraId="00857D06" w14:textId="77777777" w:rsidR="00707D75" w:rsidRPr="0005794C" w:rsidRDefault="00707D75" w:rsidP="002569F8">
            <w:pPr>
              <w:jc w:val="both"/>
              <w:rPr>
                <w:lang w:val="lt-LT"/>
              </w:rPr>
            </w:pPr>
            <w:r w:rsidRPr="0005794C">
              <w:rPr>
                <w:lang w:val="lt-LT"/>
              </w:rPr>
              <w:t xml:space="preserve">    A.V.</w:t>
            </w:r>
          </w:p>
        </w:tc>
        <w:tc>
          <w:tcPr>
            <w:tcW w:w="4819" w:type="dxa"/>
            <w:shd w:val="clear" w:color="auto" w:fill="auto"/>
          </w:tcPr>
          <w:p w14:paraId="1C1A0E92" w14:textId="77777777" w:rsidR="00707D75" w:rsidRPr="0005794C" w:rsidRDefault="00707D75" w:rsidP="002569F8">
            <w:pPr>
              <w:rPr>
                <w:b/>
                <w:bCs/>
                <w:lang w:val="lt-LT"/>
              </w:rPr>
            </w:pPr>
            <w:r w:rsidRPr="0005794C">
              <w:rPr>
                <w:b/>
                <w:bCs/>
                <w:lang w:val="lt-LT"/>
              </w:rPr>
              <w:t>VYKDYTOJAS:</w:t>
            </w:r>
          </w:p>
          <w:p w14:paraId="2EADC425" w14:textId="77777777" w:rsidR="00707D75" w:rsidRPr="0005794C" w:rsidRDefault="00707D75" w:rsidP="002569F8">
            <w:pPr>
              <w:rPr>
                <w:b/>
                <w:bCs/>
                <w:lang w:val="lt-LT"/>
              </w:rPr>
            </w:pPr>
          </w:p>
          <w:p w14:paraId="5B4A7AE5" w14:textId="77777777" w:rsidR="00707D75" w:rsidRDefault="00707D75" w:rsidP="002569F8">
            <w:pPr>
              <w:framePr w:hSpace="180" w:wrap="around" w:vAnchor="text" w:hAnchor="margin" w:y="72"/>
              <w:jc w:val="both"/>
              <w:rPr>
                <w:lang w:val="lt-LT"/>
              </w:rPr>
            </w:pPr>
            <w:r>
              <w:rPr>
                <w:lang w:val="lt-LT"/>
              </w:rPr>
              <w:t>Generalinis direktorius</w:t>
            </w:r>
          </w:p>
          <w:p w14:paraId="53599545" w14:textId="77777777" w:rsidR="00707D75" w:rsidRPr="0005794C" w:rsidRDefault="00707D75" w:rsidP="002569F8">
            <w:pPr>
              <w:framePr w:hSpace="180" w:wrap="around" w:vAnchor="text" w:hAnchor="margin" w:y="72"/>
              <w:jc w:val="both"/>
              <w:rPr>
                <w:lang w:val="lt-LT"/>
              </w:rPr>
            </w:pPr>
            <w:r>
              <w:rPr>
                <w:lang w:val="lt-LT"/>
              </w:rPr>
              <w:t>Virginijus Domarkas _________________</w:t>
            </w:r>
          </w:p>
          <w:p w14:paraId="2EC053C8" w14:textId="77777777" w:rsidR="00707D75" w:rsidRPr="0005794C" w:rsidRDefault="00707D75" w:rsidP="002569F8">
            <w:pPr>
              <w:framePr w:hSpace="180" w:wrap="around" w:vAnchor="text" w:hAnchor="margin" w:y="72"/>
              <w:jc w:val="both"/>
              <w:rPr>
                <w:lang w:val="lt-LT"/>
              </w:rPr>
            </w:pPr>
            <w:r w:rsidRPr="0005794C">
              <w:rPr>
                <w:vertAlign w:val="superscript"/>
                <w:lang w:val="lt-LT"/>
              </w:rPr>
              <w:t xml:space="preserve">                                                            (parašas)</w:t>
            </w:r>
          </w:p>
          <w:p w14:paraId="235ADFB9" w14:textId="77777777" w:rsidR="00707D75" w:rsidRPr="0005794C" w:rsidRDefault="00707D75" w:rsidP="002569F8">
            <w:pPr>
              <w:rPr>
                <w:lang w:val="lt-LT"/>
              </w:rPr>
            </w:pPr>
            <w:r w:rsidRPr="0005794C">
              <w:rPr>
                <w:lang w:val="lt-LT"/>
              </w:rPr>
              <w:t xml:space="preserve">    A.V.</w:t>
            </w:r>
          </w:p>
        </w:tc>
      </w:tr>
    </w:tbl>
    <w:p w14:paraId="3497EA34" w14:textId="77777777" w:rsidR="00707D75" w:rsidRPr="0005794C" w:rsidRDefault="00707D75" w:rsidP="00707D75">
      <w:pPr>
        <w:rPr>
          <w:lang w:val="lt-LT"/>
        </w:rPr>
      </w:pPr>
    </w:p>
    <w:p w14:paraId="43008D67" w14:textId="77777777" w:rsidR="00707D75" w:rsidRDefault="00707D75" w:rsidP="00707D75"/>
    <w:p w14:paraId="377A931A" w14:textId="77777777" w:rsidR="00A84533" w:rsidRDefault="00A84533"/>
    <w:sectPr w:rsidR="00A84533" w:rsidSect="00707D75">
      <w:headerReference w:type="even" r:id="rId9"/>
      <w:headerReference w:type="default" r:id="rId10"/>
      <w:footerReference w:type="even" r:id="rId11"/>
      <w:footerReference w:type="default" r:id="rId12"/>
      <w:headerReference w:type="first" r:id="rId13"/>
      <w:footerReference w:type="first" r:id="rId14"/>
      <w:pgSz w:w="11906" w:h="16838"/>
      <w:pgMar w:top="623" w:right="567" w:bottom="851" w:left="1080" w:header="567" w:footer="851"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9651" w14:textId="77777777" w:rsidR="0082727C" w:rsidRDefault="0082727C">
      <w:r>
        <w:separator/>
      </w:r>
    </w:p>
  </w:endnote>
  <w:endnote w:type="continuationSeparator" w:id="0">
    <w:p w14:paraId="3E009058" w14:textId="77777777" w:rsidR="0082727C" w:rsidRDefault="0082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6C2B" w14:textId="77777777" w:rsidR="00DA5A3A" w:rsidRDefault="00DA5A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5092" w14:textId="77777777" w:rsidR="00DA5A3A" w:rsidRDefault="00DA5A3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3295" w14:textId="77777777" w:rsidR="00DA5A3A" w:rsidRDefault="00DA5A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00EAC" w14:textId="77777777" w:rsidR="0082727C" w:rsidRDefault="0082727C">
      <w:r>
        <w:separator/>
      </w:r>
    </w:p>
  </w:footnote>
  <w:footnote w:type="continuationSeparator" w:id="0">
    <w:p w14:paraId="62C6BF3B" w14:textId="77777777" w:rsidR="0082727C" w:rsidRDefault="00827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9152" w14:textId="77777777" w:rsidR="00DA5A3A" w:rsidRDefault="00DA5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B0B7" w14:textId="77777777" w:rsidR="00DA5A3A" w:rsidRDefault="00000000">
    <w:pPr>
      <w:pStyle w:val="Antrats"/>
      <w:jc w:val="center"/>
    </w:pPr>
    <w:r>
      <w:fldChar w:fldCharType="begin"/>
    </w:r>
    <w:r>
      <w:instrText xml:space="preserve"> PAGE </w:instrText>
    </w:r>
    <w:r>
      <w:fldChar w:fldCharType="separate"/>
    </w:r>
    <w:r>
      <w:rPr>
        <w:noProof/>
      </w:rPr>
      <w:t>1</w:t>
    </w:r>
    <w:r>
      <w:fldChar w:fldCharType="end"/>
    </w:r>
  </w:p>
  <w:p w14:paraId="13754FA6" w14:textId="77777777" w:rsidR="00DA5A3A" w:rsidRDefault="00DA5A3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ED5E" w14:textId="77777777" w:rsidR="00DA5A3A" w:rsidRDefault="00DA5A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355E"/>
    <w:multiLevelType w:val="hybridMultilevel"/>
    <w:tmpl w:val="79E4BC58"/>
    <w:lvl w:ilvl="0" w:tplc="0427000F">
      <w:start w:val="1"/>
      <w:numFmt w:val="decimal"/>
      <w:lvlText w:val="%1."/>
      <w:lvlJc w:val="left"/>
      <w:pPr>
        <w:tabs>
          <w:tab w:val="num" w:pos="360"/>
        </w:tabs>
        <w:ind w:left="360" w:hanging="360"/>
      </w:pPr>
    </w:lvl>
    <w:lvl w:ilvl="1" w:tplc="08843084">
      <w:start w:val="7"/>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DCC540E"/>
    <w:multiLevelType w:val="multilevel"/>
    <w:tmpl w:val="C7A0E338"/>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1B5036"/>
    <w:multiLevelType w:val="hybridMultilevel"/>
    <w:tmpl w:val="ECE00CE2"/>
    <w:lvl w:ilvl="0" w:tplc="FFFFFFFF">
      <w:start w:val="1"/>
      <w:numFmt w:val="decimal"/>
      <w:lvlText w:val="%1."/>
      <w:lvlJc w:val="left"/>
      <w:pPr>
        <w:ind w:left="1362" w:hanging="795"/>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4D241B2A"/>
    <w:multiLevelType w:val="hybridMultilevel"/>
    <w:tmpl w:val="CBF4F8F8"/>
    <w:lvl w:ilvl="0" w:tplc="0409000F">
      <w:start w:val="12"/>
      <w:numFmt w:val="decimal"/>
      <w:lvlText w:val="%1."/>
      <w:lvlJc w:val="left"/>
      <w:pPr>
        <w:ind w:left="37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104736">
    <w:abstractNumId w:val="0"/>
  </w:num>
  <w:num w:numId="2" w16cid:durableId="1753812141">
    <w:abstractNumId w:val="3"/>
  </w:num>
  <w:num w:numId="3" w16cid:durableId="117844266">
    <w:abstractNumId w:val="1"/>
  </w:num>
  <w:num w:numId="4" w16cid:durableId="175573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75"/>
    <w:rsid w:val="000E27B0"/>
    <w:rsid w:val="00350701"/>
    <w:rsid w:val="00451F39"/>
    <w:rsid w:val="0051377F"/>
    <w:rsid w:val="00574E5E"/>
    <w:rsid w:val="00707D75"/>
    <w:rsid w:val="0082727C"/>
    <w:rsid w:val="00A84533"/>
    <w:rsid w:val="00D0455C"/>
    <w:rsid w:val="00DA5A3A"/>
    <w:rsid w:val="00F603C6"/>
    <w:rsid w:val="00F8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6FDE"/>
  <w15:chartTrackingRefBased/>
  <w15:docId w15:val="{84F92E63-B09F-4D14-B8E6-1AF4EA84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D75"/>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uiPriority w:val="9"/>
    <w:qFormat/>
    <w:rsid w:val="0070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7D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7D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7D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7D7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7D7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7D7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7D7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7D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7D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7D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7D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7D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7D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7D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7D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7D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7D7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7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7D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7D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7D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7D75"/>
    <w:rPr>
      <w:i/>
      <w:iCs/>
      <w:color w:val="404040" w:themeColor="text1" w:themeTint="BF"/>
    </w:rPr>
  </w:style>
  <w:style w:type="paragraph" w:styleId="Sraopastraipa">
    <w:name w:val="List Paragraph"/>
    <w:basedOn w:val="prastasis"/>
    <w:qFormat/>
    <w:rsid w:val="00707D75"/>
    <w:pPr>
      <w:ind w:left="720"/>
      <w:contextualSpacing/>
    </w:pPr>
  </w:style>
  <w:style w:type="character" w:styleId="Rykuspabraukimas">
    <w:name w:val="Intense Emphasis"/>
    <w:basedOn w:val="Numatytasispastraiposriftas"/>
    <w:uiPriority w:val="21"/>
    <w:qFormat/>
    <w:rsid w:val="00707D75"/>
    <w:rPr>
      <w:i/>
      <w:iCs/>
      <w:color w:val="2F5496" w:themeColor="accent1" w:themeShade="BF"/>
    </w:rPr>
  </w:style>
  <w:style w:type="paragraph" w:styleId="Iskirtacitata">
    <w:name w:val="Intense Quote"/>
    <w:basedOn w:val="prastasis"/>
    <w:next w:val="prastasis"/>
    <w:link w:val="IskirtacitataDiagrama"/>
    <w:uiPriority w:val="30"/>
    <w:qFormat/>
    <w:rsid w:val="0070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7D75"/>
    <w:rPr>
      <w:i/>
      <w:iCs/>
      <w:color w:val="2F5496" w:themeColor="accent1" w:themeShade="BF"/>
    </w:rPr>
  </w:style>
  <w:style w:type="character" w:styleId="Rykinuoroda">
    <w:name w:val="Intense Reference"/>
    <w:basedOn w:val="Numatytasispastraiposriftas"/>
    <w:uiPriority w:val="32"/>
    <w:qFormat/>
    <w:rsid w:val="00707D75"/>
    <w:rPr>
      <w:b/>
      <w:bCs/>
      <w:smallCaps/>
      <w:color w:val="2F5496" w:themeColor="accent1" w:themeShade="BF"/>
      <w:spacing w:val="5"/>
    </w:rPr>
  </w:style>
  <w:style w:type="character" w:styleId="Hipersaitas">
    <w:name w:val="Hyperlink"/>
    <w:rsid w:val="00707D75"/>
    <w:rPr>
      <w:color w:val="0000FF"/>
      <w:u w:val="single"/>
    </w:rPr>
  </w:style>
  <w:style w:type="paragraph" w:styleId="Porat">
    <w:name w:val="footer"/>
    <w:basedOn w:val="prastasis"/>
    <w:link w:val="PoratDiagrama"/>
    <w:rsid w:val="00707D75"/>
    <w:pPr>
      <w:tabs>
        <w:tab w:val="center" w:pos="4819"/>
        <w:tab w:val="right" w:pos="9638"/>
      </w:tabs>
    </w:pPr>
  </w:style>
  <w:style w:type="character" w:customStyle="1" w:styleId="PoratDiagrama">
    <w:name w:val="Poraštė Diagrama"/>
    <w:basedOn w:val="Numatytasispastraiposriftas"/>
    <w:link w:val="Porat"/>
    <w:rsid w:val="00707D75"/>
    <w:rPr>
      <w:rFonts w:ascii="Times New Roman" w:eastAsia="Times New Roman" w:hAnsi="Times New Roman" w:cs="Times New Roman"/>
      <w:sz w:val="24"/>
      <w:szCs w:val="24"/>
      <w:lang w:eastAsia="ar-SA"/>
    </w:rPr>
  </w:style>
  <w:style w:type="paragraph" w:styleId="Antrats">
    <w:name w:val="header"/>
    <w:aliases w:val="HEADER_EN"/>
    <w:basedOn w:val="prastasis"/>
    <w:link w:val="AntratsDiagrama1"/>
    <w:rsid w:val="00707D75"/>
    <w:pPr>
      <w:tabs>
        <w:tab w:val="center" w:pos="4153"/>
        <w:tab w:val="right" w:pos="8306"/>
      </w:tabs>
    </w:pPr>
    <w:rPr>
      <w:rFonts w:ascii="Calibri" w:eastAsia="Calibri" w:hAnsi="Calibri"/>
      <w:sz w:val="22"/>
      <w:szCs w:val="22"/>
      <w:lang w:val="ru-RU"/>
    </w:rPr>
  </w:style>
  <w:style w:type="character" w:customStyle="1" w:styleId="AntratsDiagrama">
    <w:name w:val="Antraštės Diagrama"/>
    <w:basedOn w:val="Numatytasispastraiposriftas"/>
    <w:uiPriority w:val="99"/>
    <w:semiHidden/>
    <w:rsid w:val="00707D75"/>
    <w:rPr>
      <w:rFonts w:ascii="Times New Roman" w:eastAsia="Times New Roman" w:hAnsi="Times New Roman" w:cs="Times New Roman"/>
      <w:sz w:val="24"/>
      <w:szCs w:val="24"/>
      <w:lang w:eastAsia="ar-SA"/>
    </w:rPr>
  </w:style>
  <w:style w:type="paragraph" w:customStyle="1" w:styleId="Betarp1">
    <w:name w:val="Be tarpų1"/>
    <w:rsid w:val="00707D75"/>
    <w:pPr>
      <w:suppressAutoHyphens/>
      <w:spacing w:after="0" w:line="240" w:lineRule="auto"/>
    </w:pPr>
    <w:rPr>
      <w:rFonts w:ascii="Calibri" w:eastAsia="Times New Roman" w:hAnsi="Calibri" w:cs="Calibri"/>
      <w:lang w:val="lt-LT" w:eastAsia="ar-SA"/>
    </w:rPr>
  </w:style>
  <w:style w:type="paragraph" w:customStyle="1" w:styleId="Punktai">
    <w:name w:val="Punktai"/>
    <w:basedOn w:val="prastasis"/>
    <w:rsid w:val="00707D75"/>
    <w:pPr>
      <w:numPr>
        <w:numId w:val="3"/>
      </w:numPr>
    </w:pPr>
    <w:rPr>
      <w:szCs w:val="20"/>
      <w:lang w:val="en-AU"/>
    </w:rPr>
  </w:style>
  <w:style w:type="paragraph" w:styleId="Betarp">
    <w:name w:val="No Spacing"/>
    <w:link w:val="BetarpDiagrama"/>
    <w:uiPriority w:val="1"/>
    <w:qFormat/>
    <w:rsid w:val="00707D75"/>
    <w:pPr>
      <w:suppressAutoHyphens/>
      <w:spacing w:after="0" w:line="240" w:lineRule="auto"/>
    </w:pPr>
    <w:rPr>
      <w:rFonts w:ascii="Times New Roman" w:eastAsia="Times New Roman" w:hAnsi="Times New Roman" w:cs="Times New Roman"/>
      <w:sz w:val="24"/>
      <w:szCs w:val="24"/>
      <w:lang w:eastAsia="ar-SA"/>
    </w:rPr>
  </w:style>
  <w:style w:type="character" w:customStyle="1" w:styleId="AntratsDiagrama1">
    <w:name w:val="Antraštės Diagrama1"/>
    <w:aliases w:val="HEADER_EN Diagrama"/>
    <w:link w:val="Antrats"/>
    <w:rsid w:val="00707D75"/>
    <w:rPr>
      <w:rFonts w:ascii="Calibri" w:eastAsia="Calibri" w:hAnsi="Calibri" w:cs="Times New Roman"/>
      <w:lang w:val="ru-RU" w:eastAsia="ar-SA"/>
    </w:rPr>
  </w:style>
  <w:style w:type="paragraph" w:styleId="Pagrindiniotekstotrauka">
    <w:name w:val="Body Text Indent"/>
    <w:basedOn w:val="prastasis"/>
    <w:link w:val="PagrindiniotekstotraukaDiagrama"/>
    <w:uiPriority w:val="99"/>
    <w:unhideWhenUsed/>
    <w:rsid w:val="00707D7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07D75"/>
    <w:rPr>
      <w:rFonts w:ascii="Times New Roman" w:eastAsia="Times New Roman" w:hAnsi="Times New Roman" w:cs="Times New Roman"/>
      <w:sz w:val="24"/>
      <w:szCs w:val="24"/>
      <w:lang w:eastAsia="ar-SA"/>
    </w:rPr>
  </w:style>
  <w:style w:type="character" w:customStyle="1" w:styleId="BetarpDiagrama">
    <w:name w:val="Be tarpų Diagrama"/>
    <w:link w:val="Betarp"/>
    <w:uiPriority w:val="1"/>
    <w:locked/>
    <w:rsid w:val="00707D75"/>
    <w:rPr>
      <w:rFonts w:ascii="Times New Roman" w:eastAsia="Times New Roman" w:hAnsi="Times New Roman" w:cs="Times New Roman"/>
      <w:sz w:val="24"/>
      <w:szCs w:val="24"/>
      <w:lang w:eastAsia="ar-SA"/>
    </w:rPr>
  </w:style>
  <w:style w:type="character" w:customStyle="1" w:styleId="t385">
    <w:name w:val="t385"/>
    <w:rsid w:val="00707D75"/>
  </w:style>
  <w:style w:type="character" w:customStyle="1" w:styleId="t386">
    <w:name w:val="t386"/>
    <w:rsid w:val="00707D75"/>
  </w:style>
  <w:style w:type="character" w:customStyle="1" w:styleId="t387">
    <w:name w:val="t387"/>
    <w:rsid w:val="00707D75"/>
  </w:style>
  <w:style w:type="character" w:customStyle="1" w:styleId="t388">
    <w:name w:val="t388"/>
    <w:rsid w:val="00707D75"/>
  </w:style>
  <w:style w:type="character" w:customStyle="1" w:styleId="t389">
    <w:name w:val="t389"/>
    <w:rsid w:val="00707D75"/>
  </w:style>
  <w:style w:type="character" w:customStyle="1" w:styleId="t390">
    <w:name w:val="t390"/>
    <w:rsid w:val="00707D75"/>
  </w:style>
  <w:style w:type="character" w:customStyle="1" w:styleId="t391">
    <w:name w:val="t391"/>
    <w:rsid w:val="00707D75"/>
  </w:style>
  <w:style w:type="character" w:customStyle="1" w:styleId="t488">
    <w:name w:val="t488"/>
    <w:rsid w:val="00707D75"/>
  </w:style>
  <w:style w:type="character" w:customStyle="1" w:styleId="t489">
    <w:name w:val="t489"/>
    <w:rsid w:val="00707D75"/>
  </w:style>
  <w:style w:type="character" w:customStyle="1" w:styleId="t490">
    <w:name w:val="t490"/>
    <w:rsid w:val="00707D75"/>
  </w:style>
  <w:style w:type="character" w:customStyle="1" w:styleId="t491">
    <w:name w:val="t491"/>
    <w:rsid w:val="00707D75"/>
  </w:style>
  <w:style w:type="character" w:customStyle="1" w:styleId="t492">
    <w:name w:val="t492"/>
    <w:rsid w:val="00707D75"/>
  </w:style>
  <w:style w:type="character" w:customStyle="1" w:styleId="t508">
    <w:name w:val="t508"/>
    <w:rsid w:val="00707D75"/>
  </w:style>
  <w:style w:type="character" w:customStyle="1" w:styleId="t509">
    <w:name w:val="t509"/>
    <w:rsid w:val="00707D75"/>
  </w:style>
  <w:style w:type="character" w:customStyle="1" w:styleId="t510">
    <w:name w:val="t510"/>
    <w:rsid w:val="00707D75"/>
  </w:style>
  <w:style w:type="character" w:customStyle="1" w:styleId="t511">
    <w:name w:val="t511"/>
    <w:rsid w:val="00707D75"/>
  </w:style>
  <w:style w:type="character" w:customStyle="1" w:styleId="t512">
    <w:name w:val="t512"/>
    <w:rsid w:val="00707D75"/>
  </w:style>
  <w:style w:type="character" w:customStyle="1" w:styleId="t513">
    <w:name w:val="t513"/>
    <w:rsid w:val="00707D75"/>
  </w:style>
  <w:style w:type="character" w:customStyle="1" w:styleId="t514">
    <w:name w:val="t514"/>
    <w:rsid w:val="00707D75"/>
  </w:style>
  <w:style w:type="paragraph" w:customStyle="1" w:styleId="Stilius3">
    <w:name w:val="Stilius3"/>
    <w:basedOn w:val="prastasis"/>
    <w:qFormat/>
    <w:rsid w:val="00707D75"/>
    <w:pPr>
      <w:suppressAutoHyphens w:val="0"/>
      <w:spacing w:before="200"/>
      <w:jc w:val="both"/>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10748</Words>
  <Characters>6127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Dell</cp:lastModifiedBy>
  <cp:revision>3</cp:revision>
  <dcterms:created xsi:type="dcterms:W3CDTF">2025-03-18T15:14:00Z</dcterms:created>
  <dcterms:modified xsi:type="dcterms:W3CDTF">2025-03-19T08:52:00Z</dcterms:modified>
</cp:coreProperties>
</file>