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756"/>
      </w:tblGrid>
      <w:tr w:rsidR="008B1B11" w:rsidRPr="00866F35" w:rsidTr="009B0EAD">
        <w:trPr>
          <w:trHeight w:val="164"/>
        </w:trPr>
        <w:tc>
          <w:tcPr>
            <w:tcW w:w="9667" w:type="dxa"/>
            <w:gridSpan w:val="2"/>
          </w:tcPr>
          <w:p w:rsidR="008B1B11" w:rsidRPr="00866F35" w:rsidRDefault="008B1B11" w:rsidP="009F59F0">
            <w:pPr>
              <w:jc w:val="center"/>
              <w:rPr>
                <w:rFonts w:ascii="Times New Roman" w:hAnsi="Times New Roman" w:cs="Times New Roman"/>
                <w:b/>
                <w:bCs/>
                <w:sz w:val="24"/>
                <w:szCs w:val="24"/>
                <w:lang w:val="lt-LT"/>
              </w:rPr>
            </w:pPr>
            <w:r w:rsidRPr="00866F35">
              <w:rPr>
                <w:rFonts w:ascii="Times New Roman" w:hAnsi="Times New Roman" w:cs="Times New Roman"/>
                <w:b/>
                <w:bCs/>
                <w:sz w:val="24"/>
                <w:szCs w:val="24"/>
                <w:lang w:val="lt-LT"/>
              </w:rPr>
              <w:t>SUSITARIMAS DĖL 2021 M. RUG</w:t>
            </w:r>
            <w:r w:rsidR="00CE5BFC">
              <w:rPr>
                <w:rFonts w:ascii="Times New Roman" w:hAnsi="Times New Roman" w:cs="Times New Roman"/>
                <w:b/>
                <w:bCs/>
                <w:sz w:val="24"/>
                <w:szCs w:val="24"/>
                <w:lang w:val="lt-LT"/>
              </w:rPr>
              <w:t>PJŪČIO</w:t>
            </w:r>
            <w:r w:rsidRPr="00866F35">
              <w:rPr>
                <w:rFonts w:ascii="Times New Roman" w:hAnsi="Times New Roman" w:cs="Times New Roman"/>
                <w:b/>
                <w:bCs/>
                <w:sz w:val="24"/>
                <w:szCs w:val="24"/>
                <w:lang w:val="lt-LT"/>
              </w:rPr>
              <w:t xml:space="preserve"> </w:t>
            </w:r>
            <w:r w:rsidR="00CE5BFC">
              <w:rPr>
                <w:rFonts w:ascii="Times New Roman" w:hAnsi="Times New Roman" w:cs="Times New Roman"/>
                <w:b/>
                <w:bCs/>
                <w:sz w:val="24"/>
                <w:szCs w:val="24"/>
                <w:lang w:val="lt-LT"/>
              </w:rPr>
              <w:t>2</w:t>
            </w:r>
            <w:r w:rsidRPr="00866F35">
              <w:rPr>
                <w:rFonts w:ascii="Times New Roman" w:hAnsi="Times New Roman" w:cs="Times New Roman"/>
                <w:b/>
                <w:bCs/>
                <w:sz w:val="24"/>
                <w:szCs w:val="24"/>
                <w:lang w:val="lt-LT"/>
              </w:rPr>
              <w:t xml:space="preserve"> D.</w:t>
            </w:r>
            <w:r w:rsidR="00261E0D" w:rsidRPr="00866F35">
              <w:rPr>
                <w:sz w:val="24"/>
                <w:szCs w:val="24"/>
                <w:lang w:val="lt-LT"/>
              </w:rPr>
              <w:t xml:space="preserve"> </w:t>
            </w:r>
            <w:r w:rsidR="00261E0D" w:rsidRPr="00866F35">
              <w:rPr>
                <w:rFonts w:ascii="Times New Roman" w:hAnsi="Times New Roman" w:cs="Times New Roman"/>
                <w:b/>
                <w:caps/>
                <w:sz w:val="24"/>
                <w:szCs w:val="24"/>
                <w:lang w:val="lt-LT"/>
              </w:rPr>
              <w:t>prekių viešojo pirkimo pardavimo</w:t>
            </w:r>
            <w:r w:rsidRPr="00866F35">
              <w:rPr>
                <w:rFonts w:ascii="Times New Roman" w:hAnsi="Times New Roman" w:cs="Times New Roman"/>
                <w:b/>
                <w:bCs/>
                <w:sz w:val="24"/>
                <w:szCs w:val="24"/>
                <w:lang w:val="lt-LT"/>
              </w:rPr>
              <w:t xml:space="preserve"> SUTARTIES NR. DPS-</w:t>
            </w:r>
            <w:r w:rsidR="00CE5BFC">
              <w:rPr>
                <w:rFonts w:ascii="Times New Roman" w:hAnsi="Times New Roman" w:cs="Times New Roman"/>
                <w:b/>
                <w:bCs/>
                <w:sz w:val="24"/>
                <w:szCs w:val="24"/>
                <w:lang w:val="lt-LT"/>
              </w:rPr>
              <w:t>330</w:t>
            </w:r>
            <w:r w:rsidRPr="00866F35">
              <w:rPr>
                <w:rFonts w:ascii="Times New Roman" w:hAnsi="Times New Roman" w:cs="Times New Roman"/>
                <w:b/>
                <w:bCs/>
                <w:sz w:val="24"/>
                <w:szCs w:val="24"/>
                <w:lang w:val="lt-LT"/>
              </w:rPr>
              <w:t xml:space="preserve"> PAKEITIMO</w:t>
            </w:r>
          </w:p>
        </w:tc>
      </w:tr>
      <w:tr w:rsidR="008B1B11" w:rsidRPr="00866F35" w:rsidTr="009B0EAD">
        <w:trPr>
          <w:trHeight w:val="215"/>
        </w:trPr>
        <w:tc>
          <w:tcPr>
            <w:tcW w:w="9667" w:type="dxa"/>
            <w:gridSpan w:val="2"/>
          </w:tcPr>
          <w:p w:rsidR="008B1B11" w:rsidRPr="00866F35" w:rsidRDefault="008B1B11" w:rsidP="009F59F0">
            <w:pPr>
              <w:jc w:val="center"/>
              <w:rPr>
                <w:rFonts w:ascii="Times New Roman" w:hAnsi="Times New Roman" w:cs="Times New Roman"/>
                <w:lang w:val="lt-LT"/>
              </w:rPr>
            </w:pPr>
            <w:r w:rsidRPr="00866F35">
              <w:rPr>
                <w:rFonts w:ascii="Times New Roman" w:hAnsi="Times New Roman" w:cs="Times New Roman"/>
                <w:lang w:val="lt-LT"/>
              </w:rPr>
              <w:t xml:space="preserve">2022 m. </w:t>
            </w:r>
            <w:r w:rsidR="00261E0D" w:rsidRPr="00866F35">
              <w:rPr>
                <w:rFonts w:ascii="Times New Roman" w:hAnsi="Times New Roman" w:cs="Times New Roman"/>
                <w:lang w:val="lt-LT"/>
              </w:rPr>
              <w:t xml:space="preserve"> ............................. </w:t>
            </w:r>
            <w:r w:rsidRPr="00866F35">
              <w:rPr>
                <w:rFonts w:ascii="Times New Roman" w:hAnsi="Times New Roman" w:cs="Times New Roman"/>
                <w:lang w:val="lt-LT"/>
              </w:rPr>
              <w:t xml:space="preserve"> d.</w:t>
            </w:r>
            <w:r w:rsidR="00261E0D" w:rsidRPr="00866F35">
              <w:rPr>
                <w:rFonts w:ascii="Times New Roman" w:hAnsi="Times New Roman" w:cs="Times New Roman"/>
                <w:lang w:val="lt-LT"/>
              </w:rPr>
              <w:t xml:space="preserve"> Nr. </w:t>
            </w:r>
          </w:p>
        </w:tc>
      </w:tr>
      <w:tr w:rsidR="008B1B11" w:rsidRPr="00866F35" w:rsidTr="009B0EAD">
        <w:trPr>
          <w:trHeight w:val="357"/>
        </w:trPr>
        <w:tc>
          <w:tcPr>
            <w:tcW w:w="9667" w:type="dxa"/>
            <w:gridSpan w:val="2"/>
          </w:tcPr>
          <w:p w:rsidR="008B1B11" w:rsidRPr="00194B6B" w:rsidRDefault="008B1B11" w:rsidP="009F59F0">
            <w:pPr>
              <w:spacing w:line="240" w:lineRule="auto"/>
              <w:jc w:val="both"/>
              <w:rPr>
                <w:rFonts w:ascii="Times New Roman" w:hAnsi="Times New Roman" w:cs="Times New Roman"/>
                <w:sz w:val="24"/>
                <w:szCs w:val="24"/>
                <w:lang w:val="lt-LT"/>
              </w:rPr>
            </w:pPr>
            <w:r w:rsidRPr="00194B6B">
              <w:rPr>
                <w:rFonts w:ascii="Times New Roman" w:hAnsi="Times New Roman" w:cs="Times New Roman"/>
                <w:sz w:val="24"/>
                <w:szCs w:val="24"/>
                <w:lang w:val="lt-LT"/>
              </w:rPr>
              <w:t xml:space="preserve">Gynybos resursų agentūra prie Krašto apsaugos ministerijos (toliau – </w:t>
            </w:r>
            <w:r w:rsidRPr="00194B6B">
              <w:rPr>
                <w:rFonts w:ascii="Times New Roman" w:hAnsi="Times New Roman" w:cs="Times New Roman"/>
                <w:b/>
                <w:bCs/>
                <w:sz w:val="24"/>
                <w:szCs w:val="24"/>
                <w:lang w:val="lt-LT"/>
              </w:rPr>
              <w:t>GRA</w:t>
            </w:r>
            <w:r w:rsidRPr="00194B6B">
              <w:rPr>
                <w:rFonts w:ascii="Times New Roman" w:hAnsi="Times New Roman" w:cs="Times New Roman"/>
                <w:sz w:val="24"/>
                <w:szCs w:val="24"/>
                <w:lang w:val="lt-LT"/>
              </w:rPr>
              <w:t xml:space="preserve">), atstovaujama </w:t>
            </w:r>
            <w:r w:rsidRPr="00194B6B">
              <w:rPr>
                <w:rFonts w:ascii="Times New Roman" w:hAnsi="Times New Roman" w:cs="Times New Roman"/>
                <w:b/>
                <w:sz w:val="24"/>
                <w:szCs w:val="24"/>
                <w:lang w:val="lt-LT"/>
              </w:rPr>
              <w:t>GRA</w:t>
            </w:r>
            <w:r w:rsidRPr="00194B6B">
              <w:rPr>
                <w:rFonts w:ascii="Times New Roman" w:hAnsi="Times New Roman" w:cs="Times New Roman"/>
                <w:sz w:val="24"/>
                <w:szCs w:val="24"/>
                <w:lang w:val="lt-LT"/>
              </w:rPr>
              <w:t xml:space="preserve"> direktoriaus Sigito </w:t>
            </w:r>
            <w:proofErr w:type="spellStart"/>
            <w:r w:rsidRPr="00194B6B">
              <w:rPr>
                <w:rFonts w:ascii="Times New Roman" w:hAnsi="Times New Roman" w:cs="Times New Roman"/>
                <w:sz w:val="24"/>
                <w:szCs w:val="24"/>
                <w:lang w:val="lt-LT"/>
              </w:rPr>
              <w:t>Dzekunsko</w:t>
            </w:r>
            <w:proofErr w:type="spellEnd"/>
            <w:r w:rsidRPr="00194B6B">
              <w:rPr>
                <w:rFonts w:ascii="Times New Roman" w:hAnsi="Times New Roman" w:cs="Times New Roman"/>
                <w:sz w:val="24"/>
                <w:szCs w:val="24"/>
                <w:lang w:val="lt-LT"/>
              </w:rPr>
              <w:t>, veikiančio pagal</w:t>
            </w:r>
            <w:r w:rsidRPr="00194B6B">
              <w:rPr>
                <w:rFonts w:ascii="Times New Roman" w:hAnsi="Times New Roman" w:cs="Times New Roman"/>
                <w:b/>
                <w:sz w:val="24"/>
                <w:szCs w:val="24"/>
                <w:lang w:val="lt-LT"/>
              </w:rPr>
              <w:t xml:space="preserve"> GRA</w:t>
            </w:r>
            <w:r w:rsidRPr="00194B6B">
              <w:rPr>
                <w:rFonts w:ascii="Times New Roman" w:hAnsi="Times New Roman" w:cs="Times New Roman"/>
                <w:sz w:val="24"/>
                <w:szCs w:val="24"/>
                <w:lang w:val="lt-LT"/>
              </w:rPr>
              <w:t xml:space="preserve"> </w:t>
            </w:r>
            <w:r w:rsidR="003A6B0D" w:rsidRPr="00194B6B">
              <w:rPr>
                <w:rFonts w:ascii="Times New Roman" w:hAnsi="Times New Roman" w:cs="Times New Roman"/>
                <w:sz w:val="24"/>
                <w:szCs w:val="24"/>
                <w:lang w:val="lt-LT"/>
              </w:rPr>
              <w:t>nuostatus</w:t>
            </w:r>
            <w:r w:rsidRPr="00194B6B">
              <w:rPr>
                <w:rFonts w:ascii="Times New Roman" w:hAnsi="Times New Roman" w:cs="Times New Roman"/>
                <w:sz w:val="24"/>
                <w:szCs w:val="24"/>
                <w:lang w:val="lt-LT"/>
              </w:rPr>
              <w:t>, ir</w:t>
            </w:r>
          </w:p>
        </w:tc>
      </w:tr>
      <w:tr w:rsidR="008B1B11" w:rsidRPr="00866F35" w:rsidTr="009B0EAD">
        <w:trPr>
          <w:trHeight w:val="351"/>
        </w:trPr>
        <w:tc>
          <w:tcPr>
            <w:tcW w:w="9667" w:type="dxa"/>
            <w:gridSpan w:val="2"/>
          </w:tcPr>
          <w:p w:rsidR="008B1B11" w:rsidRPr="00194B6B" w:rsidRDefault="00797CF9" w:rsidP="009F59F0">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194B6B" w:rsidRPr="00194B6B">
              <w:rPr>
                <w:rFonts w:ascii="Times New Roman" w:hAnsi="Times New Roman" w:cs="Times New Roman"/>
                <w:sz w:val="24"/>
                <w:szCs w:val="24"/>
                <w:lang w:val="lt-LT"/>
              </w:rPr>
              <w:t>AB „</w:t>
            </w:r>
            <w:proofErr w:type="spellStart"/>
            <w:r w:rsidR="00194B6B" w:rsidRPr="00194B6B">
              <w:rPr>
                <w:rFonts w:ascii="Times New Roman" w:hAnsi="Times New Roman" w:cs="Times New Roman"/>
                <w:sz w:val="24"/>
                <w:szCs w:val="24"/>
                <w:lang w:val="lt-LT"/>
              </w:rPr>
              <w:t>Omniteksas</w:t>
            </w:r>
            <w:proofErr w:type="spellEnd"/>
            <w:r w:rsidR="00194B6B" w:rsidRPr="00194B6B">
              <w:rPr>
                <w:rFonts w:ascii="Times New Roman" w:hAnsi="Times New Roman" w:cs="Times New Roman"/>
                <w:sz w:val="24"/>
                <w:szCs w:val="24"/>
                <w:lang w:val="lt-LT"/>
              </w:rPr>
              <w:t>“</w:t>
            </w:r>
            <w:r w:rsidR="008B1B11" w:rsidRPr="00194B6B">
              <w:rPr>
                <w:rFonts w:ascii="Times New Roman" w:hAnsi="Times New Roman" w:cs="Times New Roman"/>
                <w:sz w:val="24"/>
                <w:szCs w:val="24"/>
                <w:lang w:val="lt-LT"/>
              </w:rPr>
              <w:t xml:space="preserve"> (toliau – </w:t>
            </w:r>
            <w:r w:rsidR="008B1B11" w:rsidRPr="00194B6B">
              <w:rPr>
                <w:rFonts w:ascii="Times New Roman" w:hAnsi="Times New Roman" w:cs="Times New Roman"/>
                <w:b/>
                <w:bCs/>
                <w:sz w:val="24"/>
                <w:szCs w:val="24"/>
                <w:lang w:val="lt-LT"/>
              </w:rPr>
              <w:t>Tiekėjas</w:t>
            </w:r>
            <w:r w:rsidR="00194B6B" w:rsidRPr="00194B6B">
              <w:rPr>
                <w:rFonts w:ascii="Times New Roman" w:hAnsi="Times New Roman" w:cs="Times New Roman"/>
                <w:sz w:val="24"/>
                <w:szCs w:val="24"/>
                <w:lang w:val="lt-LT"/>
              </w:rPr>
              <w:t>), atstovaujama</w:t>
            </w:r>
            <w:r w:rsidR="008B1B11" w:rsidRPr="00194B6B">
              <w:rPr>
                <w:rFonts w:ascii="Times New Roman" w:hAnsi="Times New Roman" w:cs="Times New Roman"/>
                <w:sz w:val="24"/>
                <w:szCs w:val="24"/>
                <w:lang w:val="lt-LT"/>
              </w:rPr>
              <w:t xml:space="preserve"> direktorės </w:t>
            </w:r>
            <w:r w:rsidR="00194B6B" w:rsidRPr="00F231E0">
              <w:rPr>
                <w:rFonts w:ascii="Times New Roman" w:hAnsi="Times New Roman" w:cs="Times New Roman"/>
                <w:sz w:val="24"/>
                <w:szCs w:val="24"/>
                <w:lang w:val="lt-LT"/>
              </w:rPr>
              <w:t xml:space="preserve">Redos </w:t>
            </w:r>
            <w:proofErr w:type="spellStart"/>
            <w:r w:rsidR="00194B6B" w:rsidRPr="00F231E0">
              <w:rPr>
                <w:rFonts w:ascii="Times New Roman" w:hAnsi="Times New Roman" w:cs="Times New Roman"/>
                <w:sz w:val="24"/>
                <w:szCs w:val="24"/>
                <w:lang w:val="lt-LT"/>
              </w:rPr>
              <w:t>Siudikienės</w:t>
            </w:r>
            <w:proofErr w:type="spellEnd"/>
            <w:r w:rsidR="008B1B11" w:rsidRPr="00194B6B">
              <w:rPr>
                <w:rFonts w:ascii="Times New Roman" w:hAnsi="Times New Roman" w:cs="Times New Roman"/>
                <w:sz w:val="24"/>
                <w:szCs w:val="24"/>
                <w:lang w:val="lt-LT"/>
              </w:rPr>
              <w:t>,</w:t>
            </w:r>
            <w:r w:rsidR="00F231E0">
              <w:rPr>
                <w:rFonts w:ascii="Times New Roman" w:hAnsi="Times New Roman" w:cs="Times New Roman"/>
                <w:sz w:val="24"/>
                <w:szCs w:val="24"/>
                <w:lang w:val="lt-LT"/>
              </w:rPr>
              <w:t xml:space="preserve"> </w:t>
            </w:r>
            <w:r w:rsidR="008B1B11" w:rsidRPr="00194B6B">
              <w:rPr>
                <w:rFonts w:ascii="Times New Roman" w:hAnsi="Times New Roman" w:cs="Times New Roman"/>
                <w:sz w:val="24"/>
                <w:szCs w:val="24"/>
                <w:lang w:val="lt-LT"/>
              </w:rPr>
              <w:t>veikiančio</w:t>
            </w:r>
            <w:r w:rsidR="009A5266" w:rsidRPr="00194B6B">
              <w:rPr>
                <w:rFonts w:ascii="Times New Roman" w:hAnsi="Times New Roman" w:cs="Times New Roman"/>
                <w:sz w:val="24"/>
                <w:szCs w:val="24"/>
                <w:lang w:val="lt-LT"/>
              </w:rPr>
              <w:t>s</w:t>
            </w:r>
            <w:r w:rsidR="008B1B11" w:rsidRPr="00194B6B">
              <w:rPr>
                <w:rFonts w:ascii="Times New Roman" w:hAnsi="Times New Roman" w:cs="Times New Roman"/>
                <w:sz w:val="24"/>
                <w:szCs w:val="24"/>
                <w:lang w:val="lt-LT"/>
              </w:rPr>
              <w:t xml:space="preserve"> pagal Bendrovės įstatus,</w:t>
            </w:r>
          </w:p>
        </w:tc>
      </w:tr>
      <w:tr w:rsidR="008B1B11" w:rsidRPr="00866F35" w:rsidTr="009B0EAD">
        <w:trPr>
          <w:trHeight w:val="221"/>
        </w:trPr>
        <w:tc>
          <w:tcPr>
            <w:tcW w:w="9667" w:type="dxa"/>
            <w:gridSpan w:val="2"/>
          </w:tcPr>
          <w:p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 xml:space="preserve">Toliau </w:t>
            </w:r>
            <w:r w:rsidRPr="00DB201F">
              <w:rPr>
                <w:rFonts w:ascii="Times New Roman" w:hAnsi="Times New Roman" w:cs="Times New Roman"/>
                <w:b/>
                <w:sz w:val="24"/>
                <w:szCs w:val="24"/>
                <w:lang w:val="lt-LT"/>
              </w:rPr>
              <w:t>GRA</w:t>
            </w:r>
            <w:r w:rsidRPr="00866F35">
              <w:rPr>
                <w:rFonts w:ascii="Times New Roman" w:hAnsi="Times New Roman" w:cs="Times New Roman"/>
                <w:sz w:val="24"/>
                <w:szCs w:val="24"/>
                <w:lang w:val="lt-LT"/>
              </w:rPr>
              <w:t xml:space="preserve"> ir </w:t>
            </w:r>
            <w:r w:rsidRPr="00DB201F">
              <w:rPr>
                <w:rFonts w:ascii="Times New Roman" w:hAnsi="Times New Roman" w:cs="Times New Roman"/>
                <w:b/>
                <w:sz w:val="24"/>
                <w:szCs w:val="24"/>
                <w:lang w:val="lt-LT"/>
              </w:rPr>
              <w:t>Tiekėjas</w:t>
            </w:r>
            <w:r w:rsidRPr="00866F35">
              <w:rPr>
                <w:rFonts w:ascii="Times New Roman" w:hAnsi="Times New Roman" w:cs="Times New Roman"/>
                <w:sz w:val="24"/>
                <w:szCs w:val="24"/>
                <w:lang w:val="lt-LT"/>
              </w:rPr>
              <w:t xml:space="preserve"> kartu vadinami „Šalimis” arba atskirai „Šalimi”.</w:t>
            </w:r>
          </w:p>
        </w:tc>
      </w:tr>
      <w:tr w:rsidR="008B1B11" w:rsidRPr="00866F35" w:rsidTr="009B0EAD">
        <w:trPr>
          <w:trHeight w:val="221"/>
        </w:trPr>
        <w:tc>
          <w:tcPr>
            <w:tcW w:w="9667" w:type="dxa"/>
            <w:gridSpan w:val="2"/>
          </w:tcPr>
          <w:p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Atsižvelgdamos į tai, kad:</w:t>
            </w:r>
          </w:p>
        </w:tc>
      </w:tr>
      <w:tr w:rsidR="008B1B11" w:rsidRPr="00866F35" w:rsidTr="009B0EAD">
        <w:trPr>
          <w:trHeight w:val="522"/>
        </w:trPr>
        <w:tc>
          <w:tcPr>
            <w:tcW w:w="9667" w:type="dxa"/>
            <w:gridSpan w:val="2"/>
          </w:tcPr>
          <w:p w:rsidR="008B1B11" w:rsidRPr="00866F35" w:rsidRDefault="00194B6B" w:rsidP="009F59F0">
            <w:pPr>
              <w:pStyle w:val="ListParagraph"/>
              <w:numPr>
                <w:ilvl w:val="0"/>
                <w:numId w:val="1"/>
              </w:numPr>
              <w:jc w:val="both"/>
              <w:rPr>
                <w:lang w:val="lt-LT"/>
              </w:rPr>
            </w:pPr>
            <w:r>
              <w:rPr>
                <w:lang w:val="lt-LT"/>
              </w:rPr>
              <w:t>2021 m. rugpjūčio 2</w:t>
            </w:r>
            <w:r w:rsidR="008B1B11" w:rsidRPr="00866F35">
              <w:rPr>
                <w:lang w:val="lt-LT"/>
              </w:rPr>
              <w:t xml:space="preserve"> d. </w:t>
            </w:r>
            <w:r w:rsidR="008B1B11" w:rsidRPr="00DB201F">
              <w:rPr>
                <w:b/>
                <w:lang w:val="lt-LT"/>
              </w:rPr>
              <w:t>Tiekėjas</w:t>
            </w:r>
            <w:r w:rsidR="008B1B11" w:rsidRPr="00866F35">
              <w:rPr>
                <w:lang w:val="lt-LT"/>
              </w:rPr>
              <w:t xml:space="preserve"> ir </w:t>
            </w:r>
            <w:r w:rsidR="008B1B11" w:rsidRPr="00DB201F">
              <w:rPr>
                <w:b/>
                <w:lang w:val="lt-LT"/>
              </w:rPr>
              <w:t>GRA</w:t>
            </w:r>
            <w:r w:rsidR="008B1B11" w:rsidRPr="00866F35">
              <w:rPr>
                <w:lang w:val="lt-LT"/>
              </w:rPr>
              <w:t xml:space="preserve"> sudarė </w:t>
            </w:r>
            <w:r w:rsidR="00F54AA0" w:rsidRPr="00866F35">
              <w:rPr>
                <w:lang w:val="lt-LT"/>
              </w:rPr>
              <w:t xml:space="preserve">prekių viešojo pirkimo pardavimo </w:t>
            </w:r>
            <w:r>
              <w:rPr>
                <w:lang w:val="lt-LT"/>
              </w:rPr>
              <w:t>sutartį Nr. DPS-330</w:t>
            </w:r>
            <w:r w:rsidR="008B1B11" w:rsidRPr="00866F35">
              <w:rPr>
                <w:lang w:val="lt-LT"/>
              </w:rPr>
              <w:t xml:space="preserve"> (toliau – </w:t>
            </w:r>
            <w:r w:rsidR="008B1B11" w:rsidRPr="00866F35">
              <w:rPr>
                <w:b/>
                <w:bCs/>
                <w:lang w:val="lt-LT"/>
              </w:rPr>
              <w:t>Sutartis</w:t>
            </w:r>
            <w:r w:rsidR="008B1B11" w:rsidRPr="00866F35">
              <w:rPr>
                <w:lang w:val="lt-LT"/>
              </w:rPr>
              <w:t xml:space="preserve">) dėl </w:t>
            </w:r>
            <w:proofErr w:type="spellStart"/>
            <w:r>
              <w:rPr>
                <w:b/>
              </w:rPr>
              <w:t>kostiumų</w:t>
            </w:r>
            <w:proofErr w:type="spellEnd"/>
            <w:r>
              <w:rPr>
                <w:b/>
              </w:rPr>
              <w:t xml:space="preserve"> </w:t>
            </w:r>
            <w:proofErr w:type="spellStart"/>
            <w:r>
              <w:rPr>
                <w:b/>
              </w:rPr>
              <w:t>sportinių</w:t>
            </w:r>
            <w:proofErr w:type="spellEnd"/>
            <w:r w:rsidR="00804C30">
              <w:rPr>
                <w:b/>
              </w:rPr>
              <w:t xml:space="preserve"> (</w:t>
            </w:r>
            <w:proofErr w:type="spellStart"/>
            <w:r w:rsidR="00804C30">
              <w:rPr>
                <w:b/>
              </w:rPr>
              <w:t>džemperių</w:t>
            </w:r>
            <w:proofErr w:type="spellEnd"/>
            <w:r w:rsidR="00804C30">
              <w:rPr>
                <w:b/>
              </w:rPr>
              <w:t xml:space="preserve"> ir </w:t>
            </w:r>
            <w:proofErr w:type="spellStart"/>
            <w:r w:rsidR="00804C30">
              <w:rPr>
                <w:b/>
              </w:rPr>
              <w:t>kelnių</w:t>
            </w:r>
            <w:proofErr w:type="spellEnd"/>
            <w:r>
              <w:rPr>
                <w:b/>
              </w:rPr>
              <w:t xml:space="preserve">) </w:t>
            </w:r>
            <w:r w:rsidR="009A5266">
              <w:rPr>
                <w:lang w:val="lt-LT"/>
              </w:rPr>
              <w:t>(toliau – prekės)</w:t>
            </w:r>
            <w:r w:rsidR="00DB201F">
              <w:rPr>
                <w:lang w:val="lt-LT"/>
              </w:rPr>
              <w:t xml:space="preserve"> </w:t>
            </w:r>
            <w:r w:rsidR="008B1B11" w:rsidRPr="00866F35">
              <w:rPr>
                <w:lang w:val="lt-LT"/>
              </w:rPr>
              <w:t>pardavimo ir pristatymo;</w:t>
            </w:r>
          </w:p>
        </w:tc>
      </w:tr>
      <w:tr w:rsidR="008B1B11" w:rsidRPr="00866F35" w:rsidTr="009B0EAD">
        <w:trPr>
          <w:trHeight w:val="522"/>
        </w:trPr>
        <w:tc>
          <w:tcPr>
            <w:tcW w:w="9667" w:type="dxa"/>
            <w:gridSpan w:val="2"/>
          </w:tcPr>
          <w:p w:rsidR="008B1B11" w:rsidRPr="00866F35" w:rsidRDefault="008B1B11" w:rsidP="009F59F0">
            <w:pPr>
              <w:pStyle w:val="ListParagraph"/>
              <w:numPr>
                <w:ilvl w:val="0"/>
                <w:numId w:val="1"/>
              </w:numPr>
              <w:jc w:val="both"/>
              <w:rPr>
                <w:lang w:val="lt-LT"/>
              </w:rPr>
            </w:pPr>
            <w:r w:rsidRPr="00866F35">
              <w:rPr>
                <w:lang w:val="lt-LT"/>
              </w:rPr>
              <w:t>Sutarties speciali</w:t>
            </w:r>
            <w:r w:rsidR="00261E0D" w:rsidRPr="00866F35">
              <w:rPr>
                <w:lang w:val="lt-LT"/>
              </w:rPr>
              <w:t xml:space="preserve">osios </w:t>
            </w:r>
            <w:r w:rsidR="00F54AA0" w:rsidRPr="00866F35">
              <w:rPr>
                <w:lang w:val="lt-LT"/>
              </w:rPr>
              <w:t xml:space="preserve">dalies </w:t>
            </w:r>
            <w:r w:rsidR="00804C30">
              <w:rPr>
                <w:lang w:val="lt-LT"/>
              </w:rPr>
              <w:t>2.2</w:t>
            </w:r>
            <w:r w:rsidRPr="00866F35">
              <w:rPr>
                <w:lang w:val="lt-LT"/>
              </w:rPr>
              <w:t xml:space="preserve"> ir bend</w:t>
            </w:r>
            <w:r w:rsidR="00F54AA0" w:rsidRPr="00866F35">
              <w:rPr>
                <w:lang w:val="lt-LT"/>
              </w:rPr>
              <w:t xml:space="preserve">rosios dalies </w:t>
            </w:r>
            <w:r w:rsidR="00804C30">
              <w:rPr>
                <w:lang w:val="lt-LT"/>
              </w:rPr>
              <w:t xml:space="preserve">2.2 </w:t>
            </w:r>
            <w:r w:rsidR="00DB201F">
              <w:rPr>
                <w:lang w:val="lt-LT"/>
              </w:rPr>
              <w:t>papunkčiais</w:t>
            </w:r>
            <w:r w:rsidRPr="00866F35">
              <w:rPr>
                <w:lang w:val="lt-LT"/>
              </w:rPr>
              <w:t xml:space="preserve"> Šalys susitarė, kad Sutarčiai yra taikoma fiksuoto įkainio su peržiūra kainodara ir numatė, kad Sutartyje nustatyti įkainiai yra peržiūrimi tik dėl PVM</w:t>
            </w:r>
            <w:r w:rsidR="00F54AA0" w:rsidRPr="00866F35">
              <w:rPr>
                <w:lang w:val="lt-LT"/>
              </w:rPr>
              <w:t xml:space="preserve">/akcizų tarifo </w:t>
            </w:r>
            <w:r w:rsidRPr="00866F35">
              <w:rPr>
                <w:lang w:val="lt-LT"/>
              </w:rPr>
              <w:t>pasikeitimo;</w:t>
            </w:r>
          </w:p>
        </w:tc>
      </w:tr>
      <w:tr w:rsidR="008B1B11" w:rsidRPr="00866F35" w:rsidTr="009B0EAD">
        <w:trPr>
          <w:trHeight w:val="522"/>
        </w:trPr>
        <w:tc>
          <w:tcPr>
            <w:tcW w:w="9667" w:type="dxa"/>
            <w:gridSpan w:val="2"/>
          </w:tcPr>
          <w:p w:rsidR="008B1B11" w:rsidRPr="00866F35" w:rsidRDefault="008B1B11" w:rsidP="007E67D8">
            <w:pPr>
              <w:pStyle w:val="ListParagraph"/>
              <w:numPr>
                <w:ilvl w:val="0"/>
                <w:numId w:val="1"/>
              </w:numPr>
              <w:jc w:val="both"/>
              <w:rPr>
                <w:lang w:val="lt-LT"/>
              </w:rPr>
            </w:pPr>
            <w:r w:rsidRPr="00866F35">
              <w:rPr>
                <w:lang w:val="lt-LT"/>
              </w:rPr>
              <w:t>Sutarties bendr</w:t>
            </w:r>
            <w:r w:rsidR="00F54AA0" w:rsidRPr="00866F35">
              <w:rPr>
                <w:lang w:val="lt-LT"/>
              </w:rPr>
              <w:t xml:space="preserve">osios dalies </w:t>
            </w:r>
            <w:r w:rsidRPr="00866F35">
              <w:rPr>
                <w:lang w:val="lt-LT"/>
              </w:rPr>
              <w:t>12.6 p</w:t>
            </w:r>
            <w:r w:rsidR="00DB201F">
              <w:rPr>
                <w:lang w:val="lt-LT"/>
              </w:rPr>
              <w:t>unktas</w:t>
            </w:r>
            <w:r w:rsidRPr="00866F35">
              <w:rPr>
                <w:lang w:val="lt-LT"/>
              </w:rPr>
              <w:t xml:space="preserve"> numato, kad Sutarties sąlygos Sutarties galiojimo laikotarpiu gali būti keičiamos vadovaujantis </w:t>
            </w:r>
            <w:r w:rsidR="007E67D8" w:rsidRPr="00866F35">
              <w:rPr>
                <w:lang w:val="lt-LT"/>
              </w:rPr>
              <w:t>Lietuvos Respublikos v</w:t>
            </w:r>
            <w:r w:rsidR="00261E0D" w:rsidRPr="00866F35">
              <w:rPr>
                <w:lang w:val="lt-LT"/>
              </w:rPr>
              <w:t xml:space="preserve">iešųjų pirkimų įstatymo </w:t>
            </w:r>
            <w:r w:rsidRPr="00866F35">
              <w:rPr>
                <w:lang w:val="lt-LT"/>
              </w:rPr>
              <w:t>89 str</w:t>
            </w:r>
            <w:r w:rsidR="00261E0D" w:rsidRPr="00866F35">
              <w:rPr>
                <w:lang w:val="lt-LT"/>
              </w:rPr>
              <w:t>aipsnio</w:t>
            </w:r>
            <w:r w:rsidR="007E67D8" w:rsidRPr="00866F35">
              <w:rPr>
                <w:lang w:val="lt-LT"/>
              </w:rPr>
              <w:t xml:space="preserve"> (toliau – VPĮ 89 str.) </w:t>
            </w:r>
            <w:r w:rsidR="00261E0D" w:rsidRPr="00866F35">
              <w:rPr>
                <w:lang w:val="lt-LT"/>
              </w:rPr>
              <w:t xml:space="preserve"> </w:t>
            </w:r>
            <w:r w:rsidRPr="00866F35">
              <w:rPr>
                <w:lang w:val="lt-LT"/>
              </w:rPr>
              <w:t>nuostatomis;</w:t>
            </w:r>
          </w:p>
        </w:tc>
      </w:tr>
      <w:tr w:rsidR="008B1B11" w:rsidRPr="00866F35" w:rsidTr="009B0EAD">
        <w:trPr>
          <w:trHeight w:val="1038"/>
        </w:trPr>
        <w:tc>
          <w:tcPr>
            <w:tcW w:w="9667" w:type="dxa"/>
            <w:gridSpan w:val="2"/>
          </w:tcPr>
          <w:p w:rsidR="008B1B11" w:rsidRPr="00866F35" w:rsidRDefault="008B1B11" w:rsidP="00357A25">
            <w:pPr>
              <w:pStyle w:val="ListParagraph"/>
              <w:numPr>
                <w:ilvl w:val="0"/>
                <w:numId w:val="1"/>
              </w:numPr>
              <w:jc w:val="both"/>
              <w:rPr>
                <w:lang w:val="lt-LT"/>
              </w:rPr>
            </w:pPr>
            <w:r w:rsidRPr="00866F35">
              <w:rPr>
                <w:lang w:val="lt-LT"/>
              </w:rPr>
              <w:t>VPĮ 89 str. 1 d</w:t>
            </w:r>
            <w:r w:rsidR="007E67D8" w:rsidRPr="00866F35">
              <w:rPr>
                <w:lang w:val="lt-LT"/>
              </w:rPr>
              <w:t>alies</w:t>
            </w:r>
            <w:r w:rsidRPr="00866F35">
              <w:rPr>
                <w:lang w:val="lt-LT"/>
              </w:rPr>
              <w:t xml:space="preserve"> 3 p</w:t>
            </w:r>
            <w:r w:rsidR="007E67D8" w:rsidRPr="00866F35">
              <w:rPr>
                <w:lang w:val="lt-LT"/>
              </w:rPr>
              <w:t>unktas (toliau – VPĮ 89 str. 1 d. 3</w:t>
            </w:r>
            <w:r w:rsidR="009A5266">
              <w:rPr>
                <w:lang w:val="lt-LT"/>
              </w:rPr>
              <w:t xml:space="preserve"> </w:t>
            </w:r>
            <w:r w:rsidR="007E67D8" w:rsidRPr="00866F35">
              <w:rPr>
                <w:lang w:val="lt-LT"/>
              </w:rPr>
              <w:t>p.)</w:t>
            </w:r>
            <w:r w:rsidRPr="00866F35">
              <w:rPr>
                <w:lang w:val="lt-LT"/>
              </w:rPr>
              <w:t xml:space="preserve"> numato, jog sutartis ar preliminarioji sutartis gali būti keičiama </w:t>
            </w:r>
            <w:r w:rsidRPr="00866F35">
              <w:rPr>
                <w:i/>
                <w:iCs/>
                <w:lang w:val="lt-LT"/>
              </w:rPr>
              <w:t xml:space="preserve">„kai pakeitimo </w:t>
            </w:r>
            <w:r w:rsidR="00357A25">
              <w:rPr>
                <w:i/>
                <w:iCs/>
                <w:lang w:val="lt-LT"/>
              </w:rPr>
              <w:t>poreikis</w:t>
            </w:r>
            <w:r w:rsidRPr="00866F35">
              <w:rPr>
                <w:i/>
                <w:iCs/>
                <w:lang w:val="lt-LT"/>
              </w:rPr>
              <w:t xml:space="preserve"> atsirado dėl aplinkybių, kurių protinga ir apdairi perkančioji organizacija negalėjo numatyti, ir kai kartu yra </w:t>
            </w:r>
            <w:r w:rsidR="00357A25">
              <w:rPr>
                <w:i/>
                <w:iCs/>
                <w:lang w:val="lt-LT"/>
              </w:rPr>
              <w:t>visos šios sąlygos: a) pakeitimas</w:t>
            </w:r>
            <w:r w:rsidRPr="00866F35">
              <w:rPr>
                <w:i/>
                <w:iCs/>
                <w:lang w:val="lt-LT"/>
              </w:rPr>
              <w:t xml:space="preserve"> iš esmės nepakeičia pirkimo sutarties ar preliminariosios sutarties pobūdžio; b) atskiro pakeitimo vertė neviršija 50 procentų, o bendra atskirų pakeitimų pagal šį punktą vertė – 100 procentų pradinės pirkimo sutarties ar pre</w:t>
            </w:r>
            <w:r w:rsidR="003A6B0D">
              <w:rPr>
                <w:i/>
                <w:iCs/>
                <w:lang w:val="lt-LT"/>
              </w:rPr>
              <w:t>liminariosios sutarties vertės“;</w:t>
            </w:r>
          </w:p>
        </w:tc>
      </w:tr>
      <w:tr w:rsidR="008B1B11" w:rsidRPr="00866F35" w:rsidTr="009B0EAD">
        <w:trPr>
          <w:trHeight w:val="1038"/>
        </w:trPr>
        <w:tc>
          <w:tcPr>
            <w:tcW w:w="9667" w:type="dxa"/>
            <w:gridSpan w:val="2"/>
          </w:tcPr>
          <w:p w:rsidR="008B1B11" w:rsidRPr="00804C30" w:rsidRDefault="00804C30" w:rsidP="00445198">
            <w:pPr>
              <w:pStyle w:val="ListParagraph"/>
              <w:numPr>
                <w:ilvl w:val="0"/>
                <w:numId w:val="1"/>
              </w:numPr>
              <w:jc w:val="both"/>
              <w:rPr>
                <w:lang w:val="lt-LT"/>
              </w:rPr>
            </w:pPr>
            <w:r w:rsidRPr="00804C30">
              <w:rPr>
                <w:lang w:val="lt-LT"/>
              </w:rPr>
              <w:t xml:space="preserve">2022 m.  gegužės 9 </w:t>
            </w:r>
            <w:r w:rsidR="008B1B11" w:rsidRPr="00804C30">
              <w:rPr>
                <w:lang w:val="lt-LT"/>
              </w:rPr>
              <w:t xml:space="preserve">d. raštu (toliau – </w:t>
            </w:r>
            <w:r w:rsidR="008B1B11" w:rsidRPr="00804C30">
              <w:rPr>
                <w:bCs/>
                <w:lang w:val="lt-LT"/>
              </w:rPr>
              <w:t>Raštas</w:t>
            </w:r>
            <w:r w:rsidR="008B1B11" w:rsidRPr="00804C30">
              <w:rPr>
                <w:lang w:val="lt-LT"/>
              </w:rPr>
              <w:t xml:space="preserve">, </w:t>
            </w:r>
            <w:r w:rsidR="00445198">
              <w:rPr>
                <w:lang w:val="lt-LT"/>
              </w:rPr>
              <w:t>registracijos Nr. G-590</w:t>
            </w:r>
            <w:r w:rsidR="008B1B11" w:rsidRPr="00804C30">
              <w:rPr>
                <w:lang w:val="lt-LT"/>
              </w:rPr>
              <w:t xml:space="preserve">) </w:t>
            </w:r>
            <w:r w:rsidR="008B1B11" w:rsidRPr="00804C30">
              <w:rPr>
                <w:b/>
                <w:lang w:val="lt-LT"/>
              </w:rPr>
              <w:t>Tiekėjas</w:t>
            </w:r>
            <w:r w:rsidR="008B1B11" w:rsidRPr="00804C30">
              <w:rPr>
                <w:lang w:val="lt-LT"/>
              </w:rPr>
              <w:t xml:space="preserve"> kreipėsi į </w:t>
            </w:r>
            <w:r w:rsidR="008B1B11" w:rsidRPr="00804C30">
              <w:rPr>
                <w:b/>
                <w:lang w:val="lt-LT"/>
              </w:rPr>
              <w:t>GRA</w:t>
            </w:r>
            <w:r w:rsidR="008B1B11" w:rsidRPr="00804C30">
              <w:rPr>
                <w:lang w:val="lt-LT"/>
              </w:rPr>
              <w:t xml:space="preserve"> informuodamas, kad </w:t>
            </w:r>
            <w:r w:rsidRPr="00804C30">
              <w:rPr>
                <w:lang w:val="lt-LT"/>
              </w:rPr>
              <w:t>dėl ekstremaliai didelio energetinių resursų kainų augimo, kuris turi tiesioginę įtaką medžiagų ir gaminių gamybai, taip pat dėl žaliavų bei cheminių medžiagų kainų bei tiesioginių darbo kaštų (sukirpimo, siuvimo, marginimo ir pakavimo) augimo įmonė susidūrė su sunkumais vykdant sutartį, todėl prašo padidinti Sutartyse nustatytus prekės įkainius 14,3-17,2 proc. Tiekėjas pateikė gamybos kaštų augimą patvirtinančius dokumentus.</w:t>
            </w:r>
          </w:p>
        </w:tc>
      </w:tr>
      <w:tr w:rsidR="008B1B11" w:rsidRPr="00866F35" w:rsidTr="009B0EAD">
        <w:trPr>
          <w:trHeight w:val="783"/>
        </w:trPr>
        <w:tc>
          <w:tcPr>
            <w:tcW w:w="9667" w:type="dxa"/>
            <w:gridSpan w:val="2"/>
          </w:tcPr>
          <w:p w:rsidR="008B1B11" w:rsidRPr="00866F35" w:rsidRDefault="008B1B11" w:rsidP="00207F78">
            <w:pPr>
              <w:pStyle w:val="ListParagraph"/>
              <w:numPr>
                <w:ilvl w:val="0"/>
                <w:numId w:val="1"/>
              </w:numPr>
              <w:jc w:val="both"/>
              <w:rPr>
                <w:lang w:val="lt-LT"/>
              </w:rPr>
            </w:pPr>
            <w:r w:rsidRPr="00866F35">
              <w:rPr>
                <w:lang w:val="lt-LT"/>
              </w:rPr>
              <w:t xml:space="preserve">Įvertinusi Rašte </w:t>
            </w:r>
            <w:r w:rsidRPr="00606B59">
              <w:rPr>
                <w:b/>
                <w:lang w:val="lt-LT"/>
              </w:rPr>
              <w:t>Tiekėjo</w:t>
            </w:r>
            <w:r w:rsidRPr="00866F35">
              <w:rPr>
                <w:lang w:val="lt-LT"/>
              </w:rPr>
              <w:t xml:space="preserve"> pateiktus argumentus bei atsižvelgdama į tai, kad neįprastą situaciją rinkoje bei poreikį jau sudarytose sutartyse numatyti kainos peržiūros mec</w:t>
            </w:r>
            <w:r w:rsidR="00804C30">
              <w:rPr>
                <w:lang w:val="lt-LT"/>
              </w:rPr>
              <w:t xml:space="preserve">hanizmą pripažįsta </w:t>
            </w:r>
            <w:r w:rsidRPr="00866F35">
              <w:rPr>
                <w:lang w:val="lt-LT"/>
              </w:rPr>
              <w:t>Viešųjų pirkimų tarnyba</w:t>
            </w:r>
            <w:r w:rsidRPr="00866F35">
              <w:rPr>
                <w:rStyle w:val="FootnoteReference"/>
                <w:lang w:val="lt-LT"/>
              </w:rPr>
              <w:footnoteReference w:id="1"/>
            </w:r>
            <w:r w:rsidRPr="00866F35">
              <w:rPr>
                <w:lang w:val="lt-LT"/>
              </w:rPr>
              <w:t xml:space="preserve">, </w:t>
            </w:r>
            <w:r w:rsidRPr="00606B59">
              <w:rPr>
                <w:b/>
                <w:lang w:val="lt-LT"/>
              </w:rPr>
              <w:t>GRA</w:t>
            </w:r>
            <w:r w:rsidRPr="00866F35">
              <w:rPr>
                <w:lang w:val="lt-LT"/>
              </w:rPr>
              <w:t xml:space="preserve"> priėmė sprendimą, kad Tiekėjo nurodytos aplinkybės dėl beprecedenčio kainų augimo gali būti pripažįstamos nenumatytomis aplinkybėmis VPĮ 89 str. 1 d. 3 p. prasme ir dėl to yra objektyvus pagrindas </w:t>
            </w:r>
            <w:r w:rsidR="00F20F0A" w:rsidRPr="00866F35">
              <w:rPr>
                <w:lang w:val="lt-LT"/>
              </w:rPr>
              <w:t>nustatyti papildomas įkainių peržiūros taisykles</w:t>
            </w:r>
            <w:r w:rsidR="007E67D8" w:rsidRPr="00866F35">
              <w:rPr>
                <w:lang w:val="lt-LT"/>
              </w:rPr>
              <w:t>,</w:t>
            </w:r>
            <w:r w:rsidR="00F20F0A" w:rsidRPr="00866F35">
              <w:rPr>
                <w:lang w:val="lt-LT"/>
              </w:rPr>
              <w:t xml:space="preserve"> taikant įkainių indeksavimą</w:t>
            </w:r>
            <w:r w:rsidRPr="00866F35">
              <w:rPr>
                <w:lang w:val="lt-LT"/>
              </w:rPr>
              <w:t xml:space="preserve">, </w:t>
            </w:r>
            <w:r w:rsidR="00E365D8">
              <w:rPr>
                <w:lang w:val="lt-LT"/>
              </w:rPr>
              <w:t>kad jie</w:t>
            </w:r>
            <w:r w:rsidRPr="00866F35">
              <w:rPr>
                <w:lang w:val="lt-LT"/>
              </w:rPr>
              <w:t xml:space="preserve"> atitiktų rinkos </w:t>
            </w:r>
            <w:proofErr w:type="spellStart"/>
            <w:r w:rsidRPr="00866F35">
              <w:rPr>
                <w:lang w:val="lt-LT"/>
              </w:rPr>
              <w:t>pasikeitimus</w:t>
            </w:r>
            <w:proofErr w:type="spellEnd"/>
            <w:r w:rsidRPr="00866F35">
              <w:rPr>
                <w:lang w:val="lt-LT"/>
              </w:rPr>
              <w:t xml:space="preserve">, o Sutarties vykdymas </w:t>
            </w:r>
            <w:r w:rsidRPr="00606B59">
              <w:rPr>
                <w:b/>
                <w:lang w:val="lt-LT"/>
              </w:rPr>
              <w:t>Tiekėjui</w:t>
            </w:r>
            <w:r w:rsidRPr="00866F35">
              <w:rPr>
                <w:lang w:val="lt-LT"/>
              </w:rPr>
              <w:t xml:space="preserve"> netaptų nerentabiliu ir visiškai nuostolingu; </w:t>
            </w:r>
          </w:p>
        </w:tc>
      </w:tr>
      <w:tr w:rsidR="008B1B11" w:rsidRPr="00866F35" w:rsidTr="009B0EAD">
        <w:trPr>
          <w:trHeight w:val="1301"/>
        </w:trPr>
        <w:tc>
          <w:tcPr>
            <w:tcW w:w="9667" w:type="dxa"/>
            <w:gridSpan w:val="2"/>
          </w:tcPr>
          <w:p w:rsidR="008B1B11" w:rsidRPr="00866F35" w:rsidRDefault="00EE2B87" w:rsidP="00207F78">
            <w:pPr>
              <w:pStyle w:val="ListParagraph"/>
              <w:numPr>
                <w:ilvl w:val="0"/>
                <w:numId w:val="1"/>
              </w:numPr>
              <w:jc w:val="both"/>
              <w:rPr>
                <w:lang w:val="lt-LT"/>
              </w:rPr>
            </w:pPr>
            <w:r>
              <w:rPr>
                <w:lang w:val="lt-LT"/>
              </w:rPr>
              <w:lastRenderedPageBreak/>
              <w:t>s</w:t>
            </w:r>
            <w:r w:rsidR="008B1B11" w:rsidRPr="00EE2B87">
              <w:rPr>
                <w:lang w:val="lt-LT"/>
              </w:rPr>
              <w:t>prendžiant dėl racionaliausio Sutarties į</w:t>
            </w:r>
            <w:r w:rsidR="008F3961" w:rsidRPr="00EE2B87">
              <w:rPr>
                <w:lang w:val="lt-LT"/>
              </w:rPr>
              <w:t xml:space="preserve">kainių peržiūros mechanizmo </w:t>
            </w:r>
            <w:r>
              <w:rPr>
                <w:lang w:val="lt-LT"/>
              </w:rPr>
              <w:t>Šalys vertina</w:t>
            </w:r>
            <w:r w:rsidR="008B1B11" w:rsidRPr="00EE2B87">
              <w:rPr>
                <w:lang w:val="lt-LT"/>
              </w:rPr>
              <w:t xml:space="preserve">, kad </w:t>
            </w:r>
            <w:r>
              <w:rPr>
                <w:lang w:val="lt-LT"/>
              </w:rPr>
              <w:t>šalių pusiausv</w:t>
            </w:r>
            <w:r w:rsidR="00207F78">
              <w:rPr>
                <w:lang w:val="lt-LT"/>
              </w:rPr>
              <w:t>y</w:t>
            </w:r>
            <w:r>
              <w:rPr>
                <w:lang w:val="lt-LT"/>
              </w:rPr>
              <w:t>rą i</w:t>
            </w:r>
            <w:r w:rsidR="008B1B11" w:rsidRPr="00EE2B87">
              <w:rPr>
                <w:lang w:val="lt-LT"/>
              </w:rPr>
              <w:t>r viešųjų pirkimų principus geriausiai užtikrintų susitarimas, kad Sutartyje nustatyti įkainiai likusiu Sutarties vykdymo laikotarpiu turėtų būti peržiūrimi atsižvelgiant į Lietuvos statistikos departamento viešai skelbiamus duomenis</w:t>
            </w:r>
            <w:r w:rsidR="008B1B11" w:rsidRPr="00EE2B87">
              <w:rPr>
                <w:rStyle w:val="FootnoteReference"/>
                <w:lang w:val="lt-LT"/>
              </w:rPr>
              <w:footnoteReference w:id="2"/>
            </w:r>
            <w:r w:rsidR="008B1B11" w:rsidRPr="00EE2B87">
              <w:rPr>
                <w:lang w:val="lt-LT"/>
              </w:rPr>
              <w:t xml:space="preserve"> apie gamintojų Lietuvos rinkoje parduotos pramonės produkcijos kainų indeksą. Sutarties objektą sudaranči</w:t>
            </w:r>
            <w:r>
              <w:rPr>
                <w:lang w:val="lt-LT"/>
              </w:rPr>
              <w:t xml:space="preserve">os Prekės yra </w:t>
            </w:r>
            <w:r w:rsidR="008B1B11" w:rsidRPr="00EE2B87">
              <w:rPr>
                <w:lang w:val="lt-LT"/>
              </w:rPr>
              <w:t xml:space="preserve">gaminamos pagal GRA užsakymą ir parduodamos GRA Lietuvos rinkoje. Todėl nurodyti Lietuvos statistikos departamento viešai skelbiami gamintojų Lietuvos rinkoje parduotos pramonės produkcijos kainų </w:t>
            </w:r>
            <w:r w:rsidR="007D1860" w:rsidRPr="00EE2B87">
              <w:rPr>
                <w:lang w:val="lt-LT"/>
              </w:rPr>
              <w:t xml:space="preserve">indeksai </w:t>
            </w:r>
            <w:r w:rsidR="008B1B11" w:rsidRPr="00EE2B87">
              <w:rPr>
                <w:lang w:val="lt-LT"/>
              </w:rPr>
              <w:t>labiausiai atitinka Sutarties objektą</w:t>
            </w:r>
            <w:r w:rsidR="008B1B11" w:rsidRPr="00866F35">
              <w:rPr>
                <w:lang w:val="lt-LT"/>
              </w:rPr>
              <w:t>;</w:t>
            </w:r>
          </w:p>
        </w:tc>
      </w:tr>
      <w:tr w:rsidR="008B1B11" w:rsidRPr="00866F35" w:rsidTr="009B0EAD">
        <w:trPr>
          <w:trHeight w:val="391"/>
        </w:trPr>
        <w:tc>
          <w:tcPr>
            <w:tcW w:w="9667" w:type="dxa"/>
            <w:gridSpan w:val="2"/>
          </w:tcPr>
          <w:p w:rsidR="008B1B11" w:rsidRPr="00866F35" w:rsidRDefault="008B1B11" w:rsidP="009F59F0">
            <w:pPr>
              <w:pStyle w:val="ListParagraph"/>
              <w:numPr>
                <w:ilvl w:val="0"/>
                <w:numId w:val="1"/>
              </w:numPr>
              <w:jc w:val="both"/>
              <w:rPr>
                <w:lang w:val="lt-LT"/>
              </w:rPr>
            </w:pPr>
            <w:r w:rsidRPr="00866F35">
              <w:rPr>
                <w:lang w:val="lt-LT"/>
              </w:rPr>
              <w:t>Sutarties pakeitimai turi būti įforminti atskiru Šalių susitarimu, kuris taps neatskiriama Sutarties dalimi,</w:t>
            </w:r>
          </w:p>
        </w:tc>
      </w:tr>
      <w:tr w:rsidR="008B1B11" w:rsidRPr="00866F35" w:rsidTr="009B0EAD">
        <w:trPr>
          <w:trHeight w:val="351"/>
        </w:trPr>
        <w:tc>
          <w:tcPr>
            <w:tcW w:w="9667" w:type="dxa"/>
            <w:gridSpan w:val="2"/>
          </w:tcPr>
          <w:p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 xml:space="preserve">Šalys sudaro šį susitarimą (toliau – </w:t>
            </w:r>
            <w:r w:rsidRPr="00866F35">
              <w:rPr>
                <w:rFonts w:ascii="Times New Roman" w:hAnsi="Times New Roman" w:cs="Times New Roman"/>
                <w:b/>
                <w:bCs/>
                <w:sz w:val="24"/>
                <w:szCs w:val="24"/>
                <w:lang w:val="lt-LT"/>
              </w:rPr>
              <w:t>Susitarimas</w:t>
            </w:r>
            <w:r w:rsidRPr="00866F35">
              <w:rPr>
                <w:rFonts w:ascii="Times New Roman" w:hAnsi="Times New Roman" w:cs="Times New Roman"/>
                <w:sz w:val="24"/>
                <w:szCs w:val="24"/>
                <w:lang w:val="lt-LT"/>
              </w:rPr>
              <w:t>), kuriuo susitaria dėl toliau nurodytų Sutarties pakeitimų:</w:t>
            </w:r>
          </w:p>
        </w:tc>
      </w:tr>
      <w:tr w:rsidR="008B1B11" w:rsidRPr="00866F35" w:rsidTr="009B0EAD">
        <w:trPr>
          <w:trHeight w:val="3840"/>
        </w:trPr>
        <w:tc>
          <w:tcPr>
            <w:tcW w:w="9667" w:type="dxa"/>
            <w:gridSpan w:val="2"/>
          </w:tcPr>
          <w:p w:rsidR="008B1B11" w:rsidRPr="00866F35" w:rsidRDefault="008B1B11" w:rsidP="009F59F0">
            <w:pPr>
              <w:pStyle w:val="ListParagraph"/>
              <w:numPr>
                <w:ilvl w:val="0"/>
                <w:numId w:val="2"/>
              </w:numPr>
              <w:jc w:val="both"/>
              <w:rPr>
                <w:lang w:val="lt-LT"/>
              </w:rPr>
            </w:pPr>
            <w:r w:rsidRPr="00866F35">
              <w:rPr>
                <w:lang w:val="lt-LT"/>
              </w:rPr>
              <w:t>Pakeisti Sutarties bendr</w:t>
            </w:r>
            <w:r w:rsidR="007D1860" w:rsidRPr="00866F35">
              <w:rPr>
                <w:lang w:val="lt-LT"/>
              </w:rPr>
              <w:t xml:space="preserve">osios dalies </w:t>
            </w:r>
            <w:r w:rsidRPr="00866F35">
              <w:rPr>
                <w:lang w:val="lt-LT"/>
              </w:rPr>
              <w:t>2.2 p. išdėstant jį tokia tvarka:</w:t>
            </w:r>
          </w:p>
          <w:p w:rsidR="00162907" w:rsidRDefault="00541D49" w:rsidP="00541D49">
            <w:pPr>
              <w:spacing w:after="120" w:line="240" w:lineRule="auto"/>
              <w:jc w:val="both"/>
              <w:rPr>
                <w:rFonts w:ascii="Times New Roman" w:hAnsi="Times New Roman" w:cs="Times New Roman"/>
                <w:bCs/>
                <w:i/>
                <w:iCs/>
                <w:sz w:val="24"/>
                <w:szCs w:val="24"/>
                <w:lang w:val="lt-LT"/>
              </w:rPr>
            </w:pPr>
            <w:r>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2.2. Sutarties kaina/įkainiai yra pastovūs ir nekeičiami visą Sutarties galiojimo laikotarpį, išskyrus atvejus, kai po Sutarties pasirašymo keičiasi prekėms taikomo PVM/akcizų</w:t>
            </w:r>
            <w:r w:rsidR="00E76CC9" w:rsidRPr="00866F35">
              <w:rPr>
                <w:rFonts w:ascii="Times New Roman" w:hAnsi="Times New Roman" w:cs="Times New Roman"/>
                <w:i/>
                <w:iCs/>
                <w:sz w:val="24"/>
                <w:szCs w:val="24"/>
                <w:lang w:val="lt-LT"/>
              </w:rPr>
              <w:t xml:space="preserve"> tarifas </w:t>
            </w:r>
            <w:r w:rsidR="008B1B11" w:rsidRPr="00866F35">
              <w:rPr>
                <w:rFonts w:ascii="Times New Roman" w:hAnsi="Times New Roman" w:cs="Times New Roman"/>
                <w:i/>
                <w:iCs/>
                <w:sz w:val="24"/>
                <w:szCs w:val="24"/>
                <w:lang w:val="lt-LT"/>
              </w:rPr>
              <w:t xml:space="preserve"> </w:t>
            </w:r>
            <w:r w:rsidR="008B1B11" w:rsidRPr="00DB201F">
              <w:rPr>
                <w:rFonts w:ascii="Times New Roman" w:hAnsi="Times New Roman" w:cs="Times New Roman"/>
                <w:bCs/>
                <w:i/>
                <w:iCs/>
                <w:sz w:val="24"/>
                <w:szCs w:val="24"/>
                <w:lang w:val="lt-LT"/>
              </w:rPr>
              <w:t>arba</w:t>
            </w:r>
            <w:r w:rsidR="00162907">
              <w:rPr>
                <w:rFonts w:ascii="Times New Roman" w:hAnsi="Times New Roman" w:cs="Times New Roman"/>
                <w:bCs/>
                <w:i/>
                <w:iCs/>
                <w:sz w:val="24"/>
                <w:szCs w:val="24"/>
                <w:lang w:val="lt-LT"/>
              </w:rPr>
              <w:t xml:space="preserve"> yra taikomas sutarties įkainio indeksavimas. Prekių įkainio indeksavimas atliekamas tokiomis sąlygomis ir tvarka:</w:t>
            </w:r>
          </w:p>
          <w:p w:rsidR="00162907" w:rsidRDefault="00162907" w:rsidP="00541D49">
            <w:pPr>
              <w:spacing w:after="120" w:line="240" w:lineRule="auto"/>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2.2.1</w:t>
            </w:r>
            <w:r w:rsidR="00DD7C33">
              <w:rPr>
                <w:rFonts w:ascii="Times New Roman" w:hAnsi="Times New Roman" w:cs="Times New Roman"/>
                <w:bCs/>
                <w:i/>
                <w:iCs/>
                <w:sz w:val="24"/>
                <w:szCs w:val="24"/>
                <w:lang w:val="lt-LT"/>
              </w:rPr>
              <w:t>.</w:t>
            </w:r>
            <w:r>
              <w:t xml:space="preserve"> </w:t>
            </w:r>
            <w:r w:rsidRPr="00162907">
              <w:rPr>
                <w:rFonts w:ascii="Times New Roman" w:hAnsi="Times New Roman" w:cs="Times New Roman"/>
                <w:bCs/>
                <w:i/>
                <w:iCs/>
                <w:sz w:val="24"/>
                <w:szCs w:val="24"/>
                <w:lang w:val="lt-LT"/>
              </w:rPr>
              <w:t xml:space="preserve">Bet kuri Šalis turi teisę inicijuoti Susitarimu nustatytų įkainių perskaičiavimą (keitimą), tačiau ne anksčiau </w:t>
            </w:r>
            <w:r w:rsidR="00CE5BFC">
              <w:rPr>
                <w:rFonts w:ascii="Times New Roman" w:hAnsi="Times New Roman" w:cs="Times New Roman"/>
                <w:bCs/>
                <w:i/>
                <w:iCs/>
                <w:sz w:val="24"/>
                <w:szCs w:val="24"/>
                <w:lang w:val="lt-LT"/>
              </w:rPr>
              <w:t>kaip po 6 (šeši</w:t>
            </w:r>
            <w:r w:rsidRPr="006067BC">
              <w:rPr>
                <w:rFonts w:ascii="Times New Roman" w:hAnsi="Times New Roman" w:cs="Times New Roman"/>
                <w:bCs/>
                <w:i/>
                <w:iCs/>
                <w:sz w:val="24"/>
                <w:szCs w:val="24"/>
                <w:lang w:val="lt-LT"/>
              </w:rPr>
              <w:t>ų)</w:t>
            </w:r>
            <w:r w:rsidRPr="00162907">
              <w:rPr>
                <w:rFonts w:ascii="Times New Roman" w:hAnsi="Times New Roman" w:cs="Times New Roman"/>
                <w:bCs/>
                <w:i/>
                <w:iCs/>
                <w:sz w:val="24"/>
                <w:szCs w:val="24"/>
                <w:lang w:val="lt-LT"/>
              </w:rPr>
              <w:t xml:space="preserve"> mėnesių nuo </w:t>
            </w:r>
            <w:r w:rsidR="003C25CA">
              <w:rPr>
                <w:rFonts w:ascii="Times New Roman" w:hAnsi="Times New Roman" w:cs="Times New Roman"/>
                <w:bCs/>
                <w:i/>
                <w:iCs/>
                <w:sz w:val="24"/>
                <w:szCs w:val="24"/>
                <w:lang w:val="lt-LT"/>
              </w:rPr>
              <w:t>pirmo perskaičiavimo</w:t>
            </w:r>
            <w:r w:rsidRPr="00162907">
              <w:rPr>
                <w:rFonts w:ascii="Times New Roman" w:hAnsi="Times New Roman" w:cs="Times New Roman"/>
                <w:bCs/>
                <w:i/>
                <w:iCs/>
                <w:sz w:val="24"/>
                <w:szCs w:val="24"/>
                <w:lang w:val="lt-LT"/>
              </w:rPr>
              <w:t xml:space="preserve"> jeigu kainų pokytis (k) apskaičiuotas </w:t>
            </w:r>
            <w:r w:rsidR="003C25CA">
              <w:rPr>
                <w:rFonts w:ascii="Times New Roman" w:hAnsi="Times New Roman" w:cs="Times New Roman"/>
                <w:bCs/>
                <w:i/>
                <w:iCs/>
                <w:sz w:val="24"/>
                <w:szCs w:val="24"/>
                <w:lang w:val="lt-LT"/>
              </w:rPr>
              <w:t>Sutartyje</w:t>
            </w:r>
            <w:r w:rsidRPr="00162907">
              <w:rPr>
                <w:rFonts w:ascii="Times New Roman" w:hAnsi="Times New Roman" w:cs="Times New Roman"/>
                <w:bCs/>
                <w:i/>
                <w:iCs/>
                <w:sz w:val="24"/>
                <w:szCs w:val="24"/>
                <w:lang w:val="lt-LT"/>
              </w:rPr>
              <w:t xml:space="preserve"> nustatyta tvarka padidėja arba sumažėja </w:t>
            </w:r>
            <w:r>
              <w:rPr>
                <w:rFonts w:ascii="Times New Roman" w:hAnsi="Times New Roman" w:cs="Times New Roman"/>
                <w:bCs/>
                <w:i/>
                <w:iCs/>
                <w:sz w:val="24"/>
                <w:szCs w:val="24"/>
                <w:lang w:val="lt-LT"/>
              </w:rPr>
              <w:t xml:space="preserve">bent </w:t>
            </w:r>
            <w:r w:rsidRPr="00162907">
              <w:rPr>
                <w:rFonts w:ascii="Times New Roman" w:hAnsi="Times New Roman" w:cs="Times New Roman"/>
                <w:bCs/>
                <w:i/>
                <w:iCs/>
                <w:sz w:val="24"/>
                <w:szCs w:val="24"/>
                <w:lang w:val="lt-LT"/>
              </w:rPr>
              <w:t>5 proc.</w:t>
            </w:r>
          </w:p>
          <w:p w:rsidR="00E76CC9" w:rsidRPr="00162907" w:rsidRDefault="00162907" w:rsidP="00162907">
            <w:pPr>
              <w:spacing w:after="120" w:line="240" w:lineRule="auto"/>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 xml:space="preserve">2.2.2. </w:t>
            </w:r>
            <w:r w:rsidR="00E76CC9" w:rsidRPr="00606B59">
              <w:rPr>
                <w:rFonts w:ascii="Times New Roman" w:hAnsi="Times New Roman" w:cs="Times New Roman"/>
                <w:bCs/>
                <w:i/>
                <w:iCs/>
                <w:sz w:val="24"/>
                <w:szCs w:val="24"/>
                <w:lang w:val="lt-LT"/>
              </w:rPr>
              <w:t>Nauji įkainiai</w:t>
            </w:r>
            <w:r>
              <w:rPr>
                <w:rFonts w:ascii="Times New Roman" w:hAnsi="Times New Roman" w:cs="Times New Roman"/>
                <w:bCs/>
                <w:i/>
                <w:iCs/>
                <w:sz w:val="24"/>
                <w:szCs w:val="24"/>
                <w:lang w:val="lt-LT"/>
              </w:rPr>
              <w:t xml:space="preserve"> apskaičiuojami pagal šią formulę:</w:t>
            </w:r>
          </w:p>
          <w:p w:rsidR="00E76CC9" w:rsidRPr="00606B59" w:rsidRDefault="00EA7704" w:rsidP="00162907">
            <w:pPr>
              <w:spacing w:after="0" w:line="240" w:lineRule="auto"/>
              <w:ind w:left="1030"/>
              <w:contextualSpacing/>
              <w:jc w:val="both"/>
              <w:rPr>
                <w:rFonts w:ascii="Times New Roman" w:eastAsia="Calibri" w:hAnsi="Times New Roman" w:cs="Times New Roman"/>
                <w:i/>
                <w:sz w:val="24"/>
                <w:szCs w:val="24"/>
                <w:lang w:val="lt-LT"/>
              </w:rPr>
            </w:pPr>
            <m:oMath>
              <m:sSub>
                <m:sSubPr>
                  <m:ctrlPr>
                    <w:rPr>
                      <w:rFonts w:ascii="Cambria Math" w:eastAsia="Calibri" w:hAnsi="Cambria Math" w:cs="Times New Roman"/>
                      <w:i/>
                      <w:sz w:val="24"/>
                      <w:szCs w:val="24"/>
                      <w:lang w:val="lt-LT"/>
                    </w:rPr>
                  </m:ctrlPr>
                </m:sSubPr>
                <m:e>
                  <m:r>
                    <w:rPr>
                      <w:rFonts w:ascii="Cambria Math" w:eastAsia="Calibri" w:hAnsi="Cambria Math" w:cs="Times New Roman"/>
                      <w:sz w:val="24"/>
                      <w:szCs w:val="24"/>
                      <w:lang w:val="lt-LT"/>
                    </w:rPr>
                    <m:t>a</m:t>
                  </m:r>
                </m:e>
                <m:sub>
                  <m:r>
                    <w:rPr>
                      <w:rFonts w:ascii="Cambria Math" w:eastAsia="Calibri" w:hAnsi="Cambria Math" w:cs="Times New Roman"/>
                      <w:sz w:val="24"/>
                      <w:szCs w:val="24"/>
                      <w:lang w:val="lt-LT"/>
                    </w:rPr>
                    <m:t>1</m:t>
                  </m:r>
                </m:sub>
              </m:sSub>
              <m:r>
                <w:rPr>
                  <w:rFonts w:ascii="Cambria Math" w:eastAsia="Calibri"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76CC9" w:rsidRPr="00606B59">
              <w:rPr>
                <w:rFonts w:ascii="Times New Roman" w:eastAsiaTheme="minorEastAsia" w:hAnsi="Times New Roman" w:cs="Times New Roman"/>
                <w:i/>
                <w:sz w:val="24"/>
                <w:szCs w:val="24"/>
                <w:lang w:val="lt-LT"/>
              </w:rPr>
              <w:t>, kur</w:t>
            </w:r>
          </w:p>
          <w:p w:rsidR="00723424"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606B59">
              <w:rPr>
                <w:rFonts w:ascii="Times New Roman" w:eastAsia="Calibri" w:hAnsi="Times New Roman" w:cs="Times New Roman"/>
                <w:i/>
                <w:sz w:val="24"/>
                <w:szCs w:val="24"/>
                <w:lang w:val="lt-LT"/>
              </w:rPr>
              <w:t>a – sutarties prekės įkainis (</w:t>
            </w:r>
            <w:proofErr w:type="spellStart"/>
            <w:r w:rsidRPr="00606B59">
              <w:rPr>
                <w:rFonts w:ascii="Times New Roman" w:eastAsia="Calibri" w:hAnsi="Times New Roman" w:cs="Times New Roman"/>
                <w:i/>
                <w:sz w:val="24"/>
                <w:szCs w:val="24"/>
                <w:lang w:val="lt-LT"/>
              </w:rPr>
              <w:t>Eur</w:t>
            </w:r>
            <w:proofErr w:type="spellEnd"/>
            <w:r w:rsidRPr="00606B59">
              <w:rPr>
                <w:rFonts w:ascii="Times New Roman" w:eastAsia="Calibri" w:hAnsi="Times New Roman" w:cs="Times New Roman"/>
                <w:i/>
                <w:sz w:val="24"/>
                <w:szCs w:val="24"/>
                <w:lang w:val="lt-LT"/>
              </w:rPr>
              <w:t xml:space="preserve"> be PVM)) (jei įkainis buvo perskaičiuotas, tai po paskutinio perskaičiavimo).</w:t>
            </w:r>
          </w:p>
          <w:p w:rsidR="00723424"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606B59">
              <w:rPr>
                <w:rFonts w:ascii="Times New Roman" w:eastAsia="Calibri" w:hAnsi="Times New Roman" w:cs="Times New Roman"/>
                <w:i/>
                <w:sz w:val="24"/>
                <w:szCs w:val="24"/>
                <w:lang w:val="lt-LT"/>
              </w:rPr>
              <w:t>a</w:t>
            </w:r>
            <w:r w:rsidRPr="00606B59">
              <w:rPr>
                <w:rFonts w:ascii="Times New Roman" w:eastAsia="Calibri" w:hAnsi="Times New Roman" w:cs="Times New Roman"/>
                <w:i/>
                <w:sz w:val="24"/>
                <w:szCs w:val="24"/>
                <w:vertAlign w:val="subscript"/>
                <w:lang w:val="lt-LT"/>
              </w:rPr>
              <w:t>1</w:t>
            </w:r>
            <w:r w:rsidRPr="00606B59">
              <w:rPr>
                <w:rFonts w:ascii="Times New Roman" w:eastAsia="Calibri" w:hAnsi="Times New Roman" w:cs="Times New Roman"/>
                <w:i/>
                <w:sz w:val="24"/>
                <w:szCs w:val="24"/>
                <w:lang w:val="lt-LT"/>
              </w:rPr>
              <w:t xml:space="preserve"> – perskaičiuotas (pakeistas) įkainis (</w:t>
            </w:r>
            <w:proofErr w:type="spellStart"/>
            <w:r w:rsidRPr="00606B59">
              <w:rPr>
                <w:rFonts w:ascii="Times New Roman" w:eastAsia="Calibri" w:hAnsi="Times New Roman" w:cs="Times New Roman"/>
                <w:i/>
                <w:sz w:val="24"/>
                <w:szCs w:val="24"/>
                <w:lang w:val="lt-LT"/>
              </w:rPr>
              <w:t>Eur</w:t>
            </w:r>
            <w:proofErr w:type="spellEnd"/>
            <w:r w:rsidRPr="00606B59">
              <w:rPr>
                <w:rFonts w:ascii="Times New Roman" w:eastAsia="Calibri" w:hAnsi="Times New Roman" w:cs="Times New Roman"/>
                <w:i/>
                <w:sz w:val="24"/>
                <w:szCs w:val="24"/>
                <w:lang w:val="lt-LT"/>
              </w:rPr>
              <w:t xml:space="preserve"> be PVM)</w:t>
            </w:r>
          </w:p>
          <w:p w:rsidR="00723424"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606B59">
              <w:rPr>
                <w:rFonts w:ascii="Times New Roman" w:eastAsia="Calibri" w:hAnsi="Times New Roman" w:cs="Times New Roman"/>
                <w:i/>
                <w:sz w:val="24"/>
                <w:szCs w:val="24"/>
                <w:lang w:val="lt-LT"/>
              </w:rPr>
              <w:t xml:space="preserve">k – pagal </w:t>
            </w:r>
            <w:r w:rsidRPr="008F3961">
              <w:rPr>
                <w:rFonts w:ascii="Times New Roman" w:eastAsia="Calibri" w:hAnsi="Times New Roman" w:cs="Times New Roman"/>
                <w:i/>
                <w:sz w:val="24"/>
                <w:szCs w:val="24"/>
                <w:lang w:val="lt-LT"/>
              </w:rPr>
              <w:t>Gamintojų parduotos pramonės produkcijos kainų indeksą (</w:t>
            </w:r>
            <w:r w:rsidRPr="008F3961">
              <w:rPr>
                <w:rFonts w:ascii="Times New Roman" w:eastAsia="Calibri" w:hAnsi="Times New Roman" w:cs="Times New Roman"/>
                <w:i/>
                <w:iCs/>
                <w:sz w:val="24"/>
                <w:szCs w:val="24"/>
                <w:lang w:val="lt-LT"/>
              </w:rPr>
              <w:t>pasirenkamas „</w:t>
            </w:r>
            <w:r w:rsidRPr="008F3961">
              <w:rPr>
                <w:rFonts w:ascii="Times New Roman" w:eastAsia="Calibri" w:hAnsi="Times New Roman" w:cs="Times New Roman"/>
                <w:i/>
                <w:sz w:val="24"/>
                <w:szCs w:val="24"/>
                <w:lang w:val="lt-LT"/>
              </w:rPr>
              <w:t>Apdirbamoji gamyba</w:t>
            </w:r>
            <w:r w:rsidRPr="008F3961">
              <w:rPr>
                <w:rFonts w:ascii="Times New Roman" w:eastAsia="Calibri" w:hAnsi="Times New Roman" w:cs="Times New Roman"/>
                <w:i/>
                <w:iCs/>
                <w:sz w:val="24"/>
                <w:szCs w:val="24"/>
                <w:lang w:val="lt-LT"/>
              </w:rPr>
              <w:t>“</w:t>
            </w:r>
            <w:r w:rsidRPr="008F3961">
              <w:rPr>
                <w:rFonts w:ascii="Times New Roman" w:eastAsia="Calibri" w:hAnsi="Times New Roman" w:cs="Times New Roman"/>
                <w:i/>
                <w:sz w:val="24"/>
                <w:szCs w:val="24"/>
                <w:lang w:val="lt-LT"/>
              </w:rPr>
              <w:t xml:space="preserve"> </w:t>
            </w:r>
            <w:r w:rsidRPr="008F3961">
              <w:rPr>
                <w:rFonts w:ascii="Times New Roman" w:eastAsia="Calibri" w:hAnsi="Times New Roman" w:cs="Times New Roman"/>
                <w:i/>
                <w:sz w:val="24"/>
                <w:szCs w:val="24"/>
                <w:lang w:val="lt-LT"/>
              </w:rPr>
              <w:sym w:font="Wingdings" w:char="F0E0"/>
            </w:r>
            <w:r w:rsidRPr="008F3961">
              <w:rPr>
                <w:rFonts w:ascii="Times New Roman" w:eastAsia="Calibri" w:hAnsi="Times New Roman" w:cs="Times New Roman"/>
                <w:i/>
                <w:sz w:val="24"/>
                <w:szCs w:val="24"/>
                <w:lang w:val="lt-LT"/>
              </w:rPr>
              <w:t xml:space="preserve"> </w:t>
            </w:r>
            <w:r w:rsidR="008F3961" w:rsidRPr="008F3961">
              <w:rPr>
                <w:rFonts w:ascii="Times New Roman" w:hAnsi="Times New Roman" w:cs="Times New Roman"/>
                <w:i/>
                <w:iCs/>
                <w:sz w:val="24"/>
                <w:szCs w:val="24"/>
                <w:lang w:val="lt-LT"/>
              </w:rPr>
              <w:t xml:space="preserve">„Tekstilės gaminių gamyba“ </w:t>
            </w:r>
            <w:r w:rsidR="008F3961">
              <w:rPr>
                <w:rFonts w:ascii="Times New Roman" w:eastAsia="Calibri" w:hAnsi="Times New Roman" w:cs="Times New Roman"/>
                <w:i/>
                <w:sz w:val="24"/>
                <w:szCs w:val="24"/>
                <w:lang w:val="lt-LT"/>
              </w:rPr>
              <w:t>(</w:t>
            </w:r>
            <w:r w:rsidRPr="008F3961">
              <w:rPr>
                <w:rFonts w:ascii="Times New Roman" w:eastAsia="Calibri" w:hAnsi="Times New Roman" w:cs="Times New Roman"/>
                <w:i/>
                <w:sz w:val="24"/>
                <w:szCs w:val="24"/>
                <w:lang w:val="lt-LT"/>
              </w:rPr>
              <w:t>Lietuvos rinka</w:t>
            </w:r>
            <w:r w:rsidR="008F3961">
              <w:rPr>
                <w:rFonts w:ascii="Times New Roman" w:eastAsia="Calibri" w:hAnsi="Times New Roman" w:cs="Times New Roman"/>
                <w:i/>
                <w:iCs/>
                <w:sz w:val="24"/>
                <w:szCs w:val="24"/>
                <w:lang w:val="lt-LT"/>
              </w:rPr>
              <w:t>)</w:t>
            </w:r>
            <w:r w:rsidRPr="008F3961">
              <w:rPr>
                <w:rFonts w:ascii="Times New Roman" w:eastAsia="Calibri" w:hAnsi="Times New Roman" w:cs="Times New Roman"/>
                <w:i/>
                <w:sz w:val="24"/>
                <w:szCs w:val="24"/>
                <w:lang w:val="lt-LT"/>
              </w:rPr>
              <w:t>)</w:t>
            </w:r>
            <w:r w:rsidRPr="00606B59">
              <w:rPr>
                <w:rFonts w:ascii="Times New Roman" w:eastAsia="Calibri" w:hAnsi="Times New Roman" w:cs="Times New Roman"/>
                <w:i/>
                <w:iCs/>
                <w:sz w:val="24"/>
                <w:szCs w:val="24"/>
                <w:lang w:val="lt-LT"/>
              </w:rPr>
              <w:t xml:space="preserve"> </w:t>
            </w:r>
            <w:r w:rsidRPr="00606B59">
              <w:rPr>
                <w:rFonts w:ascii="Times New Roman" w:eastAsia="Calibri" w:hAnsi="Times New Roman" w:cs="Times New Roman"/>
                <w:i/>
                <w:sz w:val="24"/>
                <w:szCs w:val="24"/>
                <w:lang w:val="lt-LT"/>
              </w:rPr>
              <w:t>kainų pokytis (padidėjimas arba sumažėjimas) (%) „k“ reikšmė skaičiuojama pagal formulę:</w:t>
            </w:r>
          </w:p>
          <w:p w:rsidR="00E76CC9" w:rsidRPr="00606B59" w:rsidRDefault="00E76CC9" w:rsidP="00162907">
            <w:pPr>
              <w:spacing w:after="0" w:line="240" w:lineRule="auto"/>
              <w:ind w:left="1030"/>
              <w:contextualSpacing/>
              <w:jc w:val="both"/>
              <w:rPr>
                <w:rFonts w:ascii="Times New Roman" w:eastAsia="Calibri" w:hAnsi="Times New Roman" w:cs="Times New Roman"/>
                <w:i/>
                <w:iCs/>
                <w:color w:val="0070C0"/>
                <w:sz w:val="24"/>
                <w:szCs w:val="24"/>
                <w:lang w:val="lt-LT"/>
              </w:rPr>
            </w:pPr>
          </w:p>
          <w:p w:rsidR="00E76CC9" w:rsidRPr="00606B59" w:rsidRDefault="00606B59" w:rsidP="00162907">
            <w:pPr>
              <w:spacing w:after="0" w:line="240" w:lineRule="auto"/>
              <w:ind w:left="1030"/>
              <w:contextualSpacing/>
              <w:jc w:val="both"/>
              <w:rPr>
                <w:rFonts w:ascii="Times New Roman" w:eastAsiaTheme="minorEastAsia" w:hAnsi="Times New Roman" w:cs="Times New Roman"/>
                <w:i/>
                <w:sz w:val="24"/>
                <w:szCs w:val="24"/>
                <w:lang w:val="lt-LT"/>
              </w:rPr>
            </w:pPr>
            <m:oMath>
              <m:r>
                <w:rPr>
                  <w:rFonts w:ascii="Cambria Math" w:eastAsia="Calibr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00E76CC9" w:rsidRPr="00606B59">
              <w:rPr>
                <w:rFonts w:ascii="Times New Roman" w:eastAsiaTheme="minorEastAsia" w:hAnsi="Times New Roman" w:cs="Times New Roman"/>
                <w:i/>
                <w:sz w:val="24"/>
                <w:szCs w:val="24"/>
                <w:lang w:val="lt-LT"/>
              </w:rPr>
              <w:t>, (proc.), kur</w:t>
            </w:r>
          </w:p>
          <w:p w:rsidR="00866F35" w:rsidRPr="00866F35" w:rsidRDefault="00866F35" w:rsidP="00162907">
            <w:pPr>
              <w:spacing w:after="0" w:line="240" w:lineRule="auto"/>
              <w:ind w:left="1030"/>
              <w:contextualSpacing/>
              <w:jc w:val="both"/>
              <w:rPr>
                <w:rFonts w:ascii="Times New Roman" w:eastAsia="Calibri" w:hAnsi="Times New Roman" w:cs="Times New Roman"/>
                <w:sz w:val="24"/>
                <w:szCs w:val="24"/>
                <w:lang w:val="lt-LT"/>
              </w:rPr>
            </w:pPr>
          </w:p>
          <w:p w:rsidR="00E76CC9" w:rsidRPr="00606B59" w:rsidRDefault="00E76CC9" w:rsidP="00162907">
            <w:pPr>
              <w:spacing w:after="0" w:line="240" w:lineRule="auto"/>
              <w:ind w:left="1030"/>
              <w:contextualSpacing/>
              <w:jc w:val="both"/>
              <w:rPr>
                <w:rFonts w:ascii="Times New Roman" w:eastAsia="Calibri" w:hAnsi="Times New Roman" w:cs="Times New Roman"/>
                <w:i/>
                <w:sz w:val="24"/>
                <w:szCs w:val="24"/>
                <w:lang w:val="lt-LT"/>
              </w:rPr>
            </w:pPr>
            <w:proofErr w:type="spellStart"/>
            <w:r w:rsidRPr="00606B59">
              <w:rPr>
                <w:rFonts w:ascii="Times New Roman" w:eastAsia="Calibri" w:hAnsi="Times New Roman" w:cs="Times New Roman"/>
                <w:i/>
                <w:sz w:val="24"/>
                <w:szCs w:val="24"/>
                <w:lang w:val="lt-LT"/>
              </w:rPr>
              <w:t>Ind</w:t>
            </w:r>
            <w:r w:rsidRPr="00606B59">
              <w:rPr>
                <w:rFonts w:ascii="Times New Roman" w:eastAsia="Calibri" w:hAnsi="Times New Roman" w:cs="Times New Roman"/>
                <w:i/>
                <w:sz w:val="24"/>
                <w:szCs w:val="24"/>
                <w:vertAlign w:val="subscript"/>
                <w:lang w:val="lt-LT"/>
              </w:rPr>
              <w:t>naujausias</w:t>
            </w:r>
            <w:proofErr w:type="spellEnd"/>
            <w:r w:rsidRPr="00606B59">
              <w:rPr>
                <w:rFonts w:ascii="Times New Roman" w:eastAsia="Calibri" w:hAnsi="Times New Roman" w:cs="Times New Roman"/>
                <w:i/>
                <w:sz w:val="24"/>
                <w:szCs w:val="24"/>
                <w:lang w:val="lt-LT"/>
              </w:rPr>
              <w:t xml:space="preserve"> – kreipimosi dėl kainos perskaičiavimo išsiuntimo kitai šaliai datą naujausias paskelbtas </w:t>
            </w:r>
            <w:r w:rsidR="009A5266">
              <w:rPr>
                <w:rFonts w:ascii="Times New Roman" w:eastAsia="Calibri" w:hAnsi="Times New Roman" w:cs="Times New Roman"/>
                <w:i/>
                <w:sz w:val="24"/>
                <w:szCs w:val="24"/>
                <w:lang w:val="lt-LT"/>
              </w:rPr>
              <w:t>g</w:t>
            </w:r>
            <w:r w:rsidRPr="00606B59">
              <w:rPr>
                <w:rFonts w:ascii="Times New Roman" w:eastAsia="Calibri" w:hAnsi="Times New Roman" w:cs="Times New Roman"/>
                <w:i/>
                <w:sz w:val="24"/>
                <w:szCs w:val="24"/>
                <w:lang w:val="lt-LT"/>
              </w:rPr>
              <w:t>amintojų parduotos pramonės produkcijos kainų indeksas (</w:t>
            </w:r>
            <w:r w:rsidRPr="00606B59">
              <w:rPr>
                <w:rFonts w:ascii="Times New Roman" w:eastAsia="Calibri" w:hAnsi="Times New Roman" w:cs="Times New Roman"/>
                <w:i/>
                <w:iCs/>
                <w:sz w:val="24"/>
                <w:szCs w:val="24"/>
                <w:lang w:val="lt-LT"/>
              </w:rPr>
              <w:t>pasirenkamas „</w:t>
            </w:r>
            <w:r w:rsidRPr="00606B59">
              <w:rPr>
                <w:rFonts w:ascii="Times New Roman" w:eastAsia="Calibri" w:hAnsi="Times New Roman" w:cs="Times New Roman"/>
                <w:i/>
                <w:sz w:val="24"/>
                <w:szCs w:val="24"/>
                <w:lang w:val="lt-LT"/>
              </w:rPr>
              <w:t>Apdirbamoji gamyba</w:t>
            </w:r>
            <w:r w:rsidRPr="00606B59">
              <w:rPr>
                <w:rFonts w:ascii="Times New Roman" w:eastAsia="Calibri" w:hAnsi="Times New Roman" w:cs="Times New Roman"/>
                <w:i/>
                <w:iCs/>
                <w:sz w:val="24"/>
                <w:szCs w:val="24"/>
                <w:lang w:val="lt-LT"/>
              </w:rPr>
              <w:t>“</w:t>
            </w:r>
            <w:r w:rsidRPr="00606B59">
              <w:rPr>
                <w:rFonts w:ascii="Times New Roman" w:eastAsia="Calibri" w:hAnsi="Times New Roman" w:cs="Times New Roman"/>
                <w:i/>
                <w:sz w:val="24"/>
                <w:szCs w:val="24"/>
                <w:lang w:val="lt-LT"/>
              </w:rPr>
              <w:t xml:space="preserve"> </w:t>
            </w:r>
            <w:r w:rsidRPr="00606B59">
              <w:rPr>
                <w:rFonts w:ascii="Times New Roman" w:eastAsia="Calibri" w:hAnsi="Times New Roman" w:cs="Times New Roman"/>
                <w:i/>
                <w:sz w:val="24"/>
                <w:szCs w:val="24"/>
                <w:lang w:val="lt-LT"/>
              </w:rPr>
              <w:sym w:font="Wingdings" w:char="F0E0"/>
            </w:r>
            <w:r w:rsidRPr="00606B59">
              <w:rPr>
                <w:rFonts w:ascii="Times New Roman" w:eastAsia="Calibri" w:hAnsi="Times New Roman" w:cs="Times New Roman"/>
                <w:i/>
                <w:sz w:val="24"/>
                <w:szCs w:val="24"/>
                <w:lang w:val="lt-LT"/>
              </w:rPr>
              <w:t xml:space="preserve"> </w:t>
            </w:r>
            <w:r w:rsidR="00F231E0" w:rsidRPr="008F3961">
              <w:rPr>
                <w:rFonts w:ascii="Times New Roman" w:hAnsi="Times New Roman" w:cs="Times New Roman"/>
                <w:i/>
                <w:iCs/>
                <w:sz w:val="24"/>
                <w:szCs w:val="24"/>
                <w:lang w:val="lt-LT"/>
              </w:rPr>
              <w:t xml:space="preserve">„Tekstilės gaminių gamyba“ </w:t>
            </w:r>
            <w:r w:rsidR="00F231E0">
              <w:rPr>
                <w:rFonts w:ascii="Times New Roman" w:eastAsia="Calibri" w:hAnsi="Times New Roman" w:cs="Times New Roman"/>
                <w:i/>
                <w:sz w:val="24"/>
                <w:szCs w:val="24"/>
                <w:lang w:val="lt-LT"/>
              </w:rPr>
              <w:t>(</w:t>
            </w:r>
            <w:r w:rsidR="00F231E0" w:rsidRPr="008F3961">
              <w:rPr>
                <w:rFonts w:ascii="Times New Roman" w:eastAsia="Calibri" w:hAnsi="Times New Roman" w:cs="Times New Roman"/>
                <w:i/>
                <w:sz w:val="24"/>
                <w:szCs w:val="24"/>
                <w:lang w:val="lt-LT"/>
              </w:rPr>
              <w:t>Lietuvos rinka</w:t>
            </w:r>
            <w:r w:rsidR="00F231E0">
              <w:rPr>
                <w:rFonts w:ascii="Times New Roman" w:eastAsia="Calibri" w:hAnsi="Times New Roman" w:cs="Times New Roman"/>
                <w:i/>
                <w:iCs/>
                <w:sz w:val="24"/>
                <w:szCs w:val="24"/>
                <w:lang w:val="lt-LT"/>
              </w:rPr>
              <w:t>)</w:t>
            </w:r>
            <w:r w:rsidRPr="00606B59">
              <w:rPr>
                <w:rFonts w:ascii="Times New Roman" w:eastAsia="Calibri" w:hAnsi="Times New Roman" w:cs="Times New Roman"/>
                <w:i/>
                <w:iCs/>
                <w:sz w:val="24"/>
                <w:szCs w:val="24"/>
                <w:lang w:val="lt-LT"/>
              </w:rPr>
              <w:t>.</w:t>
            </w:r>
          </w:p>
          <w:p w:rsidR="00E76CC9" w:rsidRPr="00606B59" w:rsidRDefault="00E76CC9" w:rsidP="00162907">
            <w:pPr>
              <w:spacing w:after="0" w:line="240" w:lineRule="auto"/>
              <w:ind w:left="1030"/>
              <w:contextualSpacing/>
              <w:jc w:val="both"/>
              <w:rPr>
                <w:rFonts w:ascii="Times New Roman" w:eastAsia="Calibri" w:hAnsi="Times New Roman" w:cs="Times New Roman"/>
                <w:i/>
                <w:iCs/>
                <w:sz w:val="24"/>
                <w:szCs w:val="24"/>
                <w:lang w:val="lt-LT"/>
              </w:rPr>
            </w:pPr>
            <w:proofErr w:type="spellStart"/>
            <w:r w:rsidRPr="008F3961">
              <w:rPr>
                <w:rFonts w:ascii="Times New Roman" w:eastAsia="Calibri" w:hAnsi="Times New Roman" w:cs="Times New Roman"/>
                <w:i/>
                <w:sz w:val="24"/>
                <w:szCs w:val="24"/>
                <w:lang w:val="lt-LT"/>
              </w:rPr>
              <w:t>Ind</w:t>
            </w:r>
            <w:r w:rsidRPr="008F3961">
              <w:rPr>
                <w:rFonts w:ascii="Times New Roman" w:eastAsia="Calibri" w:hAnsi="Times New Roman" w:cs="Times New Roman"/>
                <w:i/>
                <w:sz w:val="24"/>
                <w:szCs w:val="24"/>
                <w:vertAlign w:val="subscript"/>
                <w:lang w:val="lt-LT"/>
              </w:rPr>
              <w:t>pradžia</w:t>
            </w:r>
            <w:proofErr w:type="spellEnd"/>
            <w:r w:rsidRPr="008F3961">
              <w:rPr>
                <w:rFonts w:ascii="Times New Roman" w:eastAsia="Calibri" w:hAnsi="Times New Roman" w:cs="Times New Roman"/>
                <w:i/>
                <w:sz w:val="24"/>
                <w:szCs w:val="24"/>
                <w:lang w:val="lt-LT"/>
              </w:rPr>
              <w:t xml:space="preserve"> – laikotarpio pradžios datos (mėnesio) Gamintojų parduotos pramonės produkcijos kainų indeksas (</w:t>
            </w:r>
            <w:r w:rsidRPr="008F3961">
              <w:rPr>
                <w:rFonts w:ascii="Times New Roman" w:eastAsia="Calibri" w:hAnsi="Times New Roman" w:cs="Times New Roman"/>
                <w:i/>
                <w:iCs/>
                <w:sz w:val="24"/>
                <w:szCs w:val="24"/>
                <w:lang w:val="lt-LT"/>
              </w:rPr>
              <w:t>pasirenkamas „</w:t>
            </w:r>
            <w:r w:rsidRPr="008F3961">
              <w:rPr>
                <w:rFonts w:ascii="Times New Roman" w:eastAsia="Calibri" w:hAnsi="Times New Roman" w:cs="Times New Roman"/>
                <w:i/>
                <w:sz w:val="24"/>
                <w:szCs w:val="24"/>
                <w:lang w:val="lt-LT"/>
              </w:rPr>
              <w:t xml:space="preserve">Apdirbamoji gamyba“ </w:t>
            </w:r>
            <w:r w:rsidR="008F3961" w:rsidRPr="00606B59">
              <w:rPr>
                <w:rFonts w:ascii="Times New Roman" w:eastAsia="Calibri" w:hAnsi="Times New Roman" w:cs="Times New Roman"/>
                <w:i/>
                <w:sz w:val="24"/>
                <w:szCs w:val="24"/>
                <w:lang w:val="lt-LT"/>
              </w:rPr>
              <w:sym w:font="Wingdings" w:char="F0E0"/>
            </w:r>
            <w:r w:rsidR="008F3961">
              <w:rPr>
                <w:rFonts w:ascii="Times New Roman" w:eastAsia="Calibri" w:hAnsi="Times New Roman" w:cs="Times New Roman"/>
                <w:i/>
                <w:sz w:val="24"/>
                <w:szCs w:val="24"/>
                <w:lang w:val="lt-LT"/>
              </w:rPr>
              <w:t xml:space="preserve"> „</w:t>
            </w:r>
            <w:proofErr w:type="spellStart"/>
            <w:r w:rsidR="008F3961" w:rsidRPr="008F3961">
              <w:rPr>
                <w:rFonts w:ascii="Times New Roman" w:hAnsi="Times New Roman" w:cs="Times New Roman"/>
                <w:i/>
                <w:iCs/>
                <w:sz w:val="24"/>
                <w:szCs w:val="24"/>
              </w:rPr>
              <w:t>Tekstilės</w:t>
            </w:r>
            <w:proofErr w:type="spellEnd"/>
            <w:r w:rsidR="008F3961" w:rsidRPr="008F3961">
              <w:rPr>
                <w:rFonts w:ascii="Times New Roman" w:hAnsi="Times New Roman" w:cs="Times New Roman"/>
                <w:i/>
                <w:iCs/>
                <w:sz w:val="24"/>
                <w:szCs w:val="24"/>
              </w:rPr>
              <w:t xml:space="preserve"> </w:t>
            </w:r>
            <w:proofErr w:type="spellStart"/>
            <w:r w:rsidR="008F3961" w:rsidRPr="008F3961">
              <w:rPr>
                <w:rFonts w:ascii="Times New Roman" w:hAnsi="Times New Roman" w:cs="Times New Roman"/>
                <w:i/>
                <w:iCs/>
                <w:sz w:val="24"/>
                <w:szCs w:val="24"/>
              </w:rPr>
              <w:t>gaminių</w:t>
            </w:r>
            <w:proofErr w:type="spellEnd"/>
            <w:r w:rsidR="008F3961" w:rsidRPr="008F3961">
              <w:rPr>
                <w:rFonts w:ascii="Times New Roman" w:hAnsi="Times New Roman" w:cs="Times New Roman"/>
                <w:i/>
                <w:iCs/>
                <w:sz w:val="24"/>
                <w:szCs w:val="24"/>
              </w:rPr>
              <w:t xml:space="preserve"> </w:t>
            </w:r>
            <w:proofErr w:type="spellStart"/>
            <w:r w:rsidR="008F3961" w:rsidRPr="008F3961">
              <w:rPr>
                <w:rFonts w:ascii="Times New Roman" w:hAnsi="Times New Roman" w:cs="Times New Roman"/>
                <w:i/>
                <w:iCs/>
                <w:sz w:val="24"/>
                <w:szCs w:val="24"/>
              </w:rPr>
              <w:t>gamyba</w:t>
            </w:r>
            <w:proofErr w:type="spellEnd"/>
            <w:r w:rsidR="008F3961" w:rsidRPr="008F3961">
              <w:rPr>
                <w:rFonts w:ascii="Times New Roman" w:hAnsi="Times New Roman" w:cs="Times New Roman"/>
                <w:i/>
                <w:iCs/>
                <w:sz w:val="24"/>
                <w:szCs w:val="24"/>
              </w:rPr>
              <w:t>“ (</w:t>
            </w:r>
            <w:proofErr w:type="spellStart"/>
            <w:r w:rsidR="008F3961" w:rsidRPr="008F3961">
              <w:rPr>
                <w:rFonts w:ascii="Times New Roman" w:hAnsi="Times New Roman" w:cs="Times New Roman"/>
                <w:i/>
                <w:iCs/>
                <w:sz w:val="24"/>
                <w:szCs w:val="24"/>
              </w:rPr>
              <w:t>Lietuvos</w:t>
            </w:r>
            <w:proofErr w:type="spellEnd"/>
            <w:r w:rsidR="008F3961" w:rsidRPr="008F3961">
              <w:rPr>
                <w:rFonts w:ascii="Times New Roman" w:hAnsi="Times New Roman" w:cs="Times New Roman"/>
                <w:i/>
                <w:iCs/>
                <w:sz w:val="24"/>
                <w:szCs w:val="24"/>
              </w:rPr>
              <w:t xml:space="preserve"> </w:t>
            </w:r>
            <w:proofErr w:type="spellStart"/>
            <w:r w:rsidR="008F3961" w:rsidRPr="008F3961">
              <w:rPr>
                <w:rFonts w:ascii="Times New Roman" w:hAnsi="Times New Roman" w:cs="Times New Roman"/>
                <w:i/>
                <w:iCs/>
                <w:sz w:val="24"/>
                <w:szCs w:val="24"/>
              </w:rPr>
              <w:t>rinka</w:t>
            </w:r>
            <w:proofErr w:type="spellEnd"/>
            <w:r w:rsidR="008F3961">
              <w:rPr>
                <w:rFonts w:ascii="Times New Roman" w:eastAsia="Calibri" w:hAnsi="Times New Roman" w:cs="Times New Roman"/>
                <w:i/>
                <w:iCs/>
                <w:sz w:val="24"/>
                <w:szCs w:val="24"/>
                <w:lang w:val="lt-LT"/>
              </w:rPr>
              <w:t>)</w:t>
            </w:r>
            <w:r w:rsidRPr="00606B59">
              <w:rPr>
                <w:rFonts w:ascii="Times New Roman" w:eastAsia="Calibri" w:hAnsi="Times New Roman" w:cs="Times New Roman"/>
                <w:i/>
                <w:iCs/>
                <w:sz w:val="24"/>
                <w:szCs w:val="24"/>
                <w:lang w:val="lt-LT"/>
              </w:rPr>
              <w:t>.</w:t>
            </w:r>
          </w:p>
          <w:p w:rsidR="00866F35" w:rsidRPr="00606B59" w:rsidRDefault="00866F35" w:rsidP="00E76CC9">
            <w:pPr>
              <w:spacing w:after="0" w:line="240" w:lineRule="auto"/>
              <w:contextualSpacing/>
              <w:jc w:val="both"/>
              <w:rPr>
                <w:rFonts w:ascii="Times New Roman" w:eastAsia="Calibri" w:hAnsi="Times New Roman" w:cs="Times New Roman"/>
                <w:i/>
                <w:iCs/>
                <w:sz w:val="24"/>
                <w:szCs w:val="24"/>
                <w:lang w:val="lt-LT"/>
              </w:rPr>
            </w:pPr>
          </w:p>
          <w:p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lastRenderedPageBreak/>
              <w:t xml:space="preserve">2.2.3. </w:t>
            </w:r>
            <w:r w:rsidR="00E76CC9" w:rsidRPr="00606B59">
              <w:rPr>
                <w:rFonts w:ascii="Times New Roman" w:eastAsia="Calibri" w:hAnsi="Times New Roman" w:cs="Times New Roman"/>
                <w:i/>
                <w:sz w:val="24"/>
                <w:szCs w:val="24"/>
                <w:lang w:val="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p>
          <w:p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2.2.4. </w:t>
            </w:r>
            <w:r w:rsidR="00E76CC9" w:rsidRPr="00606B59">
              <w:rPr>
                <w:rFonts w:ascii="Times New Roman" w:eastAsia="Calibri" w:hAnsi="Times New Roman" w:cs="Times New Roman"/>
                <w:i/>
                <w:sz w:val="24"/>
                <w:szCs w:val="24"/>
                <w:lang w:val="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rsidR="00B8468E" w:rsidRDefault="00B8468E" w:rsidP="00162907">
            <w:pPr>
              <w:tabs>
                <w:tab w:val="left" w:pos="567"/>
              </w:tabs>
              <w:spacing w:after="0" w:line="240" w:lineRule="auto"/>
              <w:jc w:val="both"/>
              <w:rPr>
                <w:rFonts w:ascii="Times New Roman" w:eastAsia="Calibri" w:hAnsi="Times New Roman" w:cs="Times New Roman"/>
                <w:i/>
                <w:sz w:val="24"/>
                <w:szCs w:val="24"/>
                <w:lang w:val="lt-LT"/>
              </w:rPr>
            </w:pPr>
          </w:p>
          <w:p w:rsidR="00B8468E" w:rsidRPr="00B8468E" w:rsidRDefault="00B8468E" w:rsidP="00162907">
            <w:pPr>
              <w:tabs>
                <w:tab w:val="left" w:pos="567"/>
              </w:tabs>
              <w:spacing w:after="0" w:line="240" w:lineRule="auto"/>
              <w:jc w:val="both"/>
              <w:rPr>
                <w:rFonts w:ascii="Times New Roman" w:eastAsia="Calibri" w:hAnsi="Times New Roman" w:cs="Times New Roman"/>
                <w:i/>
                <w:sz w:val="28"/>
                <w:szCs w:val="22"/>
                <w:lang w:val="lt-LT"/>
              </w:rPr>
            </w:pPr>
            <w:r>
              <w:rPr>
                <w:rFonts w:ascii="Times New Roman" w:eastAsia="Calibri" w:hAnsi="Times New Roman" w:cs="Times New Roman"/>
                <w:i/>
                <w:sz w:val="24"/>
                <w:szCs w:val="24"/>
                <w:lang w:val="lt-LT"/>
              </w:rPr>
              <w:t xml:space="preserve">2.2.5. </w:t>
            </w:r>
            <w:r w:rsidR="00E76CC9" w:rsidRPr="00866F35">
              <w:rPr>
                <w:rFonts w:ascii="Times New Roman" w:eastAsia="Calibri" w:hAnsi="Times New Roman" w:cs="Times New Roman"/>
                <w:sz w:val="22"/>
                <w:szCs w:val="22"/>
                <w:lang w:val="lt-LT"/>
              </w:rPr>
              <w:t xml:space="preserve"> </w:t>
            </w:r>
            <w:r w:rsidRPr="00B8468E">
              <w:rPr>
                <w:rFonts w:ascii="Times New Roman" w:hAnsi="Times New Roman" w:cs="Times New Roman"/>
                <w:i/>
                <w:sz w:val="24"/>
                <w:lang w:val="lt-LT"/>
              </w:rPr>
              <w:t xml:space="preserve">Vadovaujantis </w:t>
            </w:r>
            <w:r w:rsidR="00A05ECF">
              <w:rPr>
                <w:rFonts w:ascii="Times New Roman" w:hAnsi="Times New Roman" w:cs="Times New Roman"/>
                <w:i/>
                <w:sz w:val="24"/>
                <w:lang w:val="lt-LT"/>
              </w:rPr>
              <w:t xml:space="preserve">VPĮ </w:t>
            </w:r>
            <w:r w:rsidRPr="00B8468E">
              <w:rPr>
                <w:rFonts w:ascii="Times New Roman" w:hAnsi="Times New Roman" w:cs="Times New Roman"/>
                <w:i/>
                <w:sz w:val="24"/>
                <w:lang w:val="lt-LT"/>
              </w:rPr>
              <w:t xml:space="preserve">89 str. 1 d. 3 p. b papunkčiu, </w:t>
            </w:r>
            <w:r w:rsidR="004A2D3A">
              <w:rPr>
                <w:rFonts w:ascii="Times New Roman" w:hAnsi="Times New Roman" w:cs="Times New Roman"/>
                <w:i/>
                <w:sz w:val="24"/>
                <w:lang w:val="lt-LT"/>
              </w:rPr>
              <w:t>įkainiai negali būti perskaičiuojami,</w:t>
            </w:r>
            <w:r w:rsidRPr="00B8468E">
              <w:rPr>
                <w:rFonts w:ascii="Times New Roman" w:hAnsi="Times New Roman" w:cs="Times New Roman"/>
                <w:i/>
                <w:sz w:val="24"/>
                <w:lang w:val="lt-LT"/>
              </w:rPr>
              <w:t xml:space="preserve"> jei po indeksavimo Sutarties kaina viršytų ar būtų mažesnė nei 50 procentų nuo pradinės Sutarties vertės</w:t>
            </w:r>
            <w:r>
              <w:rPr>
                <w:rFonts w:ascii="Times New Roman" w:hAnsi="Times New Roman" w:cs="Times New Roman"/>
                <w:i/>
                <w:sz w:val="24"/>
                <w:lang w:val="lt-LT"/>
              </w:rPr>
              <w:t>.</w:t>
            </w:r>
            <w:r w:rsidR="004A2D3A">
              <w:rPr>
                <w:rFonts w:ascii="Times New Roman" w:hAnsi="Times New Roman" w:cs="Times New Roman"/>
                <w:i/>
                <w:sz w:val="24"/>
                <w:lang w:val="lt-LT"/>
              </w:rPr>
              <w:t xml:space="preserve"> Tokiu atveju gali būti taikomas tik tokio dydžio įkainis, kuriuo remiantis apskaičia</w:t>
            </w:r>
            <w:r w:rsidR="00760B31">
              <w:rPr>
                <w:rFonts w:ascii="Times New Roman" w:hAnsi="Times New Roman" w:cs="Times New Roman"/>
                <w:i/>
                <w:sz w:val="24"/>
                <w:lang w:val="lt-LT"/>
              </w:rPr>
              <w:t>vus Sutarties vertę, ji neviršytų ar nebūtų mažesnė nei 50 procentų pradinės Sutarties vertės.</w:t>
            </w:r>
          </w:p>
          <w:p w:rsidR="00B8468E" w:rsidRPr="00866F35" w:rsidRDefault="00B8468E" w:rsidP="00162907">
            <w:pPr>
              <w:tabs>
                <w:tab w:val="left" w:pos="567"/>
              </w:tabs>
              <w:spacing w:after="0" w:line="240" w:lineRule="auto"/>
              <w:jc w:val="both"/>
              <w:rPr>
                <w:rFonts w:ascii="Times New Roman" w:eastAsia="Calibri" w:hAnsi="Times New Roman" w:cs="Times New Roman"/>
                <w:sz w:val="22"/>
                <w:szCs w:val="22"/>
                <w:lang w:val="lt-LT"/>
              </w:rPr>
            </w:pPr>
          </w:p>
        </w:tc>
      </w:tr>
      <w:tr w:rsidR="008B1B11" w:rsidRPr="00866F35" w:rsidTr="009B0EAD">
        <w:trPr>
          <w:trHeight w:val="743"/>
        </w:trPr>
        <w:tc>
          <w:tcPr>
            <w:tcW w:w="9667" w:type="dxa"/>
            <w:gridSpan w:val="2"/>
          </w:tcPr>
          <w:p w:rsidR="008B1B11" w:rsidRPr="00866F35" w:rsidRDefault="008B1B11" w:rsidP="009F59F0">
            <w:pPr>
              <w:pStyle w:val="ListParagraph"/>
              <w:numPr>
                <w:ilvl w:val="0"/>
                <w:numId w:val="2"/>
              </w:numPr>
              <w:jc w:val="both"/>
              <w:rPr>
                <w:lang w:val="lt-LT"/>
              </w:rPr>
            </w:pPr>
            <w:r w:rsidRPr="00866F35">
              <w:rPr>
                <w:lang w:val="lt-LT"/>
              </w:rPr>
              <w:lastRenderedPageBreak/>
              <w:t>Pa</w:t>
            </w:r>
            <w:r w:rsidR="00F231E0">
              <w:rPr>
                <w:lang w:val="lt-LT"/>
              </w:rPr>
              <w:t>keisti Sutarties bendrosios dalies 2.3 p.</w:t>
            </w:r>
            <w:r w:rsidRPr="00866F35">
              <w:rPr>
                <w:lang w:val="lt-LT"/>
              </w:rPr>
              <w:t xml:space="preserve"> išdėstant jį tokia tvarka:</w:t>
            </w:r>
          </w:p>
          <w:p w:rsidR="00162907" w:rsidRPr="004A2D3A" w:rsidRDefault="007A099C" w:rsidP="004A2D3A">
            <w:pPr>
              <w:spacing w:line="240" w:lineRule="auto"/>
              <w:ind w:firstLine="318"/>
              <w:jc w:val="both"/>
              <w:rPr>
                <w:rFonts w:ascii="Times New Roman" w:hAnsi="Times New Roman" w:cs="Times New Roman"/>
                <w:i/>
                <w:iCs/>
                <w:sz w:val="24"/>
                <w:szCs w:val="24"/>
                <w:lang w:val="lt-LT"/>
              </w:rPr>
            </w:pPr>
            <w:r w:rsidRPr="00866F35">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2.3</w:t>
            </w:r>
            <w:r w:rsidR="003A6B0D">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 xml:space="preserve"> </w:t>
            </w:r>
            <w:r w:rsidR="008B1B11" w:rsidRPr="00B8468E">
              <w:rPr>
                <w:rFonts w:ascii="Times New Roman" w:hAnsi="Times New Roman" w:cs="Times New Roman"/>
                <w:i/>
                <w:iCs/>
                <w:sz w:val="24"/>
                <w:szCs w:val="24"/>
                <w:lang w:val="lt-LT"/>
              </w:rPr>
              <w:t xml:space="preserve">Perskaičiuoti </w:t>
            </w:r>
            <w:bookmarkStart w:id="0" w:name="_Hlk103860217"/>
            <w:r w:rsidR="008B1B11" w:rsidRPr="00B8468E">
              <w:rPr>
                <w:rFonts w:ascii="Times New Roman" w:hAnsi="Times New Roman" w:cs="Times New Roman"/>
                <w:i/>
                <w:iCs/>
                <w:sz w:val="24"/>
                <w:szCs w:val="24"/>
                <w:lang w:val="lt-LT"/>
              </w:rPr>
              <w:t>įkainiai įforminami raštišku Šalių susitarimu</w:t>
            </w:r>
            <w:r w:rsidR="00B8468E" w:rsidRPr="00B8468E">
              <w:rPr>
                <w:rFonts w:ascii="Times New Roman" w:hAnsi="Times New Roman" w:cs="Times New Roman"/>
                <w:i/>
                <w:sz w:val="24"/>
                <w:szCs w:val="24"/>
                <w:lang w:val="lt-LT"/>
              </w:rPr>
              <w:t xml:space="preserve"> per 7 darbo dienas nuo prašymo indeksuoti įkainį gavimo dienos</w:t>
            </w:r>
            <w:r w:rsidR="008B1B11" w:rsidRPr="00B8468E">
              <w:rPr>
                <w:rFonts w:ascii="Times New Roman" w:hAnsi="Times New Roman" w:cs="Times New Roman"/>
                <w:i/>
                <w:iCs/>
                <w:sz w:val="24"/>
                <w:szCs w:val="24"/>
                <w:lang w:val="lt-LT"/>
              </w:rPr>
              <w:t xml:space="preserve"> ir taikomi prekėms, kurios pristatomos po tokio Šalių pasirašyto susitarimo įsigaliojimo dienos</w:t>
            </w:r>
            <w:bookmarkEnd w:id="0"/>
            <w:r w:rsidR="007F6B6F">
              <w:rPr>
                <w:rFonts w:ascii="Times New Roman" w:hAnsi="Times New Roman" w:cs="Times New Roman"/>
                <w:i/>
                <w:iCs/>
                <w:sz w:val="24"/>
                <w:szCs w:val="24"/>
                <w:lang w:val="lt-LT"/>
              </w:rPr>
              <w:t>“</w:t>
            </w:r>
            <w:r w:rsidR="00041818" w:rsidRPr="00B8468E">
              <w:rPr>
                <w:rFonts w:ascii="Times New Roman" w:hAnsi="Times New Roman" w:cs="Times New Roman"/>
                <w:i/>
                <w:iCs/>
                <w:sz w:val="24"/>
                <w:szCs w:val="24"/>
                <w:lang w:val="lt-LT"/>
              </w:rPr>
              <w:t>.</w:t>
            </w:r>
            <w:r w:rsidR="00041818" w:rsidRPr="00866F35">
              <w:rPr>
                <w:rFonts w:ascii="Times New Roman" w:hAnsi="Times New Roman" w:cs="Times New Roman"/>
                <w:i/>
                <w:iCs/>
                <w:sz w:val="24"/>
                <w:szCs w:val="24"/>
                <w:lang w:val="lt-LT"/>
              </w:rPr>
              <w:t xml:space="preserve"> </w:t>
            </w:r>
          </w:p>
        </w:tc>
      </w:tr>
      <w:tr w:rsidR="00B8468E" w:rsidRPr="00866F35" w:rsidTr="009B0EAD">
        <w:trPr>
          <w:trHeight w:val="1414"/>
        </w:trPr>
        <w:tc>
          <w:tcPr>
            <w:tcW w:w="9667" w:type="dxa"/>
            <w:gridSpan w:val="2"/>
          </w:tcPr>
          <w:p w:rsidR="004A2D3A" w:rsidRDefault="004A2D3A" w:rsidP="00B8468E">
            <w:pPr>
              <w:pStyle w:val="ListParagraph"/>
              <w:numPr>
                <w:ilvl w:val="0"/>
                <w:numId w:val="2"/>
              </w:numPr>
              <w:jc w:val="both"/>
              <w:rPr>
                <w:lang w:val="lt-LT"/>
              </w:rPr>
            </w:pPr>
            <w:r w:rsidRPr="00866F35">
              <w:rPr>
                <w:lang w:val="lt-LT"/>
              </w:rPr>
              <w:t>Kitos Sutarties sąlygos lieka nepakeistos ir Šalys patvirtina iš jų kylančias pri</w:t>
            </w:r>
            <w:r>
              <w:rPr>
                <w:lang w:val="lt-LT"/>
              </w:rPr>
              <w:t>evoles.</w:t>
            </w:r>
          </w:p>
          <w:p w:rsidR="00B8468E" w:rsidRDefault="00B8468E" w:rsidP="00B8468E">
            <w:pPr>
              <w:pStyle w:val="ListParagraph"/>
              <w:numPr>
                <w:ilvl w:val="0"/>
                <w:numId w:val="2"/>
              </w:numPr>
              <w:jc w:val="both"/>
              <w:rPr>
                <w:lang w:val="lt-LT"/>
              </w:rPr>
            </w:pPr>
            <w:r>
              <w:rPr>
                <w:lang w:val="lt-LT"/>
              </w:rPr>
              <w:t xml:space="preserve">Šalys sutaria, kad </w:t>
            </w:r>
            <w:r w:rsidR="004A2D3A">
              <w:rPr>
                <w:lang w:val="lt-LT"/>
              </w:rPr>
              <w:t xml:space="preserve">Susitarimo sudarymo dieną atlikus pirmąjį perskaičiavimą </w:t>
            </w:r>
            <w:r w:rsidRPr="00866F35">
              <w:rPr>
                <w:lang w:val="lt-LT"/>
              </w:rPr>
              <w:t xml:space="preserve">Prekių įkainiai po </w:t>
            </w:r>
            <w:r w:rsidR="004A2D3A">
              <w:rPr>
                <w:lang w:val="lt-LT"/>
              </w:rPr>
              <w:t>įkainio indeksavimo</w:t>
            </w:r>
            <w:r w:rsidR="007F6B6F">
              <w:rPr>
                <w:lang w:val="lt-LT"/>
              </w:rPr>
              <w:t>*</w:t>
            </w:r>
            <w:r w:rsidRPr="00866F35">
              <w:rPr>
                <w:lang w:val="lt-LT"/>
              </w:rPr>
              <w:t xml:space="preserve"> yra tokie:</w:t>
            </w:r>
          </w:p>
          <w:tbl>
            <w:tblPr>
              <w:tblStyle w:val="TableGrid"/>
              <w:tblW w:w="0" w:type="auto"/>
              <w:tblInd w:w="319" w:type="dxa"/>
              <w:tblLook w:val="04A0" w:firstRow="1" w:lastRow="0" w:firstColumn="1" w:lastColumn="0" w:noHBand="0" w:noVBand="1"/>
            </w:tblPr>
            <w:tblGrid>
              <w:gridCol w:w="541"/>
              <w:gridCol w:w="3311"/>
              <w:gridCol w:w="1310"/>
              <w:gridCol w:w="1916"/>
              <w:gridCol w:w="1908"/>
            </w:tblGrid>
            <w:tr w:rsidR="00B8468E" w:rsidRPr="00866F35" w:rsidTr="009B0EAD">
              <w:trPr>
                <w:trHeight w:val="437"/>
              </w:trPr>
              <w:tc>
                <w:tcPr>
                  <w:tcW w:w="541" w:type="dxa"/>
                </w:tcPr>
                <w:p w:rsidR="00B8468E" w:rsidRPr="00866F35" w:rsidRDefault="00B8468E" w:rsidP="00B8468E">
                  <w:pPr>
                    <w:rPr>
                      <w:rFonts w:ascii="Times New Roman" w:hAnsi="Times New Roman" w:cs="Times New Roman"/>
                      <w:b/>
                      <w:lang w:val="lt-LT"/>
                    </w:rPr>
                  </w:pPr>
                  <w:r w:rsidRPr="00866F35">
                    <w:rPr>
                      <w:rFonts w:ascii="Times New Roman" w:hAnsi="Times New Roman" w:cs="Times New Roman"/>
                      <w:b/>
                      <w:lang w:val="lt-LT"/>
                    </w:rPr>
                    <w:t>Eil. Nr.</w:t>
                  </w:r>
                </w:p>
              </w:tc>
              <w:tc>
                <w:tcPr>
                  <w:tcW w:w="3311" w:type="dxa"/>
                </w:tcPr>
                <w:p w:rsidR="00B8468E" w:rsidRPr="00866F35" w:rsidRDefault="00B8468E" w:rsidP="00B8468E">
                  <w:pPr>
                    <w:jc w:val="center"/>
                    <w:rPr>
                      <w:rFonts w:ascii="Times New Roman" w:hAnsi="Times New Roman" w:cs="Times New Roman"/>
                      <w:b/>
                      <w:color w:val="000000"/>
                      <w:lang w:val="lt-LT" w:eastAsia="lt-LT"/>
                    </w:rPr>
                  </w:pPr>
                </w:p>
                <w:p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color w:val="000000"/>
                      <w:lang w:val="lt-LT" w:eastAsia="lt-LT"/>
                    </w:rPr>
                    <w:t>Prekės pavadinimas</w:t>
                  </w:r>
                </w:p>
              </w:tc>
              <w:tc>
                <w:tcPr>
                  <w:tcW w:w="1310" w:type="dxa"/>
                </w:tcPr>
                <w:p w:rsidR="00B8468E" w:rsidRPr="00866F35" w:rsidRDefault="00B8468E" w:rsidP="00B8468E">
                  <w:pPr>
                    <w:jc w:val="center"/>
                    <w:rPr>
                      <w:rFonts w:ascii="Times New Roman" w:hAnsi="Times New Roman" w:cs="Times New Roman"/>
                      <w:b/>
                      <w:color w:val="000000"/>
                      <w:lang w:val="lt-LT" w:eastAsia="lt-LT"/>
                    </w:rPr>
                  </w:pPr>
                </w:p>
                <w:p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color w:val="000000"/>
                      <w:lang w:val="lt-LT" w:eastAsia="lt-LT"/>
                    </w:rPr>
                    <w:t>Mato vnt.</w:t>
                  </w:r>
                </w:p>
              </w:tc>
              <w:tc>
                <w:tcPr>
                  <w:tcW w:w="1916" w:type="dxa"/>
                </w:tcPr>
                <w:p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bCs/>
                      <w:color w:val="000000"/>
                      <w:lang w:val="lt-LT" w:eastAsia="lt-LT"/>
                    </w:rPr>
                    <w:t xml:space="preserve">Mato vnt. įkainis, </w:t>
                  </w:r>
                  <w:proofErr w:type="spellStart"/>
                  <w:r w:rsidRPr="00866F35">
                    <w:rPr>
                      <w:rFonts w:ascii="Times New Roman" w:hAnsi="Times New Roman" w:cs="Times New Roman"/>
                      <w:b/>
                      <w:bCs/>
                      <w:color w:val="000000"/>
                      <w:lang w:val="lt-LT" w:eastAsia="lt-LT"/>
                    </w:rPr>
                    <w:t>Eur</w:t>
                  </w:r>
                  <w:proofErr w:type="spellEnd"/>
                  <w:r w:rsidRPr="00866F35">
                    <w:rPr>
                      <w:rFonts w:ascii="Times New Roman" w:hAnsi="Times New Roman" w:cs="Times New Roman"/>
                      <w:b/>
                      <w:bCs/>
                      <w:color w:val="000000"/>
                      <w:lang w:val="lt-LT" w:eastAsia="lt-LT"/>
                    </w:rPr>
                    <w:t xml:space="preserve"> be PVM</w:t>
                  </w:r>
                </w:p>
              </w:tc>
              <w:tc>
                <w:tcPr>
                  <w:tcW w:w="1908" w:type="dxa"/>
                </w:tcPr>
                <w:p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bCs/>
                      <w:color w:val="000000"/>
                      <w:lang w:val="lt-LT" w:eastAsia="lt-LT"/>
                    </w:rPr>
                    <w:t xml:space="preserve">Mato vnt. įkainis, </w:t>
                  </w:r>
                  <w:proofErr w:type="spellStart"/>
                  <w:r w:rsidRPr="00866F35">
                    <w:rPr>
                      <w:rFonts w:ascii="Times New Roman" w:hAnsi="Times New Roman" w:cs="Times New Roman"/>
                      <w:b/>
                      <w:bCs/>
                      <w:color w:val="000000"/>
                      <w:lang w:val="lt-LT" w:eastAsia="lt-LT"/>
                    </w:rPr>
                    <w:t>Eur</w:t>
                  </w:r>
                  <w:proofErr w:type="spellEnd"/>
                  <w:r w:rsidRPr="00866F35">
                    <w:rPr>
                      <w:rFonts w:ascii="Times New Roman" w:hAnsi="Times New Roman" w:cs="Times New Roman"/>
                      <w:b/>
                      <w:bCs/>
                      <w:color w:val="000000"/>
                      <w:lang w:val="lt-LT" w:eastAsia="lt-LT"/>
                    </w:rPr>
                    <w:t xml:space="preserve"> su PVM</w:t>
                  </w:r>
                </w:p>
              </w:tc>
            </w:tr>
            <w:tr w:rsidR="00B8468E" w:rsidRPr="00866F35" w:rsidTr="009B0EAD">
              <w:trPr>
                <w:trHeight w:val="215"/>
              </w:trPr>
              <w:tc>
                <w:tcPr>
                  <w:tcW w:w="541" w:type="dxa"/>
                </w:tcPr>
                <w:p w:rsidR="00B8468E" w:rsidRPr="00866F35" w:rsidRDefault="008F3961" w:rsidP="008F3961">
                  <w:pPr>
                    <w:jc w:val="center"/>
                    <w:rPr>
                      <w:rFonts w:ascii="Times New Roman" w:hAnsi="Times New Roman" w:cs="Times New Roman"/>
                      <w:lang w:val="lt-LT"/>
                    </w:rPr>
                  </w:pPr>
                  <w:r>
                    <w:rPr>
                      <w:rFonts w:ascii="Times New Roman" w:hAnsi="Times New Roman" w:cs="Times New Roman"/>
                      <w:lang w:val="lt-LT"/>
                    </w:rPr>
                    <w:t>1.</w:t>
                  </w:r>
                </w:p>
              </w:tc>
              <w:tc>
                <w:tcPr>
                  <w:tcW w:w="3311" w:type="dxa"/>
                  <w:vAlign w:val="center"/>
                </w:tcPr>
                <w:p w:rsidR="00B8468E" w:rsidRPr="00866F35" w:rsidRDefault="0071133C" w:rsidP="00B8468E">
                  <w:pPr>
                    <w:rPr>
                      <w:rFonts w:ascii="Times New Roman" w:hAnsi="Times New Roman" w:cs="Times New Roman"/>
                      <w:lang w:val="lt-LT"/>
                    </w:rPr>
                  </w:pPr>
                  <w:r>
                    <w:rPr>
                      <w:rFonts w:ascii="Times New Roman" w:hAnsi="Times New Roman" w:cs="Times New Roman"/>
                      <w:color w:val="000000"/>
                      <w:lang w:val="lt-LT" w:eastAsia="lt-LT"/>
                    </w:rPr>
                    <w:t>S</w:t>
                  </w:r>
                  <w:r w:rsidR="008F3961">
                    <w:rPr>
                      <w:rFonts w:ascii="Times New Roman" w:hAnsi="Times New Roman" w:cs="Times New Roman"/>
                      <w:color w:val="000000"/>
                      <w:lang w:val="lt-LT" w:eastAsia="lt-LT"/>
                    </w:rPr>
                    <w:t xml:space="preserve">portinio kostiumo </w:t>
                  </w:r>
                  <w:r>
                    <w:rPr>
                      <w:rFonts w:ascii="Times New Roman" w:hAnsi="Times New Roman" w:cs="Times New Roman"/>
                      <w:color w:val="000000"/>
                      <w:lang w:val="lt-LT" w:eastAsia="lt-LT"/>
                    </w:rPr>
                    <w:t>džemperis</w:t>
                  </w:r>
                </w:p>
              </w:tc>
              <w:tc>
                <w:tcPr>
                  <w:tcW w:w="1310" w:type="dxa"/>
                  <w:vAlign w:val="center"/>
                </w:tcPr>
                <w:p w:rsidR="00B8468E" w:rsidRPr="00866F35" w:rsidRDefault="00B8468E" w:rsidP="00B8468E">
                  <w:pPr>
                    <w:jc w:val="center"/>
                    <w:rPr>
                      <w:rFonts w:ascii="Times New Roman" w:hAnsi="Times New Roman" w:cs="Times New Roman"/>
                      <w:lang w:val="lt-LT"/>
                    </w:rPr>
                  </w:pPr>
                  <w:r w:rsidRPr="00866F35">
                    <w:rPr>
                      <w:rFonts w:ascii="Times New Roman" w:hAnsi="Times New Roman" w:cs="Times New Roman"/>
                      <w:color w:val="000000"/>
                      <w:lang w:val="lt-LT" w:eastAsia="lt-LT"/>
                    </w:rPr>
                    <w:t>vnt.</w:t>
                  </w:r>
                </w:p>
              </w:tc>
              <w:tc>
                <w:tcPr>
                  <w:tcW w:w="1916" w:type="dxa"/>
                  <w:tcBorders>
                    <w:top w:val="single" w:sz="4" w:space="0" w:color="auto"/>
                    <w:left w:val="nil"/>
                    <w:bottom w:val="single" w:sz="4" w:space="0" w:color="auto"/>
                    <w:right w:val="single" w:sz="4" w:space="0" w:color="auto"/>
                  </w:tcBorders>
                  <w:shd w:val="clear" w:color="auto" w:fill="auto"/>
                  <w:vAlign w:val="center"/>
                </w:tcPr>
                <w:p w:rsidR="00B8468E" w:rsidRPr="00866F35" w:rsidRDefault="008F3961" w:rsidP="00B8468E">
                  <w:pPr>
                    <w:jc w:val="center"/>
                    <w:rPr>
                      <w:rFonts w:ascii="Times New Roman" w:hAnsi="Times New Roman" w:cs="Times New Roman"/>
                      <w:color w:val="000000"/>
                      <w:lang w:val="lt-LT"/>
                    </w:rPr>
                  </w:pPr>
                  <w:r>
                    <w:rPr>
                      <w:rFonts w:ascii="Times New Roman" w:hAnsi="Times New Roman" w:cs="Times New Roman"/>
                      <w:color w:val="000000"/>
                      <w:lang w:val="lt-LT"/>
                    </w:rPr>
                    <w:t>36,32</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B8468E" w:rsidRPr="00866F35" w:rsidRDefault="00D346D5" w:rsidP="00B8468E">
                  <w:pPr>
                    <w:jc w:val="center"/>
                    <w:rPr>
                      <w:rFonts w:ascii="Times New Roman" w:hAnsi="Times New Roman" w:cs="Times New Roman"/>
                      <w:color w:val="000000"/>
                      <w:lang w:val="lt-LT"/>
                    </w:rPr>
                  </w:pPr>
                  <w:r>
                    <w:rPr>
                      <w:rFonts w:ascii="Times New Roman" w:hAnsi="Times New Roman" w:cs="Times New Roman"/>
                      <w:color w:val="000000"/>
                      <w:lang w:val="lt-LT"/>
                    </w:rPr>
                    <w:t>43,95</w:t>
                  </w:r>
                </w:p>
              </w:tc>
            </w:tr>
            <w:tr w:rsidR="00B8468E" w:rsidRPr="00866F35" w:rsidTr="009B0EAD">
              <w:trPr>
                <w:trHeight w:val="215"/>
              </w:trPr>
              <w:tc>
                <w:tcPr>
                  <w:tcW w:w="541" w:type="dxa"/>
                </w:tcPr>
                <w:p w:rsidR="00B8468E" w:rsidRPr="00866F35" w:rsidRDefault="008F3961" w:rsidP="008F3961">
                  <w:pPr>
                    <w:jc w:val="center"/>
                    <w:rPr>
                      <w:rFonts w:ascii="Times New Roman" w:hAnsi="Times New Roman" w:cs="Times New Roman"/>
                      <w:lang w:val="lt-LT"/>
                    </w:rPr>
                  </w:pPr>
                  <w:r>
                    <w:rPr>
                      <w:rFonts w:ascii="Times New Roman" w:hAnsi="Times New Roman" w:cs="Times New Roman"/>
                      <w:lang w:val="lt-LT"/>
                    </w:rPr>
                    <w:t>2.</w:t>
                  </w:r>
                </w:p>
              </w:tc>
              <w:tc>
                <w:tcPr>
                  <w:tcW w:w="3311" w:type="dxa"/>
                  <w:vAlign w:val="center"/>
                </w:tcPr>
                <w:p w:rsidR="00B8468E" w:rsidRPr="00866F35" w:rsidRDefault="0071133C" w:rsidP="00B8468E">
                  <w:pPr>
                    <w:rPr>
                      <w:rFonts w:ascii="Times New Roman" w:hAnsi="Times New Roman" w:cs="Times New Roman"/>
                      <w:lang w:val="lt-LT"/>
                    </w:rPr>
                  </w:pPr>
                  <w:r>
                    <w:rPr>
                      <w:rFonts w:ascii="Times New Roman" w:hAnsi="Times New Roman" w:cs="Times New Roman"/>
                      <w:color w:val="000000"/>
                      <w:lang w:val="lt-LT" w:eastAsia="lt-LT"/>
                    </w:rPr>
                    <w:t>S</w:t>
                  </w:r>
                  <w:r w:rsidR="008F3961">
                    <w:rPr>
                      <w:rFonts w:ascii="Times New Roman" w:hAnsi="Times New Roman" w:cs="Times New Roman"/>
                      <w:color w:val="000000"/>
                      <w:lang w:val="lt-LT" w:eastAsia="lt-LT"/>
                    </w:rPr>
                    <w:t xml:space="preserve">portinio kostiumo </w:t>
                  </w:r>
                  <w:r>
                    <w:rPr>
                      <w:rFonts w:ascii="Times New Roman" w:hAnsi="Times New Roman" w:cs="Times New Roman"/>
                      <w:color w:val="000000"/>
                      <w:lang w:val="lt-LT" w:eastAsia="lt-LT"/>
                    </w:rPr>
                    <w:t>kelnės</w:t>
                  </w:r>
                </w:p>
              </w:tc>
              <w:tc>
                <w:tcPr>
                  <w:tcW w:w="1310" w:type="dxa"/>
                  <w:vAlign w:val="center"/>
                </w:tcPr>
                <w:p w:rsidR="00B8468E" w:rsidRPr="00866F35" w:rsidRDefault="00B8468E" w:rsidP="00B8468E">
                  <w:pPr>
                    <w:jc w:val="center"/>
                    <w:rPr>
                      <w:rFonts w:ascii="Times New Roman" w:hAnsi="Times New Roman" w:cs="Times New Roman"/>
                      <w:lang w:val="lt-LT"/>
                    </w:rPr>
                  </w:pPr>
                  <w:r w:rsidRPr="00866F35">
                    <w:rPr>
                      <w:rFonts w:ascii="Times New Roman" w:hAnsi="Times New Roman" w:cs="Times New Roman"/>
                      <w:color w:val="000000"/>
                      <w:lang w:val="lt-LT" w:eastAsia="lt-LT"/>
                    </w:rPr>
                    <w:t>vnt.</w:t>
                  </w:r>
                </w:p>
              </w:tc>
              <w:tc>
                <w:tcPr>
                  <w:tcW w:w="1916" w:type="dxa"/>
                  <w:tcBorders>
                    <w:top w:val="single" w:sz="4" w:space="0" w:color="auto"/>
                    <w:left w:val="nil"/>
                    <w:bottom w:val="single" w:sz="4" w:space="0" w:color="auto"/>
                    <w:right w:val="single" w:sz="4" w:space="0" w:color="auto"/>
                  </w:tcBorders>
                  <w:shd w:val="clear" w:color="auto" w:fill="auto"/>
                  <w:vAlign w:val="center"/>
                </w:tcPr>
                <w:p w:rsidR="00B8468E" w:rsidRPr="00866F35" w:rsidRDefault="008F3961" w:rsidP="00B8468E">
                  <w:pPr>
                    <w:jc w:val="center"/>
                    <w:rPr>
                      <w:rFonts w:ascii="Times New Roman" w:hAnsi="Times New Roman" w:cs="Times New Roman"/>
                      <w:color w:val="000000"/>
                      <w:lang w:val="lt-LT"/>
                    </w:rPr>
                  </w:pPr>
                  <w:r>
                    <w:rPr>
                      <w:rFonts w:ascii="Times New Roman" w:hAnsi="Times New Roman" w:cs="Times New Roman"/>
                      <w:color w:val="000000"/>
                      <w:lang w:val="lt-LT"/>
                    </w:rPr>
                    <w:t>33,44</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B8468E" w:rsidRPr="00866F35" w:rsidRDefault="00D346D5" w:rsidP="00D346D5">
                  <w:pPr>
                    <w:jc w:val="center"/>
                    <w:rPr>
                      <w:rFonts w:ascii="Times New Roman" w:hAnsi="Times New Roman" w:cs="Times New Roman"/>
                      <w:color w:val="000000"/>
                      <w:lang w:val="lt-LT"/>
                    </w:rPr>
                  </w:pPr>
                  <w:r>
                    <w:rPr>
                      <w:rFonts w:ascii="Times New Roman" w:hAnsi="Times New Roman" w:cs="Times New Roman"/>
                      <w:color w:val="000000"/>
                      <w:lang w:val="lt-LT"/>
                    </w:rPr>
                    <w:t>40,46</w:t>
                  </w:r>
                </w:p>
              </w:tc>
            </w:tr>
          </w:tbl>
          <w:p w:rsidR="00B8468E" w:rsidRPr="00866F35" w:rsidRDefault="00B8468E" w:rsidP="004A2D3A">
            <w:pPr>
              <w:pStyle w:val="ListParagraph"/>
              <w:jc w:val="both"/>
              <w:rPr>
                <w:lang w:val="lt-LT"/>
              </w:rPr>
            </w:pPr>
          </w:p>
        </w:tc>
      </w:tr>
      <w:tr w:rsidR="00B8468E" w:rsidRPr="00866F35" w:rsidTr="009B0EAD">
        <w:trPr>
          <w:trHeight w:val="635"/>
        </w:trPr>
        <w:tc>
          <w:tcPr>
            <w:tcW w:w="9667" w:type="dxa"/>
            <w:gridSpan w:val="2"/>
          </w:tcPr>
          <w:p w:rsidR="007F6B6F" w:rsidRPr="007F6B6F" w:rsidRDefault="007F6B6F" w:rsidP="007F6B6F">
            <w:pPr>
              <w:spacing w:after="0" w:line="240" w:lineRule="auto"/>
            </w:pPr>
            <w:r>
              <w:rPr>
                <w:lang w:val="lt-LT"/>
              </w:rPr>
              <w:t xml:space="preserve"> * </w:t>
            </w:r>
            <w:proofErr w:type="spellStart"/>
            <w:r w:rsidRPr="00BB7430">
              <w:rPr>
                <w:rFonts w:ascii="Times New Roman" w:hAnsi="Times New Roman" w:cs="Times New Roman"/>
                <w:i/>
                <w:sz w:val="16"/>
                <w:szCs w:val="16"/>
              </w:rPr>
              <w:t>pagal</w:t>
            </w:r>
            <w:proofErr w:type="spellEnd"/>
            <w:r w:rsidRPr="00BB7430">
              <w:rPr>
                <w:rFonts w:ascii="Times New Roman" w:hAnsi="Times New Roman" w:cs="Times New Roman"/>
                <w:i/>
                <w:sz w:val="16"/>
                <w:szCs w:val="16"/>
              </w:rPr>
              <w:t xml:space="preserve"> </w:t>
            </w:r>
            <w:r w:rsidRPr="00BB7430">
              <w:rPr>
                <w:rFonts w:ascii="Times New Roman" w:eastAsia="Calibri" w:hAnsi="Times New Roman" w:cs="Times New Roman"/>
                <w:i/>
                <w:sz w:val="16"/>
                <w:szCs w:val="16"/>
                <w:lang w:val="lt-LT"/>
              </w:rPr>
              <w:t>Li</w:t>
            </w:r>
            <w:r>
              <w:rPr>
                <w:rFonts w:ascii="Times New Roman" w:eastAsia="Calibri" w:hAnsi="Times New Roman" w:cs="Times New Roman"/>
                <w:i/>
                <w:sz w:val="16"/>
                <w:szCs w:val="16"/>
                <w:lang w:val="lt-LT"/>
              </w:rPr>
              <w:t>etuvos Statistikos Departamento paskelbtus duomenis</w:t>
            </w:r>
            <w:r>
              <w:rPr>
                <w:rFonts w:cstheme="minorHAnsi"/>
                <w:szCs w:val="24"/>
              </w:rPr>
              <w:t xml:space="preserve"> </w:t>
            </w:r>
            <w:proofErr w:type="spellStart"/>
            <w:r w:rsidRPr="00FA7E20">
              <w:rPr>
                <w:rFonts w:eastAsia="Calibri"/>
                <w:i/>
                <w:lang w:val="lt-LT"/>
              </w:rPr>
              <w:t>Ind</w:t>
            </w:r>
            <w:r w:rsidRPr="00FA7E20">
              <w:rPr>
                <w:rFonts w:eastAsia="Calibri"/>
                <w:i/>
                <w:vertAlign w:val="subscript"/>
                <w:lang w:val="lt-LT"/>
              </w:rPr>
              <w:t>naujausias</w:t>
            </w:r>
            <w:proofErr w:type="spellEnd"/>
            <w:r>
              <w:rPr>
                <w:rFonts w:eastAsia="Calibri"/>
                <w:i/>
                <w:vertAlign w:val="subscript"/>
                <w:lang w:val="lt-LT"/>
              </w:rPr>
              <w:t xml:space="preserve"> (2022 m. balandžio mėn.)</w:t>
            </w:r>
            <w:r w:rsidRPr="00FA7E20">
              <w:rPr>
                <w:rFonts w:eastAsia="Calibri"/>
                <w:i/>
                <w:lang w:val="lt-LT"/>
              </w:rPr>
              <w:t xml:space="preserve"> – </w:t>
            </w:r>
            <w:r w:rsidRPr="00FA7E20">
              <w:t>14</w:t>
            </w:r>
            <w:r>
              <w:t>1,6900</w:t>
            </w:r>
          </w:p>
          <w:p w:rsidR="007F6B6F" w:rsidRPr="001436D3" w:rsidRDefault="00B8468E" w:rsidP="001436D3">
            <w:pPr>
              <w:pStyle w:val="ListParagraph"/>
              <w:numPr>
                <w:ilvl w:val="0"/>
                <w:numId w:val="2"/>
              </w:numPr>
              <w:jc w:val="both"/>
              <w:rPr>
                <w:lang w:val="lt-LT"/>
              </w:rPr>
            </w:pPr>
            <w:r w:rsidRPr="007F6B6F">
              <w:rPr>
                <w:lang w:val="lt-LT"/>
              </w:rPr>
              <w:t xml:space="preserve">Šis </w:t>
            </w:r>
            <w:r w:rsidRPr="007F6B6F">
              <w:rPr>
                <w:b/>
                <w:lang w:val="lt-LT"/>
              </w:rPr>
              <w:t>Susitarimas</w:t>
            </w:r>
            <w:r w:rsidRPr="007F6B6F">
              <w:rPr>
                <w:lang w:val="lt-LT"/>
              </w:rPr>
              <w:t xml:space="preserve"> įsigalioja nuo jo pasirašymo momento ir tampa neatskiriama Sutarties dalimi. </w:t>
            </w:r>
          </w:p>
        </w:tc>
      </w:tr>
      <w:tr w:rsidR="008E76A3" w:rsidRPr="00866F35" w:rsidTr="009B0EAD">
        <w:trPr>
          <w:trHeight w:val="656"/>
        </w:trPr>
        <w:tc>
          <w:tcPr>
            <w:tcW w:w="4911" w:type="dxa"/>
          </w:tcPr>
          <w:p w:rsidR="001436D3" w:rsidRPr="008E76A3" w:rsidRDefault="001436D3" w:rsidP="001436D3">
            <w:pPr>
              <w:spacing w:after="160" w:line="240" w:lineRule="auto"/>
              <w:contextualSpacing/>
              <w:rPr>
                <w:rFonts w:ascii="Times New Roman" w:hAnsi="Times New Roman" w:cs="Times New Roman"/>
                <w:b/>
                <w:bCs/>
                <w:sz w:val="24"/>
                <w:szCs w:val="24"/>
                <w:lang w:val="lt-LT"/>
              </w:rPr>
            </w:pPr>
            <w:r w:rsidRPr="008E76A3">
              <w:rPr>
                <w:rFonts w:ascii="Times New Roman" w:hAnsi="Times New Roman" w:cs="Times New Roman"/>
                <w:b/>
                <w:bCs/>
                <w:sz w:val="24"/>
                <w:szCs w:val="24"/>
                <w:lang w:val="lt-LT"/>
              </w:rPr>
              <w:t xml:space="preserve">                 </w:t>
            </w:r>
            <w:r w:rsidR="00F231E0" w:rsidRPr="008E76A3">
              <w:rPr>
                <w:rFonts w:ascii="Times New Roman" w:hAnsi="Times New Roman" w:cs="Times New Roman"/>
                <w:b/>
                <w:bCs/>
                <w:sz w:val="24"/>
                <w:szCs w:val="24"/>
                <w:lang w:val="lt-LT"/>
              </w:rPr>
              <w:t xml:space="preserve">UAB </w:t>
            </w:r>
            <w:r w:rsidRPr="008E76A3">
              <w:rPr>
                <w:rFonts w:ascii="Times New Roman" w:hAnsi="Times New Roman" w:cs="Times New Roman"/>
                <w:b/>
                <w:bCs/>
                <w:sz w:val="24"/>
                <w:szCs w:val="24"/>
                <w:lang w:val="lt-LT"/>
              </w:rPr>
              <w:t>„</w:t>
            </w:r>
            <w:proofErr w:type="spellStart"/>
            <w:r w:rsidRPr="008E76A3">
              <w:rPr>
                <w:rFonts w:ascii="Times New Roman" w:hAnsi="Times New Roman" w:cs="Times New Roman"/>
                <w:b/>
                <w:bCs/>
                <w:sz w:val="24"/>
                <w:szCs w:val="24"/>
                <w:lang w:val="lt-LT"/>
              </w:rPr>
              <w:t>Omniteksas</w:t>
            </w:r>
            <w:proofErr w:type="spellEnd"/>
            <w:r w:rsidRPr="008E76A3">
              <w:rPr>
                <w:rFonts w:ascii="Times New Roman" w:hAnsi="Times New Roman" w:cs="Times New Roman"/>
                <w:b/>
                <w:bCs/>
                <w:sz w:val="24"/>
                <w:szCs w:val="24"/>
                <w:lang w:val="lt-LT"/>
              </w:rPr>
              <w:t>“</w:t>
            </w:r>
          </w:p>
          <w:p w:rsidR="00B8468E" w:rsidRPr="008E76A3" w:rsidRDefault="001436D3" w:rsidP="001436D3">
            <w:pPr>
              <w:spacing w:after="160" w:line="240" w:lineRule="auto"/>
              <w:contextualSpacing/>
              <w:rPr>
                <w:rFonts w:ascii="Times New Roman" w:hAnsi="Times New Roman" w:cs="Times New Roman"/>
                <w:b/>
                <w:bCs/>
                <w:sz w:val="24"/>
                <w:szCs w:val="24"/>
                <w:lang w:val="lt-LT"/>
              </w:rPr>
            </w:pPr>
            <w:r w:rsidRPr="008E76A3">
              <w:rPr>
                <w:rFonts w:ascii="Times New Roman" w:hAnsi="Times New Roman" w:cs="Times New Roman"/>
                <w:b/>
                <w:bCs/>
                <w:sz w:val="24"/>
                <w:szCs w:val="24"/>
                <w:lang w:val="lt-LT"/>
              </w:rPr>
              <w:t xml:space="preserve">                           </w:t>
            </w:r>
            <w:r w:rsidR="00B8468E" w:rsidRPr="008E76A3">
              <w:rPr>
                <w:rFonts w:ascii="Times New Roman" w:hAnsi="Times New Roman" w:cs="Times New Roman"/>
                <w:sz w:val="24"/>
                <w:szCs w:val="24"/>
                <w:lang w:val="lt-LT"/>
              </w:rPr>
              <w:t>direktorė</w:t>
            </w:r>
          </w:p>
          <w:p w:rsidR="00F231E0" w:rsidRPr="008E76A3" w:rsidRDefault="00F231E0" w:rsidP="00B8468E">
            <w:pPr>
              <w:spacing w:after="160" w:line="240" w:lineRule="auto"/>
              <w:contextualSpacing/>
              <w:jc w:val="center"/>
              <w:rPr>
                <w:rFonts w:ascii="Times New Roman" w:hAnsi="Times New Roman" w:cs="Times New Roman"/>
                <w:sz w:val="24"/>
                <w:szCs w:val="24"/>
                <w:lang w:val="lt-LT"/>
              </w:rPr>
            </w:pPr>
          </w:p>
          <w:p w:rsidR="001436D3" w:rsidRPr="008E76A3" w:rsidRDefault="001436D3" w:rsidP="00B8468E">
            <w:pPr>
              <w:spacing w:after="160" w:line="240" w:lineRule="auto"/>
              <w:contextualSpacing/>
              <w:jc w:val="center"/>
              <w:rPr>
                <w:rFonts w:ascii="Times New Roman" w:hAnsi="Times New Roman" w:cs="Times New Roman"/>
                <w:sz w:val="24"/>
                <w:szCs w:val="24"/>
                <w:lang w:val="lt-LT"/>
              </w:rPr>
            </w:pPr>
          </w:p>
          <w:p w:rsidR="001436D3" w:rsidRPr="008E76A3" w:rsidRDefault="001436D3" w:rsidP="009B0EAD">
            <w:pPr>
              <w:spacing w:after="160" w:line="240" w:lineRule="auto"/>
              <w:contextualSpacing/>
              <w:rPr>
                <w:rFonts w:ascii="Times New Roman" w:hAnsi="Times New Roman" w:cs="Times New Roman"/>
                <w:sz w:val="24"/>
                <w:szCs w:val="24"/>
                <w:lang w:val="lt-LT"/>
              </w:rPr>
            </w:pPr>
          </w:p>
          <w:p w:rsidR="00F231E0" w:rsidRPr="008E76A3" w:rsidRDefault="00B8468E" w:rsidP="00F231E0">
            <w:pPr>
              <w:spacing w:after="160" w:line="240" w:lineRule="auto"/>
              <w:contextualSpacing/>
              <w:jc w:val="center"/>
              <w:rPr>
                <w:rFonts w:ascii="Times New Roman" w:hAnsi="Times New Roman" w:cs="Times New Roman"/>
                <w:sz w:val="24"/>
                <w:szCs w:val="24"/>
                <w:lang w:val="lt-LT"/>
              </w:rPr>
            </w:pPr>
            <w:r w:rsidRPr="008E76A3">
              <w:rPr>
                <w:rFonts w:ascii="Times New Roman" w:hAnsi="Times New Roman" w:cs="Times New Roman"/>
                <w:sz w:val="24"/>
                <w:szCs w:val="24"/>
                <w:lang w:val="lt-LT"/>
              </w:rPr>
              <w:t>_____________________________</w:t>
            </w:r>
          </w:p>
          <w:p w:rsidR="00B8468E" w:rsidRPr="008E76A3" w:rsidRDefault="008E76A3" w:rsidP="008E76A3">
            <w:pPr>
              <w:spacing w:line="240" w:lineRule="auto"/>
              <w:rPr>
                <w:rFonts w:ascii="Times New Roman" w:hAnsi="Times New Roman" w:cs="Times New Roman"/>
                <w:sz w:val="24"/>
                <w:szCs w:val="24"/>
                <w:lang w:val="lt-LT"/>
              </w:rPr>
            </w:pPr>
            <w:r w:rsidRPr="008E76A3">
              <w:rPr>
                <w:rFonts w:ascii="Times New Roman" w:hAnsi="Times New Roman" w:cs="Times New Roman"/>
                <w:sz w:val="24"/>
                <w:szCs w:val="24"/>
                <w:lang w:val="lt-LT"/>
              </w:rPr>
              <w:t xml:space="preserve">             Reda  </w:t>
            </w:r>
            <w:proofErr w:type="spellStart"/>
            <w:r w:rsidRPr="008E76A3">
              <w:rPr>
                <w:rFonts w:ascii="Times New Roman" w:hAnsi="Times New Roman" w:cs="Times New Roman"/>
                <w:sz w:val="24"/>
                <w:szCs w:val="24"/>
                <w:lang w:val="lt-LT"/>
              </w:rPr>
              <w:t>Siudikienė</w:t>
            </w:r>
            <w:proofErr w:type="spellEnd"/>
            <w:r w:rsidRPr="008E76A3">
              <w:rPr>
                <w:rFonts w:ascii="Times New Roman" w:hAnsi="Times New Roman" w:cs="Times New Roman"/>
                <w:sz w:val="24"/>
                <w:szCs w:val="24"/>
                <w:lang w:val="lt-LT"/>
              </w:rPr>
              <w:t xml:space="preserve">                                              </w:t>
            </w:r>
          </w:p>
        </w:tc>
        <w:tc>
          <w:tcPr>
            <w:tcW w:w="4755" w:type="dxa"/>
          </w:tcPr>
          <w:p w:rsidR="00C260C3" w:rsidRDefault="00B8468E" w:rsidP="00C260C3">
            <w:pPr>
              <w:spacing w:after="0" w:line="252" w:lineRule="auto"/>
              <w:jc w:val="center"/>
              <w:rPr>
                <w:rFonts w:ascii="Times New Roman" w:hAnsi="Times New Roman" w:cs="Times New Roman"/>
                <w:b/>
                <w:bCs/>
                <w:sz w:val="24"/>
                <w:szCs w:val="24"/>
                <w:lang w:val="lt-LT"/>
              </w:rPr>
            </w:pPr>
            <w:r w:rsidRPr="008E76A3">
              <w:rPr>
                <w:rFonts w:ascii="Times New Roman" w:hAnsi="Times New Roman" w:cs="Times New Roman"/>
                <w:b/>
                <w:bCs/>
                <w:sz w:val="24"/>
                <w:szCs w:val="24"/>
                <w:lang w:val="lt-LT"/>
              </w:rPr>
              <w:t xml:space="preserve">Gynybos resursų agentūros prie Krašto apsaugos ministerijos </w:t>
            </w:r>
          </w:p>
          <w:p w:rsidR="001436D3" w:rsidRPr="00C260C3" w:rsidRDefault="001436D3" w:rsidP="001436D3">
            <w:pPr>
              <w:spacing w:line="252" w:lineRule="auto"/>
              <w:jc w:val="center"/>
              <w:rPr>
                <w:rFonts w:ascii="Times New Roman" w:hAnsi="Times New Roman" w:cs="Times New Roman"/>
                <w:b/>
                <w:sz w:val="24"/>
                <w:szCs w:val="24"/>
                <w:lang w:val="lt-LT"/>
              </w:rPr>
            </w:pPr>
            <w:r w:rsidRPr="00C260C3">
              <w:rPr>
                <w:rFonts w:ascii="Times New Roman" w:hAnsi="Times New Roman" w:cs="Times New Roman"/>
                <w:b/>
                <w:sz w:val="24"/>
                <w:szCs w:val="24"/>
                <w:lang w:val="lt-LT"/>
              </w:rPr>
              <w:t>Atsargų valdymo departamento direktorius,</w:t>
            </w:r>
            <w:r w:rsidRPr="00C260C3">
              <w:rPr>
                <w:rFonts w:ascii="Times New Roman" w:hAnsi="Times New Roman" w:cs="Times New Roman"/>
                <w:b/>
                <w:bCs/>
                <w:sz w:val="24"/>
                <w:szCs w:val="24"/>
                <w:lang w:val="lt-LT"/>
              </w:rPr>
              <w:t xml:space="preserve"> </w:t>
            </w:r>
            <w:r w:rsidRPr="00C260C3">
              <w:rPr>
                <w:rFonts w:ascii="Times New Roman" w:hAnsi="Times New Roman" w:cs="Times New Roman"/>
                <w:b/>
                <w:sz w:val="24"/>
                <w:szCs w:val="24"/>
                <w:lang w:val="lt-LT"/>
              </w:rPr>
              <w:t>vykdantis direktoriaus</w:t>
            </w:r>
            <w:r w:rsidR="00010176" w:rsidRPr="00C260C3">
              <w:rPr>
                <w:rFonts w:ascii="Times New Roman" w:hAnsi="Times New Roman" w:cs="Times New Roman"/>
                <w:b/>
                <w:sz w:val="24"/>
                <w:szCs w:val="24"/>
                <w:lang w:val="lt-LT"/>
              </w:rPr>
              <w:t xml:space="preserve"> funkcijas</w:t>
            </w:r>
          </w:p>
          <w:p w:rsidR="008E76A3" w:rsidRPr="008E76A3" w:rsidRDefault="00B8468E" w:rsidP="008E76A3">
            <w:pPr>
              <w:spacing w:line="252" w:lineRule="auto"/>
              <w:ind w:firstLine="299"/>
              <w:jc w:val="center"/>
              <w:rPr>
                <w:rFonts w:ascii="Times New Roman" w:hAnsi="Times New Roman" w:cs="Times New Roman"/>
                <w:b/>
                <w:sz w:val="24"/>
                <w:szCs w:val="24"/>
              </w:rPr>
            </w:pPr>
            <w:r w:rsidRPr="008E76A3">
              <w:rPr>
                <w:rFonts w:ascii="Times New Roman" w:hAnsi="Times New Roman" w:cs="Times New Roman"/>
                <w:b/>
                <w:sz w:val="24"/>
                <w:szCs w:val="24"/>
                <w:lang w:val="lt-LT"/>
              </w:rPr>
              <w:t>_______________</w:t>
            </w:r>
            <w:r w:rsidR="008E76A3" w:rsidRPr="008E76A3">
              <w:rPr>
                <w:rFonts w:ascii="Times New Roman" w:hAnsi="Times New Roman" w:cs="Times New Roman"/>
                <w:b/>
                <w:sz w:val="24"/>
                <w:szCs w:val="24"/>
                <w:lang w:val="lt-LT"/>
              </w:rPr>
              <w:t>__________</w:t>
            </w:r>
            <w:r w:rsidR="008E76A3" w:rsidRPr="008E76A3">
              <w:rPr>
                <w:rFonts w:ascii="Times New Roman" w:hAnsi="Times New Roman" w:cs="Times New Roman"/>
                <w:b/>
                <w:sz w:val="24"/>
                <w:szCs w:val="24"/>
              </w:rPr>
              <w:t xml:space="preserve">                          </w:t>
            </w:r>
            <w:proofErr w:type="spellStart"/>
            <w:r w:rsidR="008E76A3" w:rsidRPr="008E76A3">
              <w:rPr>
                <w:rFonts w:ascii="Times New Roman" w:hAnsi="Times New Roman" w:cs="Times New Roman"/>
                <w:sz w:val="24"/>
                <w:szCs w:val="24"/>
              </w:rPr>
              <w:t>plk</w:t>
            </w:r>
            <w:proofErr w:type="spellEnd"/>
            <w:r w:rsidR="008E76A3" w:rsidRPr="008E76A3">
              <w:rPr>
                <w:rFonts w:ascii="Times New Roman" w:hAnsi="Times New Roman" w:cs="Times New Roman"/>
                <w:sz w:val="24"/>
                <w:szCs w:val="24"/>
              </w:rPr>
              <w:t xml:space="preserve">. </w:t>
            </w:r>
            <w:proofErr w:type="spellStart"/>
            <w:proofErr w:type="gramStart"/>
            <w:r w:rsidR="008E76A3" w:rsidRPr="008E76A3">
              <w:rPr>
                <w:rFonts w:ascii="Times New Roman" w:hAnsi="Times New Roman" w:cs="Times New Roman"/>
                <w:sz w:val="24"/>
                <w:szCs w:val="24"/>
              </w:rPr>
              <w:t>ltn</w:t>
            </w:r>
            <w:proofErr w:type="spellEnd"/>
            <w:proofErr w:type="gramEnd"/>
            <w:r w:rsidR="008E76A3" w:rsidRPr="008E76A3">
              <w:rPr>
                <w:rFonts w:ascii="Times New Roman" w:hAnsi="Times New Roman" w:cs="Times New Roman"/>
                <w:sz w:val="24"/>
                <w:szCs w:val="24"/>
              </w:rPr>
              <w:t>. Audrius Buivydas</w:t>
            </w:r>
          </w:p>
          <w:p w:rsidR="00B8468E" w:rsidRPr="008E76A3" w:rsidRDefault="00B8468E" w:rsidP="008E76A3">
            <w:pPr>
              <w:spacing w:line="252" w:lineRule="auto"/>
              <w:rPr>
                <w:rFonts w:ascii="Times New Roman" w:hAnsi="Times New Roman" w:cs="Times New Roman"/>
                <w:b/>
                <w:sz w:val="24"/>
                <w:szCs w:val="24"/>
              </w:rPr>
            </w:pPr>
          </w:p>
        </w:tc>
      </w:tr>
    </w:tbl>
    <w:p w:rsidR="002D2C5D" w:rsidRPr="008E76A3" w:rsidRDefault="002D2C5D" w:rsidP="008E76A3">
      <w:pPr>
        <w:rPr>
          <w:rFonts w:ascii="Times New Roman" w:hAnsi="Times New Roman" w:cs="Times New Roman"/>
          <w:sz w:val="24"/>
          <w:szCs w:val="24"/>
          <w:lang w:val="lt-LT"/>
        </w:rPr>
      </w:pPr>
      <w:bookmarkStart w:id="1" w:name="_GoBack"/>
      <w:bookmarkEnd w:id="1"/>
    </w:p>
    <w:sectPr w:rsidR="002D2C5D" w:rsidRPr="008E76A3" w:rsidSect="00D63415">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04" w:rsidRDefault="00EA7704" w:rsidP="008B1B11">
      <w:pPr>
        <w:spacing w:after="0" w:line="240" w:lineRule="auto"/>
      </w:pPr>
      <w:r>
        <w:separator/>
      </w:r>
    </w:p>
  </w:endnote>
  <w:endnote w:type="continuationSeparator" w:id="0">
    <w:p w:rsidR="00EA7704" w:rsidRDefault="00EA7704" w:rsidP="008B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04" w:rsidRDefault="00EA7704" w:rsidP="008B1B11">
      <w:pPr>
        <w:spacing w:after="0" w:line="240" w:lineRule="auto"/>
      </w:pPr>
      <w:r>
        <w:separator/>
      </w:r>
    </w:p>
  </w:footnote>
  <w:footnote w:type="continuationSeparator" w:id="0">
    <w:p w:rsidR="00EA7704" w:rsidRDefault="00EA7704" w:rsidP="008B1B11">
      <w:pPr>
        <w:spacing w:after="0" w:line="240" w:lineRule="auto"/>
      </w:pPr>
      <w:r>
        <w:continuationSeparator/>
      </w:r>
    </w:p>
  </w:footnote>
  <w:footnote w:id="1">
    <w:p w:rsidR="008B1B11" w:rsidRPr="00AE7208" w:rsidRDefault="008B1B11" w:rsidP="008B1B11">
      <w:pPr>
        <w:pStyle w:val="FootnoteText"/>
        <w:rPr>
          <w:rFonts w:ascii="Times New Roman" w:hAnsi="Times New Roman" w:cs="Times New Roman"/>
          <w:lang w:val="lt-LT"/>
        </w:rPr>
      </w:pPr>
      <w:r w:rsidRPr="00AE7208">
        <w:rPr>
          <w:rStyle w:val="FootnoteReference"/>
          <w:rFonts w:ascii="Times New Roman" w:hAnsi="Times New Roman" w:cs="Times New Roman"/>
          <w:lang w:val="lt-LT"/>
        </w:rPr>
        <w:footnoteRef/>
      </w:r>
      <w:r w:rsidRPr="00AE7208">
        <w:rPr>
          <w:rFonts w:ascii="Times New Roman" w:hAnsi="Times New Roman" w:cs="Times New Roman"/>
          <w:lang w:val="lt-LT"/>
        </w:rPr>
        <w:t xml:space="preserve"> Žiūrėti: </w:t>
      </w:r>
      <w:hyperlink r:id="rId1" w:history="1">
        <w:r w:rsidRPr="00AE7208">
          <w:rPr>
            <w:rStyle w:val="Hyperlink"/>
            <w:rFonts w:ascii="Times New Roman" w:hAnsi="Times New Roman" w:cs="Times New Roman"/>
            <w:lang w:val="lt-LT"/>
          </w:rPr>
          <w:t>https://vpt.lrv.lt/lt/naujienos/del-viesojo-pirkimo-pardavimo-sutarciu-kainu-ir-kitu-salygu-perziurejimo</w:t>
        </w:r>
      </w:hyperlink>
      <w:r w:rsidRPr="00AE7208">
        <w:rPr>
          <w:rStyle w:val="Hyperlink"/>
          <w:rFonts w:ascii="Times New Roman" w:hAnsi="Times New Roman" w:cs="Times New Roman"/>
          <w:lang w:val="lt-LT"/>
        </w:rPr>
        <w:t>.</w:t>
      </w:r>
    </w:p>
  </w:footnote>
  <w:footnote w:id="2">
    <w:p w:rsidR="008B1B11" w:rsidRPr="00AE7208" w:rsidRDefault="008B1B11" w:rsidP="008B1B11">
      <w:pPr>
        <w:pStyle w:val="FootnoteText"/>
        <w:rPr>
          <w:rFonts w:ascii="Times New Roman" w:hAnsi="Times New Roman" w:cs="Times New Roman"/>
          <w:lang w:val="lt-LT"/>
        </w:rPr>
      </w:pPr>
      <w:r w:rsidRPr="00AE7208">
        <w:rPr>
          <w:rStyle w:val="FootnoteReference"/>
          <w:rFonts w:ascii="Times New Roman" w:hAnsi="Times New Roman" w:cs="Times New Roman"/>
        </w:rPr>
        <w:footnoteRef/>
      </w:r>
      <w:r w:rsidRPr="00AE7208">
        <w:rPr>
          <w:rFonts w:ascii="Times New Roman" w:hAnsi="Times New Roman" w:cs="Times New Roman"/>
        </w:rPr>
        <w:t xml:space="preserve"> </w:t>
      </w:r>
      <w:r w:rsidRPr="00AE7208">
        <w:rPr>
          <w:rFonts w:ascii="Times New Roman" w:hAnsi="Times New Roman" w:cs="Times New Roman"/>
          <w:lang w:val="lt-LT"/>
        </w:rPr>
        <w:t xml:space="preserve">Žiūrėti: </w:t>
      </w:r>
      <w:hyperlink r:id="rId2" w:anchor="/" w:history="1">
        <w:r w:rsidR="00A83199" w:rsidRPr="001132E6">
          <w:rPr>
            <w:rStyle w:val="Hyperlink"/>
          </w:rPr>
          <w:t>https://osp.stat.gov.lt/statistiniu-rodikliu-analize?indicator=S7R259#/</w:t>
        </w:r>
      </w:hyperlink>
      <w:r w:rsidR="00A83199">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6C8"/>
    <w:multiLevelType w:val="multilevel"/>
    <w:tmpl w:val="A5B4910E"/>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2057513C"/>
    <w:multiLevelType w:val="multilevel"/>
    <w:tmpl w:val="3D52F7CC"/>
    <w:lvl w:ilvl="0">
      <w:start w:val="1"/>
      <w:numFmt w:val="decimal"/>
      <w:lvlText w:val="%1."/>
      <w:lvlJc w:val="left"/>
      <w:pPr>
        <w:ind w:left="1070" w:hanging="360"/>
      </w:pPr>
      <w:rPr>
        <w:rFonts w:hint="default"/>
      </w:rPr>
    </w:lvl>
    <w:lvl w:ilvl="1">
      <w:start w:val="1"/>
      <w:numFmt w:val="decimal"/>
      <w:isLgl/>
      <w:lvlText w:val="%1.%2"/>
      <w:lvlJc w:val="left"/>
      <w:pPr>
        <w:ind w:left="1636" w:hanging="435"/>
      </w:pPr>
      <w:rPr>
        <w:rFonts w:hint="default"/>
      </w:rPr>
    </w:lvl>
    <w:lvl w:ilvl="2">
      <w:start w:val="1"/>
      <w:numFmt w:val="decimal"/>
      <w:isLgl/>
      <w:lvlText w:val="%1.%2.%3"/>
      <w:lvlJc w:val="left"/>
      <w:pPr>
        <w:ind w:left="2412"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54"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096" w:hanging="1440"/>
      </w:pPr>
      <w:rPr>
        <w:rFonts w:hint="default"/>
      </w:rPr>
    </w:lvl>
    <w:lvl w:ilvl="7">
      <w:start w:val="1"/>
      <w:numFmt w:val="decimal"/>
      <w:isLgl/>
      <w:lvlText w:val="%1.%2.%3.%4.%5.%6.%7.%8"/>
      <w:lvlJc w:val="left"/>
      <w:pPr>
        <w:ind w:left="5587" w:hanging="1440"/>
      </w:pPr>
      <w:rPr>
        <w:rFonts w:hint="default"/>
      </w:rPr>
    </w:lvl>
    <w:lvl w:ilvl="8">
      <w:start w:val="1"/>
      <w:numFmt w:val="decimal"/>
      <w:isLgl/>
      <w:lvlText w:val="%1.%2.%3.%4.%5.%6.%7.%8.%9"/>
      <w:lvlJc w:val="left"/>
      <w:pPr>
        <w:ind w:left="6438" w:hanging="1800"/>
      </w:pPr>
      <w:rPr>
        <w:rFonts w:hint="default"/>
      </w:rPr>
    </w:lvl>
  </w:abstractNum>
  <w:abstractNum w:abstractNumId="2" w15:restartNumberingAfterBreak="0">
    <w:nsid w:val="2ABB0B65"/>
    <w:multiLevelType w:val="hybridMultilevel"/>
    <w:tmpl w:val="658E7266"/>
    <w:lvl w:ilvl="0" w:tplc="11EE432C">
      <w:start w:val="202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8143E1"/>
    <w:multiLevelType w:val="hybridMultilevel"/>
    <w:tmpl w:val="B8088028"/>
    <w:lvl w:ilvl="0" w:tplc="BE94DA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11"/>
    <w:rsid w:val="00010176"/>
    <w:rsid w:val="0001253E"/>
    <w:rsid w:val="00041818"/>
    <w:rsid w:val="00041967"/>
    <w:rsid w:val="000A479F"/>
    <w:rsid w:val="000B22E9"/>
    <w:rsid w:val="000E5BEA"/>
    <w:rsid w:val="000F3994"/>
    <w:rsid w:val="000F6A54"/>
    <w:rsid w:val="000F6FF9"/>
    <w:rsid w:val="001007D0"/>
    <w:rsid w:val="0010529A"/>
    <w:rsid w:val="0013018D"/>
    <w:rsid w:val="001436D3"/>
    <w:rsid w:val="00160981"/>
    <w:rsid w:val="00162907"/>
    <w:rsid w:val="0017768D"/>
    <w:rsid w:val="00194B6B"/>
    <w:rsid w:val="001D6909"/>
    <w:rsid w:val="001E33F3"/>
    <w:rsid w:val="00207F78"/>
    <w:rsid w:val="00225064"/>
    <w:rsid w:val="00253B5E"/>
    <w:rsid w:val="00261E0D"/>
    <w:rsid w:val="002B572C"/>
    <w:rsid w:val="002D2C5D"/>
    <w:rsid w:val="00357A25"/>
    <w:rsid w:val="003A6B0D"/>
    <w:rsid w:val="003B4FBA"/>
    <w:rsid w:val="003C25CA"/>
    <w:rsid w:val="00407DDB"/>
    <w:rsid w:val="00422540"/>
    <w:rsid w:val="00445198"/>
    <w:rsid w:val="0047286F"/>
    <w:rsid w:val="004A2D3A"/>
    <w:rsid w:val="004B3F06"/>
    <w:rsid w:val="004E023F"/>
    <w:rsid w:val="004F22C7"/>
    <w:rsid w:val="005019C2"/>
    <w:rsid w:val="00541D49"/>
    <w:rsid w:val="005568D7"/>
    <w:rsid w:val="00586A15"/>
    <w:rsid w:val="00587A9E"/>
    <w:rsid w:val="005D6AFC"/>
    <w:rsid w:val="006067BC"/>
    <w:rsid w:val="00606B59"/>
    <w:rsid w:val="00644AC9"/>
    <w:rsid w:val="006C3D99"/>
    <w:rsid w:val="006E5CC8"/>
    <w:rsid w:val="00700A5E"/>
    <w:rsid w:val="0071133C"/>
    <w:rsid w:val="00723424"/>
    <w:rsid w:val="00760B31"/>
    <w:rsid w:val="007847EF"/>
    <w:rsid w:val="00797CF9"/>
    <w:rsid w:val="007A099C"/>
    <w:rsid w:val="007D1860"/>
    <w:rsid w:val="007E67D8"/>
    <w:rsid w:val="007F6B6F"/>
    <w:rsid w:val="00804C30"/>
    <w:rsid w:val="008258F9"/>
    <w:rsid w:val="00866F35"/>
    <w:rsid w:val="0087701D"/>
    <w:rsid w:val="008B1B11"/>
    <w:rsid w:val="008C39B5"/>
    <w:rsid w:val="008E76A3"/>
    <w:rsid w:val="008F3961"/>
    <w:rsid w:val="00996D98"/>
    <w:rsid w:val="009A1BCD"/>
    <w:rsid w:val="009A5266"/>
    <w:rsid w:val="009B0EAD"/>
    <w:rsid w:val="00A0026F"/>
    <w:rsid w:val="00A05ECF"/>
    <w:rsid w:val="00A83199"/>
    <w:rsid w:val="00AC37C0"/>
    <w:rsid w:val="00AC6EE3"/>
    <w:rsid w:val="00AE6D94"/>
    <w:rsid w:val="00AF46CA"/>
    <w:rsid w:val="00B8468E"/>
    <w:rsid w:val="00C260C3"/>
    <w:rsid w:val="00C30956"/>
    <w:rsid w:val="00C50000"/>
    <w:rsid w:val="00C97E49"/>
    <w:rsid w:val="00CC111C"/>
    <w:rsid w:val="00CC1960"/>
    <w:rsid w:val="00CE5BFC"/>
    <w:rsid w:val="00D346D5"/>
    <w:rsid w:val="00D63415"/>
    <w:rsid w:val="00D91D45"/>
    <w:rsid w:val="00DB100B"/>
    <w:rsid w:val="00DB201F"/>
    <w:rsid w:val="00DD7C33"/>
    <w:rsid w:val="00E365D8"/>
    <w:rsid w:val="00E60FDD"/>
    <w:rsid w:val="00E76CC9"/>
    <w:rsid w:val="00EA7704"/>
    <w:rsid w:val="00EC27F7"/>
    <w:rsid w:val="00ED195F"/>
    <w:rsid w:val="00EE2B87"/>
    <w:rsid w:val="00F20F0A"/>
    <w:rsid w:val="00F231E0"/>
    <w:rsid w:val="00F54AA0"/>
    <w:rsid w:val="00F818C9"/>
    <w:rsid w:val="00FF2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7975"/>
  <w15:chartTrackingRefBased/>
  <w15:docId w15:val="{B9CDB26E-89DB-40A5-AE24-E4E67B9F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11"/>
    <w:pPr>
      <w:spacing w:after="200" w:line="276"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1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8B1B11"/>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1B11"/>
    <w:pPr>
      <w:spacing w:after="0" w:line="240" w:lineRule="auto"/>
    </w:pPr>
    <w:rPr>
      <w:sz w:val="20"/>
      <w:szCs w:val="20"/>
    </w:rPr>
  </w:style>
  <w:style w:type="character" w:customStyle="1" w:styleId="FootnoteTextChar">
    <w:name w:val="Footnote Text Char"/>
    <w:basedOn w:val="DefaultParagraphFont"/>
    <w:link w:val="FootnoteText"/>
    <w:uiPriority w:val="99"/>
    <w:rsid w:val="008B1B11"/>
    <w:rPr>
      <w:rFonts w:ascii="Calibri" w:eastAsia="Times New Roman" w:hAnsi="Calibri" w:cs="Calibri"/>
      <w:sz w:val="20"/>
      <w:szCs w:val="20"/>
      <w:lang w:val="en-US"/>
    </w:rPr>
  </w:style>
  <w:style w:type="character" w:styleId="FootnoteReference">
    <w:name w:val="footnote reference"/>
    <w:basedOn w:val="DefaultParagraphFont"/>
    <w:uiPriority w:val="99"/>
    <w:unhideWhenUsed/>
    <w:rsid w:val="008B1B11"/>
    <w:rPr>
      <w:vertAlign w:val="superscript"/>
    </w:rPr>
  </w:style>
  <w:style w:type="character" w:styleId="Hyperlink">
    <w:name w:val="Hyperlink"/>
    <w:basedOn w:val="DefaultParagraphFont"/>
    <w:uiPriority w:val="99"/>
    <w:unhideWhenUsed/>
    <w:rsid w:val="008B1B11"/>
    <w:rPr>
      <w:color w:val="0563C1"/>
      <w:u w:val="single"/>
    </w:rPr>
  </w:style>
  <w:style w:type="character" w:styleId="FollowedHyperlink">
    <w:name w:val="FollowedHyperlink"/>
    <w:basedOn w:val="DefaultParagraphFont"/>
    <w:uiPriority w:val="99"/>
    <w:semiHidden/>
    <w:unhideWhenUsed/>
    <w:rsid w:val="003B4FBA"/>
    <w:rPr>
      <w:color w:val="954F72" w:themeColor="followedHyperlink"/>
      <w:u w:val="single"/>
    </w:rPr>
  </w:style>
  <w:style w:type="character" w:styleId="CommentReference">
    <w:name w:val="annotation reference"/>
    <w:basedOn w:val="DefaultParagraphFont"/>
    <w:uiPriority w:val="99"/>
    <w:semiHidden/>
    <w:unhideWhenUsed/>
    <w:rsid w:val="005568D7"/>
    <w:rPr>
      <w:sz w:val="16"/>
      <w:szCs w:val="16"/>
    </w:rPr>
  </w:style>
  <w:style w:type="paragraph" w:styleId="CommentText">
    <w:name w:val="annotation text"/>
    <w:basedOn w:val="Normal"/>
    <w:link w:val="CommentTextChar"/>
    <w:uiPriority w:val="99"/>
    <w:semiHidden/>
    <w:unhideWhenUsed/>
    <w:rsid w:val="005568D7"/>
    <w:pPr>
      <w:spacing w:line="240" w:lineRule="auto"/>
    </w:pPr>
    <w:rPr>
      <w:sz w:val="20"/>
      <w:szCs w:val="20"/>
    </w:rPr>
  </w:style>
  <w:style w:type="character" w:customStyle="1" w:styleId="CommentTextChar">
    <w:name w:val="Comment Text Char"/>
    <w:basedOn w:val="DefaultParagraphFont"/>
    <w:link w:val="CommentText"/>
    <w:uiPriority w:val="99"/>
    <w:semiHidden/>
    <w:rsid w:val="005568D7"/>
    <w:rPr>
      <w:rFonts w:ascii="Calibri" w:eastAsia="Times New Roman"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568D7"/>
    <w:rPr>
      <w:b/>
      <w:bCs/>
    </w:rPr>
  </w:style>
  <w:style w:type="character" w:customStyle="1" w:styleId="CommentSubjectChar">
    <w:name w:val="Comment Subject Char"/>
    <w:basedOn w:val="CommentTextChar"/>
    <w:link w:val="CommentSubject"/>
    <w:uiPriority w:val="99"/>
    <w:semiHidden/>
    <w:rsid w:val="005568D7"/>
    <w:rPr>
      <w:rFonts w:ascii="Calibri" w:eastAsia="Times New Roman" w:hAnsi="Calibri" w:cs="Calibri"/>
      <w:b/>
      <w:bCs/>
      <w:sz w:val="20"/>
      <w:szCs w:val="20"/>
      <w:lang w:val="en-US"/>
    </w:rPr>
  </w:style>
  <w:style w:type="paragraph" w:styleId="BalloonText">
    <w:name w:val="Balloon Text"/>
    <w:basedOn w:val="Normal"/>
    <w:link w:val="BalloonTextChar"/>
    <w:uiPriority w:val="99"/>
    <w:semiHidden/>
    <w:unhideWhenUsed/>
    <w:rsid w:val="00556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D7"/>
    <w:rPr>
      <w:rFonts w:ascii="Segoe UI" w:eastAsia="Times New Roman" w:hAnsi="Segoe UI" w:cs="Segoe UI"/>
      <w:sz w:val="18"/>
      <w:szCs w:val="18"/>
      <w:lang w:val="en-US"/>
    </w:rPr>
  </w:style>
  <w:style w:type="paragraph" w:styleId="NoSpacing">
    <w:name w:val="No Spacing"/>
    <w:uiPriority w:val="1"/>
    <w:qFormat/>
    <w:rsid w:val="00E76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vpt.lrv.lt/lt/naujienos/del-viesojo-pirkimo-pardavimo-sutarciu-kainu-ir-kitu-salygu-perziurejimo"
                 TargetMode="External"
                 Type="http://schemas.openxmlformats.org/officeDocument/2006/relationships/hyperlink"/>
   <Relationship Id="rId2"
                 Target="https://osp.stat.gov.lt/statistiniu-rodikliu-analize?indicator=S7R25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DD4B-1942-4E5C-80A9-5DB0ED70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5075</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2022-06-06T12:14:00Z</dcterms:created>
  <dc:creator>Jolanta Streižienė</dc:creator>
  <cp:lastModifiedBy>Vilija Vrublevskienė</cp:lastModifiedBy>
  <cp:lastPrinted>2022-06-14T08:07:00Z</cp:lastPrinted>
  <dcterms:modified xsi:type="dcterms:W3CDTF">2022-06-14T09:09:00Z</dcterms:modified>
  <cp:revision>71</cp:revision>
</cp:coreProperties>
</file>