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74CB" w14:textId="77777777" w:rsidR="00866098" w:rsidRDefault="00000000">
      <w:pPr>
        <w:pStyle w:val="Antrat3"/>
        <w:widowControl w:val="0"/>
        <w:spacing w:before="40" w:after="0"/>
        <w:jc w:val="center"/>
      </w:pPr>
      <w:r>
        <w:rPr>
          <w:rFonts w:ascii="Times New Roman" w:eastAsia="Times New Roman" w:hAnsi="Times New Roman"/>
          <w:b/>
          <w:bCs/>
          <w:color w:val="000000"/>
          <w:sz w:val="24"/>
          <w:szCs w:val="24"/>
        </w:rPr>
        <w:t xml:space="preserve">PASLAUGŲ TEIKIMO SUTARTIS Nr. </w:t>
      </w:r>
    </w:p>
    <w:p w14:paraId="179F5236" w14:textId="77777777" w:rsidR="00866098"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Vilniaus raj.</w:t>
      </w:r>
    </w:p>
    <w:p w14:paraId="56219984" w14:textId="6FFFB2C7" w:rsidR="00866098"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2025 m. rug</w:t>
      </w:r>
      <w:r w:rsidR="00AC3A79">
        <w:rPr>
          <w:rFonts w:ascii="Times New Roman" w:eastAsia="Times New Roman" w:hAnsi="Times New Roman" w:cs="Times New Roman"/>
          <w:color w:val="000000"/>
        </w:rPr>
        <w:t>sėjo</w:t>
      </w:r>
      <w:r>
        <w:rPr>
          <w:rFonts w:ascii="Times New Roman" w:eastAsia="Times New Roman" w:hAnsi="Times New Roman" w:cs="Times New Roman"/>
          <w:color w:val="000000"/>
        </w:rPr>
        <w:t xml:space="preserve"> mėn. </w:t>
      </w:r>
      <w:r w:rsidR="00AC3A79">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d.</w:t>
      </w:r>
    </w:p>
    <w:p w14:paraId="620B3AC3" w14:textId="77777777" w:rsidR="00866098" w:rsidRDefault="00000000">
      <w:pPr>
        <w:spacing w:after="0"/>
        <w:ind w:firstLine="1134"/>
        <w:jc w:val="both"/>
      </w:pPr>
      <w:r>
        <w:rPr>
          <w:rFonts w:ascii="Times New Roman" w:eastAsia="Times New Roman" w:hAnsi="Times New Roman" w:cs="Times New Roman"/>
          <w:color w:val="000000"/>
        </w:rPr>
        <w:t>Vilniaus rajono savivaldybės visuomenės sveikatos biuras (toliau – Užsakovas</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įstaigos kodas 307019718, atstovaujamas direktorės Dovilės </w:t>
      </w:r>
      <w:proofErr w:type="spellStart"/>
      <w:r>
        <w:rPr>
          <w:rFonts w:ascii="Times New Roman" w:eastAsia="Times New Roman" w:hAnsi="Times New Roman" w:cs="Times New Roman"/>
          <w:color w:val="000000"/>
        </w:rPr>
        <w:t>Virketės</w:t>
      </w:r>
      <w:proofErr w:type="spellEnd"/>
      <w:r>
        <w:rPr>
          <w:rFonts w:ascii="Times New Roman" w:eastAsia="Times New Roman" w:hAnsi="Times New Roman" w:cs="Times New Roman"/>
          <w:color w:val="000000"/>
        </w:rPr>
        <w:t xml:space="preserve">, veikiančios pagal Biuro nuostatus, ir Justina </w:t>
      </w:r>
      <w:proofErr w:type="spellStart"/>
      <w:r>
        <w:rPr>
          <w:rFonts w:ascii="Times New Roman" w:eastAsia="Times New Roman" w:hAnsi="Times New Roman" w:cs="Times New Roman"/>
          <w:color w:val="000000"/>
        </w:rPr>
        <w:t>Bikinaitė</w:t>
      </w:r>
      <w:proofErr w:type="spellEnd"/>
      <w:r>
        <w:rPr>
          <w:rFonts w:ascii="Times New Roman" w:eastAsia="Times New Roman" w:hAnsi="Times New Roman" w:cs="Times New Roman"/>
          <w:color w:val="000000"/>
        </w:rPr>
        <w:t xml:space="preserve"> (toliau – Vykdytojas),  asmens kodas 60007091340 , tel. </w:t>
      </w:r>
      <w:proofErr w:type="spellStart"/>
      <w:r>
        <w:rPr>
          <w:rFonts w:ascii="Times New Roman" w:eastAsia="Times New Roman" w:hAnsi="Times New Roman" w:cs="Times New Roman"/>
          <w:color w:val="000000"/>
        </w:rPr>
        <w:t>nr</w:t>
      </w:r>
      <w:proofErr w:type="spellEnd"/>
      <w:r>
        <w:rPr>
          <w:rFonts w:ascii="Times New Roman" w:eastAsia="Times New Roman" w:hAnsi="Times New Roman" w:cs="Times New Roman"/>
          <w:color w:val="000000"/>
        </w:rPr>
        <w:t xml:space="preserve">, +370 640 33174, el. p.: </w:t>
      </w:r>
      <w:hyperlink r:id="rId6" w:history="1">
        <w:r w:rsidR="00866098">
          <w:rPr>
            <w:rStyle w:val="Hipersaitas"/>
            <w:rFonts w:ascii="Times New Roman" w:eastAsia="Times New Roman" w:hAnsi="Times New Roman" w:cs="Times New Roman"/>
          </w:rPr>
          <w:t>juste.kinezi@gmail.com</w:t>
        </w:r>
      </w:hyperlink>
      <w:r>
        <w:rPr>
          <w:rStyle w:val="Grietas"/>
          <w:rFonts w:ascii="Times New Roman" w:eastAsia="Times New Roman" w:hAnsi="Times New Roman" w:cs="Times New Roman"/>
          <w:b w:val="0"/>
          <w:bCs w:val="0"/>
          <w:color w:val="000000"/>
        </w:rPr>
        <w:t xml:space="preserve"> </w:t>
      </w:r>
      <w:r>
        <w:rPr>
          <w:rFonts w:ascii="Times New Roman" w:eastAsia="Times New Roman" w:hAnsi="Times New Roman" w:cs="Times New Roman"/>
          <w:color w:val="000000"/>
        </w:rPr>
        <w:t>(toliau kartu vadinamos Šalimis, o kiekviena atskirai – Šalimi), sudarė šią paslaugų sutartį (toliau vadinama Sutartimi).</w:t>
      </w:r>
    </w:p>
    <w:p w14:paraId="63DA3490" w14:textId="77777777" w:rsidR="00866098" w:rsidRDefault="00866098">
      <w:pPr>
        <w:widowControl w:val="0"/>
        <w:spacing w:after="0" w:line="240" w:lineRule="auto"/>
        <w:ind w:firstLine="1134"/>
        <w:jc w:val="both"/>
        <w:rPr>
          <w:rFonts w:ascii="Times New Roman" w:eastAsia="Times New Roman" w:hAnsi="Times New Roman" w:cs="Times New Roman"/>
          <w:color w:val="000000"/>
        </w:rPr>
      </w:pPr>
    </w:p>
    <w:p w14:paraId="451F5D77" w14:textId="77777777" w:rsidR="00866098" w:rsidRDefault="00000000">
      <w:pPr>
        <w:widowControl w:val="0"/>
        <w:spacing w:after="0" w:line="240" w:lineRule="auto"/>
        <w:ind w:firstLine="709"/>
        <w:jc w:val="both"/>
      </w:pPr>
      <w:r>
        <w:rPr>
          <w:rFonts w:ascii="Times New Roman" w:eastAsia="Times New Roman" w:hAnsi="Times New Roman" w:cs="Times New Roman"/>
          <w:b/>
          <w:bCs/>
          <w:color w:val="000000"/>
        </w:rPr>
        <w:t>1. Sutarties objektas:</w:t>
      </w:r>
    </w:p>
    <w:p w14:paraId="5F51804F"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1.1. šia sutartimi Vykdytojas įsipareigoja suteikti Užsakovui fizinio aktyvumo specialisto paslaugas;</w:t>
      </w:r>
    </w:p>
    <w:p w14:paraId="54B44DFC"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1.2. Vykdytojas įsipareigoja paslaugą suteikti laikotarpiu: nuo 2025 m. rugsėjo 9 d. iki gruodžio 18 d., viso 30 užsiėmimų per pateiktą laikotarpį;</w:t>
      </w:r>
    </w:p>
    <w:p w14:paraId="24209CFB"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1.3. Vykdytojas turi atitikti Lietuvos Respublikos sporto įstatymu nustatytus kvalifikacinius reikalavimus fizinio aktyvumo specialistui;</w:t>
      </w:r>
    </w:p>
    <w:p w14:paraId="12331A42"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1.4. Vykdytojas turi turėti individualios veiklos pažymą / verslo liudijimą arba sporto išsilavinimą leidžiantį vykdyti fizinio aktyvumo užsiėmimus;</w:t>
      </w:r>
    </w:p>
    <w:p w14:paraId="4D831DFB"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1.5. Vykdytojas į užsiėmimus turi atvykti antradieniais ir ketvirtadieniais 18:45 val.–19:35 val., adresu: Mokyklos g. 20, Juodšiliai, 14102, Vilniaus raj., Juodšilių Šv. Uršulės </w:t>
      </w:r>
      <w:proofErr w:type="spellStart"/>
      <w:r>
        <w:rPr>
          <w:rFonts w:ascii="Times New Roman" w:eastAsia="Times New Roman" w:hAnsi="Times New Roman" w:cs="Times New Roman"/>
          <w:color w:val="000000"/>
        </w:rPr>
        <w:t>Leduchovskos</w:t>
      </w:r>
      <w:proofErr w:type="spellEnd"/>
      <w:r>
        <w:rPr>
          <w:rFonts w:ascii="Times New Roman" w:eastAsia="Times New Roman" w:hAnsi="Times New Roman" w:cs="Times New Roman"/>
          <w:color w:val="000000"/>
        </w:rPr>
        <w:t xml:space="preserve"> gimnazija, turi atvykti savo transportu, kelionės kuro išlaidos papildomai neapmokamos;</w:t>
      </w:r>
    </w:p>
    <w:p w14:paraId="3A221561"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1.6. Vykdytojas įsipareigoja užpildyti užsiėmimuose dalyvaujančių asmenų lankomumo lapą, kurį pateikia Užsakovas;</w:t>
      </w:r>
    </w:p>
    <w:p w14:paraId="489AF2FE"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1.7. Užsakovas įsipareigoja sumokėti už paslaugas šios Sutarties 2.1. punkte numatytą sumą laikydamasis Sutarties 2.2 punkte numatytos tvarkos;</w:t>
      </w:r>
    </w:p>
    <w:p w14:paraId="7B68E26C"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1.8. Užsakovas įsipareigoja suteikti reikalingas sporto priemones, kad Vykdytojas galėtų sklandžiai atlikti paslaugas. </w:t>
      </w:r>
    </w:p>
    <w:p w14:paraId="01C33583" w14:textId="77777777" w:rsidR="00866098" w:rsidRDefault="00866098">
      <w:pPr>
        <w:widowControl w:val="0"/>
        <w:spacing w:after="0" w:line="240" w:lineRule="auto"/>
        <w:ind w:firstLine="709"/>
        <w:jc w:val="both"/>
        <w:rPr>
          <w:rFonts w:ascii="Times New Roman" w:eastAsia="Times New Roman" w:hAnsi="Times New Roman" w:cs="Times New Roman"/>
          <w:color w:val="000000"/>
        </w:rPr>
      </w:pPr>
    </w:p>
    <w:p w14:paraId="38E881D6" w14:textId="77777777" w:rsidR="00866098" w:rsidRDefault="00000000">
      <w:pPr>
        <w:widowControl w:val="0"/>
        <w:spacing w:after="0"/>
        <w:ind w:firstLine="709"/>
        <w:jc w:val="both"/>
      </w:pPr>
      <w:r>
        <w:rPr>
          <w:rFonts w:ascii="Times New Roman" w:eastAsia="Times New Roman" w:hAnsi="Times New Roman" w:cs="Times New Roman"/>
          <w:b/>
          <w:bCs/>
          <w:color w:val="000000"/>
        </w:rPr>
        <w:t>2. Darbų kaina ir atsiskaitymo tvarka:</w:t>
      </w:r>
    </w:p>
    <w:p w14:paraId="4AC9BEC5" w14:textId="77777777" w:rsidR="00866098" w:rsidRDefault="00000000">
      <w:pPr>
        <w:widowControl w:val="0"/>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2.1. šia Sutartimi numatytos paslaugos įvertintos – 60 Eur už vieną užsiėmimą. Suma apmokėjimui – 1800 Eur (Vienas tūkstantis, aštuoni šimtai eurų);</w:t>
      </w:r>
    </w:p>
    <w:p w14:paraId="38A855BF" w14:textId="77777777" w:rsidR="00866098" w:rsidRDefault="00000000">
      <w:pPr>
        <w:widowControl w:val="0"/>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 atsiskaitymo tvarka:</w:t>
      </w:r>
    </w:p>
    <w:p w14:paraId="2CEE537C"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2.2.1. Vykdytojas iki einamojo mėnesio 15 d. įsipareigoja išrašyti sąskaitą faktūrą už praėjusio mėnesio suteiktas paslaugas ir pateikti ją per SABIS elektroninių sąskaitų sistemą;</w:t>
      </w:r>
    </w:p>
    <w:p w14:paraId="4E058062" w14:textId="77777777" w:rsidR="00866098" w:rsidRDefault="00000000">
      <w:pPr>
        <w:widowControl w:val="0"/>
        <w:spacing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2.2.2. mokėjimai vykdomi pervedant pinigus mokėjimo pavedimu į Vykdytojo atsiskaitomąją sąskaitą;</w:t>
      </w:r>
    </w:p>
    <w:p w14:paraId="441AFC41" w14:textId="77777777" w:rsidR="00866098" w:rsidRDefault="00000000">
      <w:pPr>
        <w:widowControl w:val="0"/>
        <w:spacing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2.2.3. Užsakovas įsipareigoja už suteiktas paslaugas sumokėti ne vėliau kaip per 30 kalendorinių dienų nuo Vykdytojo sąskaitos faktūros pateikimo datos.</w:t>
      </w:r>
    </w:p>
    <w:p w14:paraId="5A4C1C7C" w14:textId="77777777" w:rsidR="00866098" w:rsidRDefault="00866098">
      <w:pPr>
        <w:widowControl w:val="0"/>
        <w:spacing w:after="0" w:line="240" w:lineRule="auto"/>
        <w:ind w:firstLine="709"/>
        <w:jc w:val="both"/>
        <w:rPr>
          <w:rFonts w:ascii="Times New Roman" w:eastAsia="Times New Roman" w:hAnsi="Times New Roman" w:cs="Times New Roman"/>
          <w:color w:val="000000"/>
        </w:rPr>
      </w:pPr>
    </w:p>
    <w:p w14:paraId="34ED96D7" w14:textId="77777777" w:rsidR="00866098" w:rsidRDefault="00000000">
      <w:pPr>
        <w:widowControl w:val="0"/>
        <w:spacing w:after="0" w:line="240" w:lineRule="auto"/>
        <w:ind w:firstLine="720"/>
        <w:jc w:val="both"/>
      </w:pPr>
      <w:r>
        <w:rPr>
          <w:rFonts w:ascii="Times New Roman" w:eastAsia="Times New Roman" w:hAnsi="Times New Roman" w:cs="Times New Roman"/>
          <w:b/>
          <w:bCs/>
          <w:color w:val="000000"/>
        </w:rPr>
        <w:t xml:space="preserve">3. Šalių teisės ir pareigos: </w:t>
      </w:r>
    </w:p>
    <w:p w14:paraId="19C08F1F" w14:textId="77777777" w:rsidR="0086609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3.1. Vykdytojas įsipareigoja tinkamai, laiku ir kokybiškai teikti Sutarties 1 punkte numatytas paslaugas, pagal iš anksto su Užsakovu suderintus reikalavimus;</w:t>
      </w:r>
    </w:p>
    <w:p w14:paraId="0B3F6A03" w14:textId="77777777" w:rsidR="0086609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3.2. Vykdytojas privalo visapusiškai bendradarbiauti su Užsakovu siekiant, kad paslaugos būtų suteiktos kokybiškai ir atitiktų Užsakovo interesus;</w:t>
      </w:r>
    </w:p>
    <w:p w14:paraId="1AD2AF16" w14:textId="77777777" w:rsidR="0086609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3.3.Vykdytojas privalo savo sąskaita pašalinti visus teikiamų ir / ar suteiktų paslaugų </w:t>
      </w:r>
      <w:r>
        <w:rPr>
          <w:rFonts w:ascii="Times New Roman" w:eastAsia="Times New Roman" w:hAnsi="Times New Roman" w:cs="Times New Roman"/>
          <w:color w:val="000000"/>
        </w:rPr>
        <w:lastRenderedPageBreak/>
        <w:t>atlikimo trūkumus per trumpiausią įmanomą protingą terminą;</w:t>
      </w:r>
    </w:p>
    <w:p w14:paraId="1F93A919" w14:textId="77777777" w:rsidR="0086609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3.4. Užsakovas įsipareigoja priimti Vykdytojo suteiktas paslaugas ir jas apmokėti.</w:t>
      </w:r>
    </w:p>
    <w:p w14:paraId="7ECAF035" w14:textId="77777777" w:rsidR="00866098" w:rsidRDefault="00866098">
      <w:pPr>
        <w:widowControl w:val="0"/>
        <w:spacing w:after="0" w:line="240" w:lineRule="auto"/>
        <w:jc w:val="both"/>
        <w:rPr>
          <w:rFonts w:ascii="Times New Roman" w:eastAsia="Times New Roman" w:hAnsi="Times New Roman" w:cs="Times New Roman"/>
          <w:color w:val="000000"/>
        </w:rPr>
      </w:pPr>
    </w:p>
    <w:p w14:paraId="4A6E1013" w14:textId="77777777" w:rsidR="00866098" w:rsidRDefault="00000000">
      <w:pPr>
        <w:widowControl w:val="0"/>
        <w:spacing w:after="0" w:line="240" w:lineRule="auto"/>
        <w:ind w:firstLine="709"/>
        <w:jc w:val="both"/>
      </w:pPr>
      <w:r>
        <w:rPr>
          <w:rFonts w:ascii="Times New Roman" w:eastAsia="Times New Roman" w:hAnsi="Times New Roman" w:cs="Times New Roman"/>
          <w:b/>
          <w:bCs/>
          <w:color w:val="000000"/>
        </w:rPr>
        <w:t>4. Nepaprastosios aplinkybės:</w:t>
      </w:r>
    </w:p>
    <w:p w14:paraId="7B6B7540" w14:textId="77777777" w:rsidR="00866098" w:rsidRDefault="00000000">
      <w:pPr>
        <w:widowControl w:val="0"/>
        <w:spacing w:after="0" w:line="240" w:lineRule="auto"/>
        <w:ind w:firstLine="709"/>
        <w:jc w:val="both"/>
      </w:pPr>
      <w:r>
        <w:rPr>
          <w:rFonts w:ascii="Times New Roman" w:eastAsia="Times New Roman" w:hAnsi="Times New Roman" w:cs="Times New Roman"/>
          <w:color w:val="000000"/>
        </w:rPr>
        <w:t>4.1. Šalys neatsako už visišką ar dalinį savo įsipareigojimų pagal šią sutartį nevykdymą, jei tai įvyksta dėl nenugalimos jėgos aplinkybių. Šalys nenugalimos jėgos (</w:t>
      </w:r>
      <w:r>
        <w:rPr>
          <w:rFonts w:ascii="Times New Roman" w:eastAsia="Times New Roman" w:hAnsi="Times New Roman" w:cs="Times New Roman"/>
          <w:i/>
          <w:iCs/>
          <w:color w:val="000000"/>
        </w:rPr>
        <w:t>force majeure</w:t>
      </w:r>
      <w:r>
        <w:rPr>
          <w:rFonts w:ascii="Times New Roman" w:eastAsia="Times New Roman" w:hAnsi="Times New Roman" w:cs="Times New Roman"/>
          <w:color w:val="000000"/>
        </w:rPr>
        <w:t>) aplinkybes supranta taip, kaip nustato LR civilinis kodeksas;</w:t>
      </w:r>
    </w:p>
    <w:p w14:paraId="647E1BF9"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4.2. Sutarties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50405E2" w14:textId="77777777" w:rsidR="00866098" w:rsidRDefault="00866098">
      <w:pPr>
        <w:widowControl w:val="0"/>
        <w:spacing w:after="0" w:line="240" w:lineRule="auto"/>
        <w:jc w:val="both"/>
        <w:rPr>
          <w:rFonts w:ascii="Times New Roman" w:eastAsia="Times New Roman" w:hAnsi="Times New Roman" w:cs="Times New Roman"/>
          <w:color w:val="000000"/>
        </w:rPr>
      </w:pPr>
    </w:p>
    <w:p w14:paraId="1662948F" w14:textId="77777777" w:rsidR="00866098" w:rsidRDefault="00000000">
      <w:pPr>
        <w:widowControl w:val="0"/>
        <w:spacing w:after="0" w:line="240" w:lineRule="auto"/>
        <w:ind w:firstLine="720"/>
        <w:jc w:val="both"/>
      </w:pPr>
      <w:r>
        <w:rPr>
          <w:rFonts w:ascii="Times New Roman" w:eastAsia="Times New Roman" w:hAnsi="Times New Roman" w:cs="Times New Roman"/>
          <w:b/>
          <w:bCs/>
          <w:color w:val="000000"/>
        </w:rPr>
        <w:t>5. Sutarties galiojimas ir nutraukimo tvarka:</w:t>
      </w:r>
    </w:p>
    <w:p w14:paraId="5EE9E32D" w14:textId="77777777" w:rsidR="0086609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p>
    <w:p w14:paraId="4DBD1C26" w14:textId="5962E1BE" w:rsidR="0086609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5.2. Vykdytojas turi teisę vienašališkai nutraukti sutartį tik dėl svarbių priežasčių. Tokiu atveju Vykdytojas privalo visiškai atlyginti Užsakovo patirtus nuostolius</w:t>
      </w:r>
      <w:r w:rsidR="00AC3A79">
        <w:rPr>
          <w:rFonts w:ascii="Times New Roman" w:eastAsia="Times New Roman" w:hAnsi="Times New Roman" w:cs="Times New Roman"/>
          <w:color w:val="000000"/>
        </w:rPr>
        <w:t>;</w:t>
      </w:r>
    </w:p>
    <w:p w14:paraId="5FA1E34F" w14:textId="77777777" w:rsidR="00AC3A79" w:rsidRPr="00AC3A79" w:rsidRDefault="00AC3A79" w:rsidP="00AC3A79">
      <w:pPr>
        <w:widowControl w:val="0"/>
        <w:spacing w:after="0" w:line="240" w:lineRule="auto"/>
        <w:ind w:firstLine="720"/>
        <w:jc w:val="both"/>
        <w:rPr>
          <w:rFonts w:ascii="Times New Roman" w:eastAsia="Times New Roman" w:hAnsi="Times New Roman" w:cs="Times New Roman"/>
          <w:color w:val="000000"/>
        </w:rPr>
      </w:pPr>
      <w:r w:rsidRPr="00AC3A79">
        <w:rPr>
          <w:rFonts w:ascii="Times New Roman" w:eastAsia="Times New Roman" w:hAnsi="Times New Roman" w:cs="Times New Roman"/>
          <w:color w:val="000000"/>
        </w:rPr>
        <w:t xml:space="preserve">5.3. Sutartis galioja nuo sutarties pasirašymo dienos iki 2025m. gruodžio mėn. 31d. </w:t>
      </w:r>
    </w:p>
    <w:p w14:paraId="2D525276" w14:textId="77777777" w:rsidR="00AC3A79" w:rsidRDefault="00AC3A79">
      <w:pPr>
        <w:widowControl w:val="0"/>
        <w:spacing w:after="0" w:line="240" w:lineRule="auto"/>
        <w:ind w:firstLine="720"/>
        <w:jc w:val="both"/>
        <w:rPr>
          <w:rFonts w:ascii="Times New Roman" w:eastAsia="Times New Roman" w:hAnsi="Times New Roman" w:cs="Times New Roman"/>
          <w:color w:val="000000"/>
        </w:rPr>
      </w:pPr>
    </w:p>
    <w:p w14:paraId="6AEDBFBC" w14:textId="77777777" w:rsidR="00866098" w:rsidRDefault="00866098">
      <w:pPr>
        <w:widowControl w:val="0"/>
        <w:spacing w:after="0" w:line="240" w:lineRule="auto"/>
        <w:ind w:firstLine="709"/>
        <w:jc w:val="both"/>
        <w:rPr>
          <w:rFonts w:ascii="Times New Roman" w:eastAsia="Times New Roman" w:hAnsi="Times New Roman" w:cs="Times New Roman"/>
          <w:color w:val="000000"/>
        </w:rPr>
      </w:pPr>
    </w:p>
    <w:p w14:paraId="3DE178A6" w14:textId="77777777" w:rsidR="00866098" w:rsidRDefault="00000000">
      <w:pPr>
        <w:widowControl w:val="0"/>
        <w:spacing w:after="0" w:line="240" w:lineRule="auto"/>
        <w:ind w:firstLine="709"/>
        <w:jc w:val="both"/>
      </w:pPr>
      <w:r>
        <w:rPr>
          <w:rFonts w:ascii="Times New Roman" w:eastAsia="Times New Roman" w:hAnsi="Times New Roman" w:cs="Times New Roman"/>
          <w:b/>
          <w:bCs/>
          <w:color w:val="000000"/>
        </w:rPr>
        <w:t>6. Baigiamosios nuostatos:</w:t>
      </w:r>
    </w:p>
    <w:p w14:paraId="0DDE3AC5"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21814F77"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6.2. Sutartis įsigalioja nuo pasirašymo momento ir galioja iki galutinio tarpusavio atsiskaitymo;</w:t>
      </w:r>
    </w:p>
    <w:p w14:paraId="78D24F09"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6.3. bet kokie Sutarties pakeitimai ar papildymai galioja sudaryti tik raštu, pasirašius abiejų Šalių įgaliotiems atstovams. Žodinės išlygos neturi juridinės galios;</w:t>
      </w:r>
    </w:p>
    <w:p w14:paraId="372EFF0F"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6.4. jei kuri nors šios Sutarties dalis tampa negaliojanti arba anuliuojama, likusios sutarties dalys lieka galioti;</w:t>
      </w:r>
    </w:p>
    <w:p w14:paraId="20FBC6C8"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6.5. visi pranešimai ir kitas Šalių susirašinėjimas pagal Sutartį įteikiamas Sutarties Šaliai pasirašytinai arba siunčiant el. paštu , jei Sutartyje nenurodyta kitaip;</w:t>
      </w:r>
    </w:p>
    <w:p w14:paraId="7605A272"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6.6. pasikeitus adresams, telefonų numeriams, banko rekvizitams, Sutarties Šalys įsipareigoja apie tai nedelsdamos raštu informuoti viena kitą;</w:t>
      </w:r>
    </w:p>
    <w:p w14:paraId="5135EDAB"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6.7. visi su šia Sutartimi susiję ginčai sprendžiami derybų keliu. Nesusitarus, ginčai sprendžiami Lietuvos Respublikos įstatymų nustatyta tvarka;</w:t>
      </w:r>
    </w:p>
    <w:p w14:paraId="1CEB9583" w14:textId="77777777" w:rsidR="0086609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6.8. ši Sutartis sudaryta dviem originaliais egzemplioriais lietuvių kalba, po vieną kiekvienai Šaliai. Šalys pasirašo kiekviename Sutarties lape.</w:t>
      </w:r>
    </w:p>
    <w:p w14:paraId="14D374A5" w14:textId="77777777" w:rsidR="00866098" w:rsidRDefault="00866098">
      <w:pPr>
        <w:widowControl w:val="0"/>
        <w:spacing w:after="0" w:line="240" w:lineRule="auto"/>
        <w:ind w:firstLine="709"/>
        <w:jc w:val="center"/>
        <w:rPr>
          <w:rFonts w:ascii="Times New Roman" w:eastAsia="Times New Roman" w:hAnsi="Times New Roman" w:cs="Times New Roman"/>
          <w:color w:val="000000"/>
        </w:rPr>
      </w:pPr>
    </w:p>
    <w:p w14:paraId="0F2E9E4F" w14:textId="77777777" w:rsidR="00866098" w:rsidRDefault="00000000">
      <w:pPr>
        <w:widowControl w:val="0"/>
        <w:spacing w:after="0" w:line="240" w:lineRule="auto"/>
        <w:ind w:firstLine="709"/>
      </w:pPr>
      <w:r>
        <w:rPr>
          <w:rFonts w:ascii="Times New Roman" w:eastAsia="Times New Roman" w:hAnsi="Times New Roman" w:cs="Times New Roman"/>
          <w:b/>
          <w:bCs/>
          <w:color w:val="000000"/>
        </w:rPr>
        <w:t>7. Šalių adresai ir parašai</w:t>
      </w:r>
    </w:p>
    <w:tbl>
      <w:tblPr>
        <w:tblW w:w="8955" w:type="dxa"/>
        <w:tblLayout w:type="fixed"/>
        <w:tblCellMar>
          <w:left w:w="10" w:type="dxa"/>
          <w:right w:w="10" w:type="dxa"/>
        </w:tblCellMar>
        <w:tblLook w:val="04A0" w:firstRow="1" w:lastRow="0" w:firstColumn="1" w:lastColumn="0" w:noHBand="0" w:noVBand="1"/>
      </w:tblPr>
      <w:tblGrid>
        <w:gridCol w:w="4770"/>
        <w:gridCol w:w="225"/>
        <w:gridCol w:w="3960"/>
      </w:tblGrid>
      <w:tr w:rsidR="00866098" w14:paraId="44B21CF9" w14:textId="77777777">
        <w:trPr>
          <w:trHeight w:val="300"/>
        </w:trPr>
        <w:tc>
          <w:tcPr>
            <w:tcW w:w="4770" w:type="dxa"/>
            <w:shd w:val="clear" w:color="auto" w:fill="auto"/>
            <w:tcMar>
              <w:top w:w="0" w:type="dxa"/>
              <w:left w:w="90" w:type="dxa"/>
              <w:bottom w:w="0" w:type="dxa"/>
              <w:right w:w="90" w:type="dxa"/>
            </w:tcMar>
          </w:tcPr>
          <w:p w14:paraId="0A7BF14D"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UŽSAKOVAS</w:t>
            </w:r>
          </w:p>
          <w:p w14:paraId="4FE4DE14"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1A288D92"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20CBC786"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TEIKĖJAS</w:t>
            </w:r>
          </w:p>
        </w:tc>
      </w:tr>
      <w:tr w:rsidR="00866098" w14:paraId="77D8763D" w14:textId="77777777">
        <w:trPr>
          <w:trHeight w:val="300"/>
        </w:trPr>
        <w:tc>
          <w:tcPr>
            <w:tcW w:w="4770" w:type="dxa"/>
            <w:shd w:val="clear" w:color="auto" w:fill="auto"/>
            <w:tcMar>
              <w:top w:w="0" w:type="dxa"/>
              <w:left w:w="90" w:type="dxa"/>
              <w:bottom w:w="0" w:type="dxa"/>
              <w:right w:w="90" w:type="dxa"/>
            </w:tcMar>
          </w:tcPr>
          <w:p w14:paraId="000E4644"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Vilniaus rajono savivaldybės</w:t>
            </w:r>
          </w:p>
          <w:p w14:paraId="3EAA4EF5"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visuomenės sveikatos biuras</w:t>
            </w:r>
          </w:p>
        </w:tc>
        <w:tc>
          <w:tcPr>
            <w:tcW w:w="225" w:type="dxa"/>
            <w:shd w:val="clear" w:color="auto" w:fill="auto"/>
            <w:tcMar>
              <w:top w:w="0" w:type="dxa"/>
              <w:left w:w="90" w:type="dxa"/>
              <w:bottom w:w="0" w:type="dxa"/>
              <w:right w:w="90" w:type="dxa"/>
            </w:tcMar>
          </w:tcPr>
          <w:p w14:paraId="26A3E5F2"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78B94D54"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 xml:space="preserve">Justina </w:t>
            </w:r>
            <w:proofErr w:type="spellStart"/>
            <w:r>
              <w:rPr>
                <w:rFonts w:ascii="Times New Roman" w:eastAsia="Times New Roman" w:hAnsi="Times New Roman" w:cs="Times New Roman"/>
                <w:b/>
                <w:bCs/>
                <w:color w:val="000000"/>
                <w:sz w:val="22"/>
                <w:szCs w:val="22"/>
              </w:rPr>
              <w:t>Bikinaitė</w:t>
            </w:r>
            <w:proofErr w:type="spellEnd"/>
          </w:p>
        </w:tc>
      </w:tr>
      <w:tr w:rsidR="00866098" w14:paraId="12119C7A" w14:textId="77777777">
        <w:trPr>
          <w:trHeight w:val="300"/>
        </w:trPr>
        <w:tc>
          <w:tcPr>
            <w:tcW w:w="4770" w:type="dxa"/>
            <w:shd w:val="clear" w:color="auto" w:fill="auto"/>
            <w:tcMar>
              <w:top w:w="0" w:type="dxa"/>
              <w:left w:w="90" w:type="dxa"/>
              <w:bottom w:w="0" w:type="dxa"/>
              <w:right w:w="90" w:type="dxa"/>
            </w:tcMar>
          </w:tcPr>
          <w:p w14:paraId="463D0390"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Adresas: Rinktinės g. 50, LT-09318, Vilnius</w:t>
            </w:r>
          </w:p>
          <w:p w14:paraId="2DBE7977"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Juridinio asmens kodas: 307019718</w:t>
            </w:r>
          </w:p>
          <w:p w14:paraId="7F468F03"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 s.  Nr. LT254010051006060021</w:t>
            </w:r>
          </w:p>
          <w:p w14:paraId="50E95C8D"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Bankas: </w:t>
            </w:r>
            <w:proofErr w:type="spellStart"/>
            <w:r>
              <w:rPr>
                <w:rFonts w:ascii="Times New Roman" w:eastAsia="Times New Roman" w:hAnsi="Times New Roman" w:cs="Times New Roman"/>
                <w:color w:val="000000"/>
                <w:sz w:val="22"/>
                <w:szCs w:val="22"/>
              </w:rPr>
              <w:t>Luminor</w:t>
            </w:r>
            <w:proofErr w:type="spellEnd"/>
            <w:r>
              <w:rPr>
                <w:rFonts w:ascii="Times New Roman" w:eastAsia="Times New Roman" w:hAnsi="Times New Roman" w:cs="Times New Roman"/>
                <w:color w:val="000000"/>
                <w:sz w:val="22"/>
                <w:szCs w:val="22"/>
              </w:rPr>
              <w:t xml:space="preserve"> Bank AS Lietuvos skyrius</w:t>
            </w:r>
          </w:p>
          <w:p w14:paraId="23906DCF"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+370 637 00300</w:t>
            </w:r>
          </w:p>
          <w:p w14:paraId="76D156D8" w14:textId="4D4FAEF6"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El. p.  </w:t>
            </w:r>
            <w:hyperlink r:id="rId7" w:history="1">
              <w:r w:rsidR="00866098">
                <w:rPr>
                  <w:rStyle w:val="Hipersaitas"/>
                  <w:rFonts w:ascii="Times New Roman" w:eastAsia="Times New Roman" w:hAnsi="Times New Roman" w:cs="Times New Roman"/>
                  <w:sz w:val="22"/>
                  <w:szCs w:val="22"/>
                </w:rPr>
                <w:t>dovile.virkete@vr</w:t>
              </w:r>
              <w:r w:rsidR="008A71BF">
                <w:rPr>
                  <w:rStyle w:val="Hipersaitas"/>
                  <w:rFonts w:ascii="Times New Roman" w:eastAsia="Times New Roman" w:hAnsi="Times New Roman" w:cs="Times New Roman"/>
                  <w:sz w:val="22"/>
                  <w:szCs w:val="22"/>
                </w:rPr>
                <w:t>vsb</w:t>
              </w:r>
              <w:r w:rsidR="00866098">
                <w:rPr>
                  <w:rStyle w:val="Hipersaitas"/>
                  <w:rFonts w:ascii="Times New Roman" w:eastAsia="Times New Roman" w:hAnsi="Times New Roman" w:cs="Times New Roman"/>
                  <w:sz w:val="22"/>
                  <w:szCs w:val="22"/>
                </w:rPr>
                <w:t>.lt</w:t>
              </w:r>
            </w:hyperlink>
            <w:r>
              <w:rPr>
                <w:rFonts w:ascii="Times New Roman" w:eastAsia="Times New Roman" w:hAnsi="Times New Roman" w:cs="Times New Roman"/>
                <w:color w:val="000000"/>
                <w:sz w:val="22"/>
                <w:szCs w:val="22"/>
              </w:rPr>
              <w:t xml:space="preserve"> </w:t>
            </w:r>
          </w:p>
          <w:p w14:paraId="57FD8298"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3387F13D"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013E79D8" w14:textId="77777777" w:rsidR="00866098" w:rsidRDefault="00000000">
            <w:pPr>
              <w:spacing w:after="0" w:line="254" w:lineRule="auto"/>
            </w:pPr>
            <w:r>
              <w:rPr>
                <w:rFonts w:ascii="Times New Roman" w:eastAsia="Times New Roman" w:hAnsi="Times New Roman" w:cs="Times New Roman"/>
                <w:color w:val="000000"/>
                <w:sz w:val="22"/>
                <w:szCs w:val="22"/>
              </w:rPr>
              <w:t xml:space="preserve">Adresas: </w:t>
            </w:r>
            <w:r>
              <w:rPr>
                <w:rFonts w:ascii="Times New Roman" w:eastAsia="Times New Roman" w:hAnsi="Times New Roman" w:cs="Times New Roman"/>
                <w:sz w:val="22"/>
                <w:szCs w:val="22"/>
              </w:rPr>
              <w:t>Perkūnkiemio g. 19-3, Vilnius</w:t>
            </w:r>
          </w:p>
          <w:p w14:paraId="54D50E49" w14:textId="77777777" w:rsidR="00866098" w:rsidRDefault="00000000">
            <w:pPr>
              <w:spacing w:after="0" w:line="254" w:lineRule="auto"/>
            </w:pPr>
            <w:r>
              <w:rPr>
                <w:rFonts w:ascii="Times New Roman" w:eastAsia="Times New Roman" w:hAnsi="Times New Roman" w:cs="Times New Roman"/>
                <w:color w:val="000000"/>
                <w:sz w:val="22"/>
                <w:szCs w:val="22"/>
              </w:rPr>
              <w:lastRenderedPageBreak/>
              <w:t xml:space="preserve">Asmens kodas: </w:t>
            </w:r>
            <w:r>
              <w:rPr>
                <w:rFonts w:ascii="Times New Roman" w:eastAsia="Times New Roman" w:hAnsi="Times New Roman" w:cs="Times New Roman"/>
                <w:sz w:val="22"/>
                <w:szCs w:val="22"/>
              </w:rPr>
              <w:t>60007091340</w:t>
            </w:r>
          </w:p>
          <w:p w14:paraId="0C91F6EB"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A. s. Nr. </w:t>
            </w:r>
            <w:r>
              <w:rPr>
                <w:rFonts w:ascii="Times New Roman" w:eastAsia="Times New Roman" w:hAnsi="Times New Roman" w:cs="Times New Roman"/>
                <w:sz w:val="22"/>
                <w:szCs w:val="22"/>
              </w:rPr>
              <w:t>LT83 3250 0924 1691 0565</w:t>
            </w:r>
          </w:p>
          <w:p w14:paraId="56BA3FA1"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Bankas: </w:t>
            </w:r>
            <w:proofErr w:type="spellStart"/>
            <w:r>
              <w:rPr>
                <w:rFonts w:ascii="Times New Roman" w:eastAsia="Times New Roman" w:hAnsi="Times New Roman" w:cs="Times New Roman"/>
                <w:color w:val="000000"/>
                <w:sz w:val="22"/>
                <w:szCs w:val="22"/>
              </w:rPr>
              <w:t>Revolut</w:t>
            </w:r>
            <w:proofErr w:type="spellEnd"/>
          </w:p>
          <w:p w14:paraId="4227EE69"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Tel.: </w:t>
            </w:r>
            <w:r>
              <w:rPr>
                <w:rStyle w:val="Grietas"/>
                <w:rFonts w:ascii="Times New Roman" w:eastAsia="Times New Roman" w:hAnsi="Times New Roman" w:cs="Times New Roman"/>
                <w:b w:val="0"/>
                <w:bCs w:val="0"/>
                <w:color w:val="000000"/>
              </w:rPr>
              <w:t>+370 640 33174</w:t>
            </w:r>
          </w:p>
          <w:p w14:paraId="10F213B4" w14:textId="77777777" w:rsidR="0086609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El. p.: </w:t>
            </w:r>
            <w:hyperlink r:id="rId8" w:history="1">
              <w:r w:rsidR="00866098">
                <w:rPr>
                  <w:rStyle w:val="Hipersaitas"/>
                  <w:rFonts w:ascii="Times New Roman" w:eastAsia="Times New Roman" w:hAnsi="Times New Roman" w:cs="Times New Roman"/>
                  <w:sz w:val="22"/>
                  <w:szCs w:val="22"/>
                </w:rPr>
                <w:t>juste.kinezi@gmail.com</w:t>
              </w:r>
            </w:hyperlink>
            <w:r>
              <w:rPr>
                <w:rFonts w:ascii="Times New Roman" w:eastAsia="Times New Roman" w:hAnsi="Times New Roman" w:cs="Times New Roman"/>
                <w:color w:val="000000"/>
                <w:sz w:val="22"/>
                <w:szCs w:val="22"/>
              </w:rPr>
              <w:t xml:space="preserve">  </w:t>
            </w:r>
          </w:p>
          <w:p w14:paraId="31EAA6E6"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r>
      <w:tr w:rsidR="00866098" w14:paraId="0C7843C4" w14:textId="77777777">
        <w:trPr>
          <w:trHeight w:val="300"/>
        </w:trPr>
        <w:tc>
          <w:tcPr>
            <w:tcW w:w="4770" w:type="dxa"/>
            <w:shd w:val="clear" w:color="auto" w:fill="auto"/>
            <w:tcMar>
              <w:top w:w="0" w:type="dxa"/>
              <w:left w:w="90" w:type="dxa"/>
              <w:bottom w:w="0" w:type="dxa"/>
              <w:right w:w="90" w:type="dxa"/>
            </w:tcMar>
          </w:tcPr>
          <w:p w14:paraId="48AC9C68"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Direktorė</w:t>
            </w:r>
          </w:p>
        </w:tc>
        <w:tc>
          <w:tcPr>
            <w:tcW w:w="225" w:type="dxa"/>
            <w:shd w:val="clear" w:color="auto" w:fill="auto"/>
            <w:tcMar>
              <w:top w:w="0" w:type="dxa"/>
              <w:left w:w="90" w:type="dxa"/>
              <w:bottom w:w="0" w:type="dxa"/>
              <w:right w:w="90" w:type="dxa"/>
            </w:tcMar>
          </w:tcPr>
          <w:p w14:paraId="20F92271"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10AB08AB"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Fizinio aktyvumo specialistė</w:t>
            </w:r>
          </w:p>
        </w:tc>
      </w:tr>
      <w:tr w:rsidR="00866098" w14:paraId="3F84CE3C" w14:textId="77777777">
        <w:trPr>
          <w:trHeight w:val="300"/>
        </w:trPr>
        <w:tc>
          <w:tcPr>
            <w:tcW w:w="4770" w:type="dxa"/>
            <w:shd w:val="clear" w:color="auto" w:fill="auto"/>
            <w:tcMar>
              <w:top w:w="0" w:type="dxa"/>
              <w:left w:w="90" w:type="dxa"/>
              <w:bottom w:w="0" w:type="dxa"/>
              <w:right w:w="90" w:type="dxa"/>
            </w:tcMar>
          </w:tcPr>
          <w:p w14:paraId="7CCC8027"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Dovilė </w:t>
            </w:r>
            <w:proofErr w:type="spellStart"/>
            <w:r>
              <w:rPr>
                <w:rFonts w:ascii="Times New Roman" w:eastAsia="Times New Roman" w:hAnsi="Times New Roman" w:cs="Times New Roman"/>
                <w:color w:val="000000"/>
                <w:sz w:val="22"/>
                <w:szCs w:val="22"/>
              </w:rPr>
              <w:t>Virketė</w:t>
            </w:r>
            <w:proofErr w:type="spellEnd"/>
          </w:p>
          <w:p w14:paraId="4C5D6316"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35AF13D7"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1898F893" w14:textId="77777777" w:rsidR="0086609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Justina </w:t>
            </w:r>
            <w:proofErr w:type="spellStart"/>
            <w:r>
              <w:rPr>
                <w:rFonts w:ascii="Times New Roman" w:eastAsia="Times New Roman" w:hAnsi="Times New Roman" w:cs="Times New Roman"/>
                <w:color w:val="000000"/>
                <w:sz w:val="22"/>
                <w:szCs w:val="22"/>
              </w:rPr>
              <w:t>Bikinaitė</w:t>
            </w:r>
            <w:proofErr w:type="spellEnd"/>
          </w:p>
        </w:tc>
      </w:tr>
      <w:tr w:rsidR="00866098" w14:paraId="3648D683" w14:textId="77777777">
        <w:trPr>
          <w:trHeight w:val="300"/>
        </w:trPr>
        <w:tc>
          <w:tcPr>
            <w:tcW w:w="4770" w:type="dxa"/>
            <w:tcBorders>
              <w:bottom w:val="single" w:sz="6" w:space="0" w:color="000000"/>
            </w:tcBorders>
            <w:shd w:val="clear" w:color="auto" w:fill="auto"/>
            <w:tcMar>
              <w:top w:w="0" w:type="dxa"/>
              <w:left w:w="90" w:type="dxa"/>
              <w:bottom w:w="0" w:type="dxa"/>
              <w:right w:w="90" w:type="dxa"/>
            </w:tcMar>
          </w:tcPr>
          <w:p w14:paraId="64E89B6D" w14:textId="77777777" w:rsidR="00866098" w:rsidRDefault="00866098">
            <w:pPr>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4A9F9750" w14:textId="77777777" w:rsidR="00866098" w:rsidRDefault="0086609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tcBorders>
              <w:bottom w:val="single" w:sz="6" w:space="0" w:color="000000"/>
            </w:tcBorders>
            <w:shd w:val="clear" w:color="auto" w:fill="auto"/>
            <w:tcMar>
              <w:top w:w="0" w:type="dxa"/>
              <w:left w:w="90" w:type="dxa"/>
              <w:bottom w:w="0" w:type="dxa"/>
              <w:right w:w="90" w:type="dxa"/>
            </w:tcMar>
          </w:tcPr>
          <w:p w14:paraId="677CB56C" w14:textId="77777777" w:rsidR="00866098" w:rsidRDefault="00866098">
            <w:pPr>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r>
      <w:tr w:rsidR="00866098" w14:paraId="1B3A9477" w14:textId="77777777">
        <w:trPr>
          <w:trHeight w:val="300"/>
        </w:trPr>
        <w:tc>
          <w:tcPr>
            <w:tcW w:w="4770" w:type="dxa"/>
            <w:tcBorders>
              <w:top w:val="single" w:sz="6" w:space="0" w:color="000000"/>
            </w:tcBorders>
            <w:shd w:val="clear" w:color="auto" w:fill="auto"/>
            <w:tcMar>
              <w:top w:w="0" w:type="dxa"/>
              <w:left w:w="90" w:type="dxa"/>
              <w:bottom w:w="0" w:type="dxa"/>
              <w:right w:w="90" w:type="dxa"/>
            </w:tcMar>
          </w:tcPr>
          <w:p w14:paraId="235A371C" w14:textId="77777777" w:rsidR="00866098" w:rsidRDefault="00000000">
            <w:pPr>
              <w:tabs>
                <w:tab w:val="left" w:pos="284"/>
                <w:tab w:val="left" w:pos="851"/>
                <w:tab w:val="left" w:pos="4678"/>
                <w:tab w:val="left" w:pos="5245"/>
              </w:tabs>
              <w:spacing w:after="0" w:line="240" w:lineRule="auto"/>
              <w:jc w:val="center"/>
            </w:pPr>
            <w:r>
              <w:rPr>
                <w:rFonts w:ascii="Times New Roman" w:eastAsia="Times New Roman" w:hAnsi="Times New Roman" w:cs="Times New Roman"/>
                <w:i/>
                <w:iCs/>
                <w:color w:val="000000"/>
                <w:sz w:val="22"/>
                <w:szCs w:val="22"/>
              </w:rPr>
              <w:t>(parašas)</w:t>
            </w:r>
          </w:p>
        </w:tc>
        <w:tc>
          <w:tcPr>
            <w:tcW w:w="225" w:type="dxa"/>
            <w:shd w:val="clear" w:color="auto" w:fill="auto"/>
            <w:tcMar>
              <w:top w:w="0" w:type="dxa"/>
              <w:left w:w="90" w:type="dxa"/>
              <w:bottom w:w="0" w:type="dxa"/>
              <w:right w:w="90" w:type="dxa"/>
            </w:tcMar>
          </w:tcPr>
          <w:p w14:paraId="5700E6A4" w14:textId="77777777" w:rsidR="00866098" w:rsidRDefault="00866098">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22"/>
                <w:szCs w:val="22"/>
              </w:rPr>
            </w:pPr>
          </w:p>
        </w:tc>
        <w:tc>
          <w:tcPr>
            <w:tcW w:w="3960" w:type="dxa"/>
            <w:tcBorders>
              <w:top w:val="single" w:sz="6" w:space="0" w:color="000000"/>
            </w:tcBorders>
            <w:shd w:val="clear" w:color="auto" w:fill="auto"/>
            <w:tcMar>
              <w:top w:w="0" w:type="dxa"/>
              <w:left w:w="90" w:type="dxa"/>
              <w:bottom w:w="0" w:type="dxa"/>
              <w:right w:w="90" w:type="dxa"/>
            </w:tcMar>
          </w:tcPr>
          <w:p w14:paraId="589D07A1" w14:textId="77777777" w:rsidR="00866098" w:rsidRDefault="00000000">
            <w:pPr>
              <w:tabs>
                <w:tab w:val="left" w:pos="284"/>
                <w:tab w:val="left" w:pos="851"/>
                <w:tab w:val="left" w:pos="4678"/>
                <w:tab w:val="left" w:pos="5245"/>
              </w:tabs>
              <w:spacing w:after="0" w:line="240" w:lineRule="auto"/>
              <w:jc w:val="center"/>
            </w:pPr>
            <w:r>
              <w:rPr>
                <w:rFonts w:ascii="Times New Roman" w:eastAsia="Times New Roman" w:hAnsi="Times New Roman" w:cs="Times New Roman"/>
                <w:i/>
                <w:iCs/>
                <w:color w:val="000000"/>
                <w:sz w:val="22"/>
                <w:szCs w:val="22"/>
              </w:rPr>
              <w:t>(parašas)</w:t>
            </w:r>
          </w:p>
        </w:tc>
      </w:tr>
      <w:tr w:rsidR="00866098" w14:paraId="5629E4D0" w14:textId="77777777">
        <w:trPr>
          <w:trHeight w:val="300"/>
        </w:trPr>
        <w:tc>
          <w:tcPr>
            <w:tcW w:w="4770" w:type="dxa"/>
            <w:shd w:val="clear" w:color="auto" w:fill="auto"/>
            <w:tcMar>
              <w:top w:w="0" w:type="dxa"/>
              <w:left w:w="90" w:type="dxa"/>
              <w:bottom w:w="0" w:type="dxa"/>
              <w:right w:w="90" w:type="dxa"/>
            </w:tcMar>
          </w:tcPr>
          <w:p w14:paraId="315E5F11" w14:textId="77777777" w:rsidR="00866098" w:rsidRDefault="00866098">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16"/>
                <w:szCs w:val="16"/>
              </w:rPr>
            </w:pPr>
          </w:p>
        </w:tc>
        <w:tc>
          <w:tcPr>
            <w:tcW w:w="225" w:type="dxa"/>
            <w:shd w:val="clear" w:color="auto" w:fill="auto"/>
            <w:tcMar>
              <w:top w:w="0" w:type="dxa"/>
              <w:left w:w="90" w:type="dxa"/>
              <w:bottom w:w="0" w:type="dxa"/>
              <w:right w:w="90" w:type="dxa"/>
            </w:tcMar>
          </w:tcPr>
          <w:p w14:paraId="0C71CDBF" w14:textId="77777777" w:rsidR="00866098" w:rsidRDefault="00866098">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rPr>
            </w:pPr>
          </w:p>
        </w:tc>
        <w:tc>
          <w:tcPr>
            <w:tcW w:w="3960" w:type="dxa"/>
            <w:shd w:val="clear" w:color="auto" w:fill="auto"/>
            <w:tcMar>
              <w:top w:w="0" w:type="dxa"/>
              <w:left w:w="90" w:type="dxa"/>
              <w:bottom w:w="0" w:type="dxa"/>
              <w:right w:w="90" w:type="dxa"/>
            </w:tcMar>
          </w:tcPr>
          <w:p w14:paraId="04EEBF34" w14:textId="77777777" w:rsidR="00866098" w:rsidRDefault="00866098">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16"/>
                <w:szCs w:val="16"/>
              </w:rPr>
            </w:pPr>
          </w:p>
        </w:tc>
      </w:tr>
    </w:tbl>
    <w:p w14:paraId="203BDEE0" w14:textId="77777777" w:rsidR="00866098" w:rsidRDefault="00866098">
      <w:pPr>
        <w:rPr>
          <w:rFonts w:cs="Aptos"/>
          <w:color w:val="000000"/>
        </w:rPr>
      </w:pPr>
    </w:p>
    <w:p w14:paraId="33E1ECA6" w14:textId="77777777" w:rsidR="00866098" w:rsidRDefault="00866098">
      <w:pPr>
        <w:rPr>
          <w:rFonts w:cs="Aptos"/>
          <w:color w:val="000000"/>
        </w:rPr>
      </w:pPr>
    </w:p>
    <w:p w14:paraId="7D407BC3" w14:textId="77777777" w:rsidR="00866098" w:rsidRDefault="00866098"/>
    <w:sectPr w:rsidR="00866098">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219A" w14:textId="77777777" w:rsidR="006B6333" w:rsidRDefault="006B6333">
      <w:pPr>
        <w:spacing w:after="0" w:line="240" w:lineRule="auto"/>
      </w:pPr>
      <w:r>
        <w:separator/>
      </w:r>
    </w:p>
  </w:endnote>
  <w:endnote w:type="continuationSeparator" w:id="0">
    <w:p w14:paraId="028FCB44" w14:textId="77777777" w:rsidR="006B6333" w:rsidRDefault="006B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5F75" w14:textId="77777777" w:rsidR="006B6333" w:rsidRDefault="006B6333">
      <w:pPr>
        <w:spacing w:after="0" w:line="240" w:lineRule="auto"/>
      </w:pPr>
      <w:r>
        <w:rPr>
          <w:color w:val="000000"/>
        </w:rPr>
        <w:separator/>
      </w:r>
    </w:p>
  </w:footnote>
  <w:footnote w:type="continuationSeparator" w:id="0">
    <w:p w14:paraId="04C16CC1" w14:textId="77777777" w:rsidR="006B6333" w:rsidRDefault="006B6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98"/>
    <w:rsid w:val="000E0175"/>
    <w:rsid w:val="00166F00"/>
    <w:rsid w:val="002366F0"/>
    <w:rsid w:val="003650D0"/>
    <w:rsid w:val="004D37CE"/>
    <w:rsid w:val="006B6333"/>
    <w:rsid w:val="006E6F87"/>
    <w:rsid w:val="00866098"/>
    <w:rsid w:val="008A71BF"/>
    <w:rsid w:val="00AC3A79"/>
    <w:rsid w:val="00C0604B"/>
    <w:rsid w:val="00DF2FA0"/>
    <w:rsid w:val="00F56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0D21"/>
  <w15:docId w15:val="{C84CF4C6-68A3-4033-AB12-0F01AA2C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4"/>
        <w:szCs w:val="24"/>
        <w:lang w:val="lt-LT" w:eastAsia="en-US" w:bidi="ar-SA"/>
      </w:rPr>
    </w:rPrDefault>
    <w:pPrDefault>
      <w:pPr>
        <w:autoSpaceDN w:val="0"/>
        <w:spacing w:after="160" w:line="278"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3">
    <w:name w:val="heading 3"/>
    <w:basedOn w:val="prastasis"/>
    <w:next w:val="prastasis"/>
    <w:uiPriority w:val="9"/>
    <w:unhideWhenUsed/>
    <w:qFormat/>
    <w:pPr>
      <w:keepNext/>
      <w:keepLines/>
      <w:spacing w:before="160" w:after="80"/>
      <w:outlineLvl w:val="2"/>
    </w:pPr>
    <w:rPr>
      <w:rFonts w:eastAsia="MS Gothic" w:cs="Times New Roman"/>
      <w:color w:val="0F476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467886"/>
      <w:u w:val="single"/>
    </w:rPr>
  </w:style>
  <w:style w:type="character" w:styleId="Grietas">
    <w:name w:val="Strong"/>
    <w:basedOn w:val="Numatytasispastraiposrifta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86310">
      <w:bodyDiv w:val="1"/>
      <w:marLeft w:val="0"/>
      <w:marRight w:val="0"/>
      <w:marTop w:val="0"/>
      <w:marBottom w:val="0"/>
      <w:divBdr>
        <w:top w:val="none" w:sz="0" w:space="0" w:color="auto"/>
        <w:left w:val="none" w:sz="0" w:space="0" w:color="auto"/>
        <w:bottom w:val="none" w:sz="0" w:space="0" w:color="auto"/>
        <w:right w:val="none" w:sz="0" w:space="0" w:color="auto"/>
      </w:divBdr>
    </w:div>
    <w:div w:id="11177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juste.kinezi@gmail.com" TargetMode="External"
                 Type="http://schemas.openxmlformats.org/officeDocument/2006/relationships/hyperlink"/>
   <Relationship Id="rId7" Target="mailto:dovile.kimutyte@vrsa.lt" TargetMode="External"
                 Type="http://schemas.openxmlformats.org/officeDocument/2006/relationships/hyperlink"/>
   <Relationship Id="rId8" Target="mailto:juste.kinezi@gmail.com"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4052</Words>
  <Characters>2311</Characters>
  <Application>Microsoft Office Word</Application>
  <DocSecurity>0</DocSecurity>
  <Lines>19</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2025-08-11T11:16:00Z</dcterms:created>
  <dc:creator>Justina Slapšinskė</dc:creator>
  <cp:lastModifiedBy>Justina Slapšinskė</cp:lastModifiedBy>
  <dcterms:modified xsi:type="dcterms:W3CDTF">2025-09-02T12:33:00Z</dcterms:modified>
  <cp:revision>8</cp:revision>
</cp:coreProperties>
</file>