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0EF4" w14:textId="38572087" w:rsidR="4A6EF70D" w:rsidRDefault="4A6EF70D" w:rsidP="3DD07D09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3DD07D09">
        <w:rPr>
          <w:rFonts w:ascii="Arial" w:hAnsi="Arial" w:cs="Arial"/>
          <w:b/>
          <w:bCs/>
        </w:rPr>
        <w:t>Priedas Nr. 2</w:t>
      </w:r>
    </w:p>
    <w:p w14:paraId="26265EDD" w14:textId="77777777" w:rsidR="008605C9" w:rsidRPr="003B7FE2" w:rsidRDefault="008605C9" w:rsidP="00BC55B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F056162" w14:textId="390C4100" w:rsidR="0020416F" w:rsidRPr="003B7FE2" w:rsidRDefault="00B91DBF" w:rsidP="00BC55B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B7FE2">
        <w:rPr>
          <w:rFonts w:ascii="Arial" w:hAnsi="Arial" w:cs="Arial"/>
          <w:b/>
          <w:bCs/>
        </w:rPr>
        <w:t>Garantuojami parametrai</w:t>
      </w:r>
    </w:p>
    <w:p w14:paraId="270B707D" w14:textId="2E0A4CBA" w:rsidR="00102617" w:rsidRPr="003B7FE2" w:rsidRDefault="00102617" w:rsidP="00BC55BF">
      <w:pPr>
        <w:spacing w:after="0" w:line="240" w:lineRule="auto"/>
        <w:rPr>
          <w:rFonts w:ascii="Arial" w:hAnsi="Arial" w:cs="Arial"/>
        </w:rPr>
      </w:pPr>
    </w:p>
    <w:p w14:paraId="73F40AAB" w14:textId="53F22595" w:rsidR="00B263D7" w:rsidRPr="003B7FE2" w:rsidRDefault="00B263D7" w:rsidP="007E56D5">
      <w:pPr>
        <w:pStyle w:val="ListParagraph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B7FE2">
        <w:rPr>
          <w:rFonts w:ascii="Arial" w:hAnsi="Arial" w:cs="Arial"/>
        </w:rPr>
        <w:t>Žemiau lentelėje</w:t>
      </w:r>
      <w:r w:rsidR="008605C9" w:rsidRPr="003B7FE2">
        <w:rPr>
          <w:rFonts w:ascii="Arial" w:hAnsi="Arial" w:cs="Arial"/>
        </w:rPr>
        <w:t xml:space="preserve"> Nr. 1</w:t>
      </w:r>
      <w:r w:rsidRPr="003B7FE2">
        <w:rPr>
          <w:rFonts w:ascii="Arial" w:hAnsi="Arial" w:cs="Arial"/>
        </w:rPr>
        <w:t xml:space="preserve"> pateikiami</w:t>
      </w:r>
      <w:r w:rsidR="000D16C8" w:rsidRPr="003B7FE2">
        <w:rPr>
          <w:rFonts w:ascii="Arial" w:hAnsi="Arial" w:cs="Arial"/>
        </w:rPr>
        <w:t xml:space="preserve"> </w:t>
      </w:r>
      <w:r w:rsidR="21118D5B" w:rsidRPr="003B7FE2">
        <w:rPr>
          <w:rFonts w:ascii="Arial" w:hAnsi="Arial" w:cs="Arial"/>
        </w:rPr>
        <w:t xml:space="preserve">minimalūs </w:t>
      </w:r>
      <w:r w:rsidR="000D16C8" w:rsidRPr="003B7FE2">
        <w:rPr>
          <w:rFonts w:ascii="Arial" w:hAnsi="Arial" w:cs="Arial"/>
        </w:rPr>
        <w:t>techniniai</w:t>
      </w:r>
      <w:r w:rsidRPr="003B7FE2">
        <w:rPr>
          <w:rFonts w:ascii="Arial" w:hAnsi="Arial" w:cs="Arial"/>
        </w:rPr>
        <w:t xml:space="preserve"> reikalavimai </w:t>
      </w:r>
      <w:r w:rsidR="6B9746A6" w:rsidRPr="003B7FE2">
        <w:rPr>
          <w:rFonts w:ascii="Arial" w:hAnsi="Arial" w:cs="Arial"/>
        </w:rPr>
        <w:t xml:space="preserve">vandenilio </w:t>
      </w:r>
      <w:r w:rsidR="1E441634" w:rsidRPr="003B7FE2">
        <w:rPr>
          <w:rFonts w:ascii="Arial" w:hAnsi="Arial" w:cs="Arial"/>
        </w:rPr>
        <w:t>pilstymo punktui</w:t>
      </w:r>
      <w:r w:rsidR="4469703E" w:rsidRPr="003B7FE2">
        <w:rPr>
          <w:rFonts w:ascii="Arial" w:hAnsi="Arial" w:cs="Arial"/>
        </w:rPr>
        <w:t xml:space="preserve"> (toliau – VPP)</w:t>
      </w:r>
      <w:r w:rsidR="6B9746A6" w:rsidRPr="003B7FE2">
        <w:rPr>
          <w:rFonts w:ascii="Arial" w:hAnsi="Arial" w:cs="Arial"/>
        </w:rPr>
        <w:t>,</w:t>
      </w:r>
      <w:r w:rsidR="000D16C8" w:rsidRPr="003B7FE2">
        <w:rPr>
          <w:rFonts w:ascii="Arial" w:hAnsi="Arial" w:cs="Arial"/>
        </w:rPr>
        <w:t xml:space="preserve"> kuriuos </w:t>
      </w:r>
      <w:r w:rsidR="7BCBD00D" w:rsidRPr="003B7FE2">
        <w:rPr>
          <w:rFonts w:ascii="Arial" w:hAnsi="Arial" w:cs="Arial"/>
        </w:rPr>
        <w:t>Tiekėj</w:t>
      </w:r>
      <w:r w:rsidR="000D16C8" w:rsidRPr="003B7FE2">
        <w:rPr>
          <w:rFonts w:ascii="Arial" w:hAnsi="Arial" w:cs="Arial"/>
        </w:rPr>
        <w:t xml:space="preserve">as įsipareigoja pasiekti </w:t>
      </w:r>
      <w:r w:rsidR="78E90993" w:rsidRPr="003B7FE2">
        <w:rPr>
          <w:rFonts w:ascii="Arial" w:hAnsi="Arial" w:cs="Arial"/>
        </w:rPr>
        <w:t>VPP</w:t>
      </w:r>
      <w:r w:rsidR="000D16C8" w:rsidRPr="003B7FE2">
        <w:rPr>
          <w:rFonts w:ascii="Arial" w:hAnsi="Arial" w:cs="Arial"/>
        </w:rPr>
        <w:t xml:space="preserve"> paleidimo-derinimo metu ir garantuoti </w:t>
      </w:r>
      <w:r w:rsidR="00D2215D" w:rsidRPr="003B7FE2">
        <w:rPr>
          <w:rFonts w:ascii="Arial" w:hAnsi="Arial" w:cs="Arial"/>
        </w:rPr>
        <w:t>šiuos parametrus Sutarties garantinio periodo metu</w:t>
      </w:r>
      <w:r w:rsidR="008605C9" w:rsidRPr="003B7FE2">
        <w:rPr>
          <w:rFonts w:ascii="Arial" w:hAnsi="Arial" w:cs="Arial"/>
        </w:rPr>
        <w:t>.</w:t>
      </w:r>
      <w:r w:rsidR="714A70C1" w:rsidRPr="003B7FE2">
        <w:rPr>
          <w:rFonts w:ascii="Arial" w:hAnsi="Arial" w:cs="Arial"/>
        </w:rPr>
        <w:t xml:space="preserve"> </w:t>
      </w:r>
      <w:r w:rsidR="24632719" w:rsidRPr="003B7FE2">
        <w:rPr>
          <w:rFonts w:ascii="Arial" w:hAnsi="Arial" w:cs="Arial"/>
        </w:rPr>
        <w:t xml:space="preserve">Tiekėjas nurodo ir papildo garantuojamų parametrų lentelę papildomais rodikliais, reikšmėmis </w:t>
      </w:r>
      <w:r w:rsidR="00DA7434" w:rsidRPr="003B7FE2">
        <w:rPr>
          <w:rFonts w:ascii="Arial" w:hAnsi="Arial" w:cs="Arial"/>
        </w:rPr>
        <w:t>tiekiamai įrangai po sutarties pasirašymo</w:t>
      </w:r>
      <w:r w:rsidR="1683B87A" w:rsidRPr="003B7FE2">
        <w:rPr>
          <w:rFonts w:ascii="Arial" w:hAnsi="Arial" w:cs="Arial"/>
        </w:rPr>
        <w:t>, su bandymų programa</w:t>
      </w:r>
      <w:r w:rsidR="232D740C" w:rsidRPr="003B7FE2">
        <w:rPr>
          <w:rFonts w:ascii="Arial" w:hAnsi="Arial" w:cs="Arial"/>
        </w:rPr>
        <w:t xml:space="preserve"> ir pakartotinai papildomi -</w:t>
      </w:r>
      <w:r w:rsidR="72A9FAA6" w:rsidRPr="003B7FE2">
        <w:rPr>
          <w:rFonts w:ascii="Arial" w:hAnsi="Arial" w:cs="Arial"/>
        </w:rPr>
        <w:t>nustatomi pagal Tiekėjo paruoštą ir su Užsakovu suderintą bandymų programą, per numatytą terminą kaip nurodyta techninėje specifikacijoje.</w:t>
      </w:r>
    </w:p>
    <w:p w14:paraId="12E5F28D" w14:textId="77777777" w:rsidR="008605C9" w:rsidRPr="003B7FE2" w:rsidRDefault="008605C9" w:rsidP="00BC55BF">
      <w:pPr>
        <w:pStyle w:val="ListParagraph"/>
        <w:spacing w:after="0" w:line="240" w:lineRule="auto"/>
        <w:ind w:left="426"/>
        <w:rPr>
          <w:rFonts w:ascii="Arial" w:hAnsi="Arial" w:cs="Arial"/>
        </w:rPr>
      </w:pPr>
    </w:p>
    <w:tbl>
      <w:tblPr>
        <w:tblW w:w="1000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8"/>
        <w:gridCol w:w="5886"/>
        <w:gridCol w:w="1418"/>
        <w:gridCol w:w="1701"/>
      </w:tblGrid>
      <w:tr w:rsidR="008605C9" w:rsidRPr="003B7FE2" w14:paraId="7ADD3E3B" w14:textId="77777777" w:rsidTr="00FA2949">
        <w:trPr>
          <w:trHeight w:val="49"/>
        </w:trPr>
        <w:tc>
          <w:tcPr>
            <w:tcW w:w="10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F735F1" w14:textId="06C9AD78" w:rsidR="008605C9" w:rsidRPr="003B7FE2" w:rsidRDefault="008605C9" w:rsidP="00B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Lentelė Nr. 1 – Garantuojami parametrai</w:t>
            </w:r>
          </w:p>
        </w:tc>
      </w:tr>
      <w:tr w:rsidR="00B263D7" w:rsidRPr="003B7FE2" w14:paraId="5633E86A" w14:textId="77777777" w:rsidTr="00FA2949">
        <w:trPr>
          <w:trHeight w:val="808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2D6B89" w14:textId="77777777" w:rsidR="00B263D7" w:rsidRPr="003B7FE2" w:rsidRDefault="00B263D7" w:rsidP="00B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83500B" w14:textId="77777777" w:rsidR="00B263D7" w:rsidRPr="003B7FE2" w:rsidRDefault="00B263D7" w:rsidP="00B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Parametras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A297B4" w14:textId="0C217430" w:rsidR="00B263D7" w:rsidRPr="003B7FE2" w:rsidRDefault="00B263D7" w:rsidP="00B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Mato vnt</w:t>
            </w:r>
            <w:r w:rsidR="00270038"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A2A8D6" w14:textId="77777777" w:rsidR="00B263D7" w:rsidRPr="003B7FE2" w:rsidRDefault="00B263D7" w:rsidP="00B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lt-LT"/>
                <w14:ligatures w14:val="none"/>
              </w:rPr>
              <w:t>Reikšmė</w:t>
            </w:r>
          </w:p>
        </w:tc>
      </w:tr>
      <w:tr w:rsidR="00B263D7" w:rsidRPr="003B7FE2" w14:paraId="1316F10A" w14:textId="77777777" w:rsidTr="00FA2949">
        <w:trPr>
          <w:trHeight w:val="5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82013" w14:textId="77777777" w:rsidR="00B263D7" w:rsidRPr="003B7FE2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2C27" w14:textId="3E449282" w:rsidR="00B263D7" w:rsidRPr="003B7FE2" w:rsidRDefault="2996A23E" w:rsidP="003B7FE2">
            <w:pPr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after="0" w:line="240" w:lineRule="auto"/>
              <w:ind w:right="57" w:firstLine="252"/>
              <w:jc w:val="both"/>
              <w:rPr>
                <w:rFonts w:ascii="Arial" w:eastAsia="Calibri" w:hAnsi="Arial" w:cs="Arial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Calibri" w:hAnsi="Arial" w:cs="Arial"/>
              </w:rPr>
              <w:t xml:space="preserve">Vandenilio pildymo debitas į </w:t>
            </w:r>
            <w:r w:rsidR="38545F3D" w:rsidRPr="003B7FE2">
              <w:rPr>
                <w:rFonts w:ascii="Arial" w:eastAsia="Calibri" w:hAnsi="Arial" w:cs="Arial"/>
              </w:rPr>
              <w:t xml:space="preserve">350bar slėgio </w:t>
            </w:r>
            <w:r w:rsidRPr="003B7FE2">
              <w:rPr>
                <w:rFonts w:ascii="Arial" w:eastAsia="Calibri" w:hAnsi="Arial" w:cs="Arial"/>
              </w:rPr>
              <w:t>transporto priemonę</w:t>
            </w:r>
            <w:r w:rsidR="24902C40" w:rsidRPr="003B7FE2">
              <w:rPr>
                <w:rFonts w:ascii="Arial" w:eastAsia="Calibri" w:hAnsi="Arial" w:cs="Arial"/>
              </w:rPr>
              <w:t>, maksimali reikšmė</w:t>
            </w:r>
            <w:r w:rsidR="00E05CB7" w:rsidRPr="003B7FE2">
              <w:rPr>
                <w:rFonts w:ascii="Arial" w:eastAsia="Calibri" w:hAnsi="Arial" w:cs="Arial"/>
              </w:rPr>
              <w:t xml:space="preserve"> ne žemesnė kaip</w:t>
            </w:r>
            <w:r w:rsidR="004409D8">
              <w:rPr>
                <w:rFonts w:ascii="Arial" w:eastAsia="Calibri" w:hAnsi="Arial" w:cs="Arial"/>
              </w:rPr>
              <w:t xml:space="preserve"> arba lygu</w:t>
            </w:r>
            <w:r w:rsidR="0072446A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B74C" w14:textId="2788BE17" w:rsidR="00B263D7" w:rsidRPr="003B7FE2" w:rsidRDefault="69228198" w:rsidP="0DE01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  <w:r w:rsidRPr="003B7FE2"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  <w:t>g/s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C45D" w14:textId="1E4066B1" w:rsidR="00B263D7" w:rsidRPr="003B7FE2" w:rsidRDefault="3AA1D22D" w:rsidP="0D524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60</w:t>
            </w:r>
          </w:p>
        </w:tc>
      </w:tr>
      <w:tr w:rsidR="00B263D7" w:rsidRPr="003B7FE2" w14:paraId="59D0C3BD" w14:textId="77777777" w:rsidTr="00FA2949">
        <w:trPr>
          <w:trHeight w:val="5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9CA85" w14:textId="77777777" w:rsidR="00B263D7" w:rsidRPr="003B7FE2" w:rsidRDefault="00B263D7" w:rsidP="00BC55B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51DE" w14:textId="52E3A0E7" w:rsidR="00B263D7" w:rsidRPr="003B7FE2" w:rsidRDefault="00E05CB7" w:rsidP="003B7FE2">
            <w:pPr>
              <w:tabs>
                <w:tab w:val="left" w:pos="851"/>
                <w:tab w:val="left" w:pos="993"/>
                <w:tab w:val="left" w:pos="1560"/>
                <w:tab w:val="left" w:pos="3828"/>
                <w:tab w:val="left" w:pos="9072"/>
              </w:tabs>
              <w:spacing w:after="0" w:line="240" w:lineRule="auto"/>
              <w:ind w:right="57" w:firstLine="252"/>
              <w:jc w:val="both"/>
              <w:rPr>
                <w:rFonts w:ascii="Arial" w:eastAsia="Calibri" w:hAnsi="Arial" w:cs="Arial"/>
              </w:rPr>
            </w:pPr>
            <w:r w:rsidRPr="003B7FE2">
              <w:rPr>
                <w:rFonts w:ascii="Arial" w:eastAsia="Calibri" w:hAnsi="Arial" w:cs="Arial"/>
              </w:rPr>
              <w:t>Vandenilio pildymo debitas į 700bar slėgio transporto priemonę, maksimali reikšmė ne žemesnė kaip</w:t>
            </w:r>
            <w:r w:rsidR="004409D8">
              <w:rPr>
                <w:rFonts w:ascii="Arial" w:eastAsia="Calibri" w:hAnsi="Arial" w:cs="Arial"/>
              </w:rPr>
              <w:t xml:space="preserve"> arba lygu</w:t>
            </w:r>
            <w:r w:rsidR="0072446A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6D85" w14:textId="0C9AD952" w:rsidR="0DE01B26" w:rsidRPr="003B7FE2" w:rsidRDefault="2D513234" w:rsidP="0DE01B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g/s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D98C7" w14:textId="4F23E8E5" w:rsidR="0DE01B26" w:rsidRPr="003B7FE2" w:rsidRDefault="17ED6C89" w:rsidP="0D5248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60</w:t>
            </w:r>
          </w:p>
        </w:tc>
      </w:tr>
      <w:tr w:rsidR="00B263D7" w:rsidRPr="003B7FE2" w14:paraId="0C2D755B" w14:textId="77777777" w:rsidTr="00FA2949">
        <w:trPr>
          <w:trHeight w:val="5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0320" w14:textId="77777777" w:rsidR="00B263D7" w:rsidRPr="003B7FE2" w:rsidRDefault="00B263D7" w:rsidP="02C09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B7D2" w14:textId="0A0F6AB8" w:rsidR="00B263D7" w:rsidRPr="003B7FE2" w:rsidRDefault="4A3B2241" w:rsidP="003B7FE2">
            <w:pPr>
              <w:spacing w:after="0" w:line="240" w:lineRule="auto"/>
              <w:ind w:firstLine="252"/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Kompresoriaus</w:t>
            </w:r>
            <w:r w:rsidR="007F5353"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(ių) </w:t>
            </w:r>
            <w:r w:rsidR="00CC2016" w:rsidRPr="003B7FE2">
              <w:rPr>
                <w:rFonts w:ascii="Arial" w:hAnsi="Arial" w:cs="Arial"/>
              </w:rPr>
              <w:t xml:space="preserve">(500-550bar buferinės talpos pildymui) </w:t>
            </w:r>
            <w:r w:rsidR="007F5353"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sistemos</w:t>
            </w: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 našumas</w:t>
            </w:r>
            <w:r w:rsidR="007F5353"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, kai įėjimo slėgis </w:t>
            </w:r>
            <w:r w:rsidR="00521348"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aukštesnis arba lygus 50bar</w:t>
            </w:r>
            <w:r w:rsidR="002A279B">
              <w:rPr>
                <w:rFonts w:ascii="Arial" w:eastAsia="Times New Roman" w:hAnsi="Arial" w:cs="Arial"/>
                <w:color w:val="000000" w:themeColor="text1"/>
                <w:lang w:eastAsia="lt-LT"/>
              </w:rPr>
              <w:t>, ne mažiau kaip</w:t>
            </w:r>
            <w:r w:rsidR="00FD18B0">
              <w:rPr>
                <w:rFonts w:ascii="Arial" w:eastAsia="Times New Roman" w:hAnsi="Arial" w:cs="Arial"/>
                <w:color w:val="000000" w:themeColor="text1"/>
                <w:lang w:eastAsia="lt-LT"/>
              </w:rPr>
              <w:t xml:space="preserve"> arba lyg</w:t>
            </w:r>
            <w:r w:rsidR="00C12AC6">
              <w:rPr>
                <w:rFonts w:ascii="Arial" w:eastAsia="Times New Roman" w:hAnsi="Arial" w:cs="Arial"/>
                <w:color w:val="000000" w:themeColor="text1"/>
                <w:lang w:eastAsia="lt-LT"/>
              </w:rPr>
              <w:t>u</w:t>
            </w:r>
            <w:r w:rsidR="0072446A">
              <w:rPr>
                <w:rFonts w:ascii="Arial" w:eastAsia="Times New Roman" w:hAnsi="Arial" w:cs="Arial"/>
                <w:color w:val="000000" w:themeColor="text1"/>
                <w:lang w:eastAsia="lt-LT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BAEC" w14:textId="28576A3A" w:rsidR="00B263D7" w:rsidRPr="003B7FE2" w:rsidRDefault="234C05F0" w:rsidP="4E21F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kg/h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5BC16" w14:textId="6F44689B" w:rsidR="00B263D7" w:rsidRPr="003B7FE2" w:rsidRDefault="00AE24BF" w:rsidP="02C09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40</w:t>
            </w:r>
          </w:p>
        </w:tc>
      </w:tr>
      <w:tr w:rsidR="009577CF" w:rsidRPr="003B7FE2" w14:paraId="64316E6E" w14:textId="77777777" w:rsidTr="00FA2949">
        <w:trPr>
          <w:trHeight w:val="567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1139" w14:textId="77777777" w:rsidR="009577CF" w:rsidRPr="003B7FE2" w:rsidRDefault="009577CF" w:rsidP="02C099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83E9" w14:textId="02115AFA" w:rsidR="009577CF" w:rsidRPr="003B7FE2" w:rsidRDefault="00154882" w:rsidP="003B7FE2">
            <w:pPr>
              <w:spacing w:after="0" w:line="240" w:lineRule="auto"/>
              <w:ind w:firstLine="252"/>
              <w:jc w:val="both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hAnsi="Arial" w:cs="Arial"/>
              </w:rPr>
              <w:t>350bar slėgio transport</w:t>
            </w:r>
            <w:r w:rsidR="008D3FB3" w:rsidRPr="003B7FE2">
              <w:rPr>
                <w:rFonts w:ascii="Arial" w:hAnsi="Arial" w:cs="Arial"/>
              </w:rPr>
              <w:t>o</w:t>
            </w:r>
            <w:r w:rsidRPr="003B7FE2">
              <w:rPr>
                <w:rFonts w:ascii="Arial" w:hAnsi="Arial" w:cs="Arial"/>
              </w:rPr>
              <w:t xml:space="preserve"> priemonių pildymas</w:t>
            </w:r>
            <w:r w:rsidR="00C12AC6">
              <w:rPr>
                <w:rFonts w:ascii="Arial" w:hAnsi="Arial" w:cs="Arial"/>
              </w:rPr>
              <w:t xml:space="preserve">, kai </w:t>
            </w:r>
            <w:r w:rsidR="00C07792">
              <w:rPr>
                <w:rFonts w:ascii="Arial" w:hAnsi="Arial" w:cs="Arial"/>
              </w:rPr>
              <w:t>kuro bako talpa yra 30 kg</w:t>
            </w:r>
            <w:r w:rsidR="00CD6B68">
              <w:rPr>
                <w:rFonts w:ascii="Arial" w:hAnsi="Arial" w:cs="Arial"/>
              </w:rPr>
              <w:t xml:space="preserve"> vandenilio,</w:t>
            </w:r>
            <w:r w:rsidR="00DC5E2B" w:rsidRPr="003B7FE2">
              <w:rPr>
                <w:rFonts w:ascii="Arial" w:hAnsi="Arial" w:cs="Arial"/>
              </w:rPr>
              <w:t xml:space="preserve"> per 60 minučių</w:t>
            </w:r>
            <w:r w:rsidRPr="003B7FE2">
              <w:rPr>
                <w:rFonts w:ascii="Arial" w:hAnsi="Arial" w:cs="Arial"/>
              </w:rPr>
              <w:t xml:space="preserve"> </w:t>
            </w:r>
            <w:r w:rsidR="006F5B30" w:rsidRPr="003B7FE2">
              <w:rPr>
                <w:rFonts w:ascii="Arial" w:hAnsi="Arial" w:cs="Arial"/>
              </w:rPr>
              <w:t>ne mažiau kaip</w:t>
            </w:r>
            <w:r w:rsidR="00DC5E2B">
              <w:rPr>
                <w:rFonts w:ascii="Arial" w:hAnsi="Arial" w:cs="Arial"/>
              </w:rPr>
              <w:t>:</w:t>
            </w:r>
            <w:r w:rsidR="006F5B30" w:rsidRPr="003B7F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5112" w14:textId="6D3E02BB" w:rsidR="009577CF" w:rsidRPr="003B7FE2" w:rsidRDefault="00154882" w:rsidP="4E21FE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vnt</w:t>
            </w:r>
            <w:r w:rsidR="003B259E">
              <w:rPr>
                <w:rFonts w:ascii="Arial" w:eastAsia="Times New Roman" w:hAnsi="Arial" w:cs="Arial"/>
                <w:color w:val="000000" w:themeColor="text1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CE7B3" w14:textId="32B46277" w:rsidR="009577CF" w:rsidRPr="003B7FE2" w:rsidRDefault="008D3FB3" w:rsidP="02C099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lt-LT"/>
              </w:rPr>
            </w:pPr>
            <w:r w:rsidRPr="003B7FE2">
              <w:rPr>
                <w:rFonts w:ascii="Arial" w:eastAsia="Times New Roman" w:hAnsi="Arial" w:cs="Arial"/>
                <w:color w:val="000000" w:themeColor="text1"/>
                <w:lang w:eastAsia="lt-LT"/>
              </w:rPr>
              <w:t>3</w:t>
            </w:r>
          </w:p>
        </w:tc>
      </w:tr>
    </w:tbl>
    <w:p w14:paraId="0E08D7FE" w14:textId="77777777" w:rsidR="00B263D7" w:rsidRPr="003B7FE2" w:rsidRDefault="00B263D7" w:rsidP="0DE01B26">
      <w:pPr>
        <w:spacing w:after="0" w:line="240" w:lineRule="auto"/>
        <w:ind w:left="66"/>
        <w:rPr>
          <w:rFonts w:ascii="Arial" w:hAnsi="Arial" w:cs="Arial"/>
        </w:rPr>
      </w:pPr>
    </w:p>
    <w:p w14:paraId="29DFD639" w14:textId="6675F823" w:rsidR="00102617" w:rsidRPr="003B7FE2" w:rsidRDefault="00B91DBF" w:rsidP="005F4549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B7FE2">
        <w:rPr>
          <w:rFonts w:ascii="Arial" w:hAnsi="Arial" w:cs="Arial"/>
        </w:rPr>
        <w:t>Vidutinis triukšmo lygis matavimo paviršiuje ir fono triukšmo pataisos apskaičiuojamos pagal standartų reikalavimus:</w:t>
      </w:r>
    </w:p>
    <w:p w14:paraId="2C325EB3" w14:textId="6C3CF07D" w:rsidR="00102617" w:rsidRPr="003B7FE2" w:rsidRDefault="00B91DBF" w:rsidP="005F4549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B7FE2">
        <w:rPr>
          <w:rFonts w:ascii="Arial" w:hAnsi="Arial" w:cs="Arial"/>
        </w:rPr>
        <w:t>LST-EN ISO 3744 „Triukšmo šaltinių garso galios lygių nustatymas matuojant garso slėgį. Ekspertiniai metodai“</w:t>
      </w:r>
      <w:r w:rsidR="240A1606" w:rsidRPr="003B7FE2">
        <w:rPr>
          <w:rFonts w:ascii="Arial" w:hAnsi="Arial" w:cs="Arial"/>
        </w:rPr>
        <w:t xml:space="preserve"> arba lygiavertis.</w:t>
      </w:r>
    </w:p>
    <w:p w14:paraId="4B463DD5" w14:textId="00C4FF87" w:rsidR="00B91DBF" w:rsidRPr="003B7FE2" w:rsidRDefault="5A1FEF53" w:rsidP="005F4549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3B7FE2">
        <w:rPr>
          <w:rFonts w:ascii="Arial" w:hAnsi="Arial" w:cs="Arial"/>
        </w:rPr>
        <w:t>EN ISO 3746 „Akustika. Triukšmo šaltinių garso galios ir energijos lygių nustatymas matuojant garso slėgį. Tikrinamasis metodas“</w:t>
      </w:r>
      <w:r w:rsidR="673E5805" w:rsidRPr="003B7FE2">
        <w:rPr>
          <w:rFonts w:ascii="Arial" w:hAnsi="Arial" w:cs="Arial"/>
        </w:rPr>
        <w:t xml:space="preserve"> arba lygiavertis.</w:t>
      </w:r>
    </w:p>
    <w:p w14:paraId="57B485E8" w14:textId="6DE98AEC" w:rsidR="641B561E" w:rsidRPr="003B7FE2" w:rsidRDefault="641B561E" w:rsidP="005F4549">
      <w:pPr>
        <w:pStyle w:val="ListParagraph"/>
        <w:numPr>
          <w:ilvl w:val="1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Theme="minorEastAsia" w:hAnsi="Arial" w:cs="Arial"/>
          <w:color w:val="000000" w:themeColor="text1"/>
        </w:rPr>
      </w:pPr>
      <w:r w:rsidRPr="003B7FE2">
        <w:rPr>
          <w:rFonts w:ascii="Arial" w:eastAsiaTheme="minorEastAsia" w:hAnsi="Arial" w:cs="Arial"/>
          <w:color w:val="000000" w:themeColor="text1"/>
        </w:rPr>
        <w:t>LST ISO 1996-2 „Akustika. Aplinkos triukšmo aprašymas, matavimas ir vertinimas. 2 dalis. Garso slėgio lygių nustatymas“ arba lygiavertis.</w:t>
      </w:r>
    </w:p>
    <w:p w14:paraId="6E614EE4" w14:textId="77777777" w:rsidR="000D16C8" w:rsidRPr="003B7FE2" w:rsidRDefault="000D16C8" w:rsidP="005F4549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</w:p>
    <w:p w14:paraId="13217780" w14:textId="73DCCD87" w:rsidR="00451265" w:rsidRPr="003B7FE2" w:rsidRDefault="7BCBD00D" w:rsidP="007E56D5">
      <w:pPr>
        <w:pStyle w:val="ListNumber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rPr>
          <w:rFonts w:cs="Arial"/>
          <w:szCs w:val="22"/>
        </w:rPr>
      </w:pPr>
      <w:r w:rsidRPr="003B7FE2">
        <w:rPr>
          <w:rFonts w:cs="Arial"/>
          <w:szCs w:val="22"/>
        </w:rPr>
        <w:t>Tiekėj</w:t>
      </w:r>
      <w:r w:rsidR="00451265" w:rsidRPr="003B7FE2">
        <w:rPr>
          <w:rFonts w:cs="Arial"/>
          <w:szCs w:val="22"/>
        </w:rPr>
        <w:t xml:space="preserve">as garantuoja </w:t>
      </w:r>
      <w:r w:rsidR="4C77B1EF" w:rsidRPr="003B7FE2">
        <w:rPr>
          <w:rFonts w:cs="Arial"/>
          <w:szCs w:val="22"/>
        </w:rPr>
        <w:t>VPP</w:t>
      </w:r>
      <w:r w:rsidR="00451265" w:rsidRPr="003B7FE2">
        <w:rPr>
          <w:rFonts w:cs="Arial"/>
          <w:szCs w:val="22"/>
        </w:rPr>
        <w:t xml:space="preserve"> prieinamumą taikant numatytą </w:t>
      </w:r>
      <w:r w:rsidR="00B400EB" w:rsidRPr="003B7FE2">
        <w:rPr>
          <w:rFonts w:cs="Arial"/>
          <w:szCs w:val="22"/>
        </w:rPr>
        <w:t>neveikimo</w:t>
      </w:r>
      <w:r w:rsidR="00451265" w:rsidRPr="003B7FE2">
        <w:rPr>
          <w:rFonts w:cs="Arial"/>
          <w:szCs w:val="22"/>
        </w:rPr>
        <w:t xml:space="preserve"> trukmę </w:t>
      </w:r>
      <w:r w:rsidRPr="003B7FE2">
        <w:rPr>
          <w:rFonts w:cs="Arial"/>
          <w:szCs w:val="22"/>
        </w:rPr>
        <w:t>Tiekėj</w:t>
      </w:r>
      <w:r w:rsidR="00451265" w:rsidRPr="003B7FE2">
        <w:rPr>
          <w:rFonts w:cs="Arial"/>
          <w:szCs w:val="22"/>
        </w:rPr>
        <w:t>o nustatytu garantijos galiojimo laikotarpiu ir atsižvelgiant į tai, kad Užsakovas atlieka visus techninės priežiūros darbus</w:t>
      </w:r>
      <w:r w:rsidR="00484A58" w:rsidRPr="003B7FE2">
        <w:rPr>
          <w:rFonts w:cs="Arial"/>
          <w:szCs w:val="22"/>
        </w:rPr>
        <w:t>,</w:t>
      </w:r>
      <w:r w:rsidR="00451265" w:rsidRPr="003B7FE2">
        <w:rPr>
          <w:rFonts w:cs="Arial"/>
          <w:szCs w:val="22"/>
        </w:rPr>
        <w:t xml:space="preserve"> atsižvelgdamas į sutartus eksploatavimo dokumentus. </w:t>
      </w:r>
      <w:r w:rsidR="4830182A" w:rsidRPr="003B7FE2">
        <w:rPr>
          <w:rFonts w:cs="Arial"/>
          <w:szCs w:val="22"/>
        </w:rPr>
        <w:t>P</w:t>
      </w:r>
      <w:r w:rsidR="00451265" w:rsidRPr="003B7FE2">
        <w:rPr>
          <w:rFonts w:cs="Arial"/>
          <w:szCs w:val="22"/>
        </w:rPr>
        <w:t>rieinamumas nustatomas taikant šią formulę: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21"/>
        <w:gridCol w:w="2415"/>
        <w:gridCol w:w="2415"/>
      </w:tblGrid>
      <w:tr w:rsidR="00451265" w:rsidRPr="003B7FE2" w14:paraId="3C9D655E" w14:textId="77777777" w:rsidTr="0DE01B26">
        <w:trPr>
          <w:cantSplit/>
          <w:jc w:val="center"/>
        </w:trPr>
        <w:tc>
          <w:tcPr>
            <w:tcW w:w="282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21470" w14:textId="77777777" w:rsidR="00451265" w:rsidRPr="003B7FE2" w:rsidRDefault="00451265" w:rsidP="0DE01B26">
            <w:pPr>
              <w:pStyle w:val="akapit"/>
              <w:keepNext/>
              <w:spacing w:after="0" w:line="240" w:lineRule="auto"/>
              <w:jc w:val="right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D =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06C33D" w14:textId="77777777" w:rsidR="00451265" w:rsidRPr="003B7FE2" w:rsidRDefault="00451265" w:rsidP="0DE01B26">
            <w:pPr>
              <w:pStyle w:val="akapit"/>
              <w:keepNext/>
              <w:spacing w:after="0" w:line="240" w:lineRule="auto"/>
              <w:ind w:left="-236"/>
              <w:jc w:val="center"/>
              <w:rPr>
                <w:rFonts w:cs="Arial"/>
                <w:szCs w:val="22"/>
                <w:vertAlign w:val="subscript"/>
              </w:rPr>
            </w:pPr>
            <w:r w:rsidRPr="003B7FE2">
              <w:rPr>
                <w:rFonts w:cs="Arial"/>
                <w:szCs w:val="22"/>
              </w:rPr>
              <w:t>8760 – T</w:t>
            </w:r>
            <w:r w:rsidRPr="003B7FE2">
              <w:rPr>
                <w:rFonts w:cs="Arial"/>
                <w:szCs w:val="22"/>
                <w:vertAlign w:val="subscript"/>
              </w:rPr>
              <w:t>pp</w:t>
            </w:r>
            <w:r w:rsidRPr="003B7FE2">
              <w:rPr>
                <w:rFonts w:cs="Arial"/>
                <w:szCs w:val="22"/>
              </w:rPr>
              <w:t xml:space="preserve"> – T </w:t>
            </w:r>
            <w:r w:rsidRPr="003B7FE2">
              <w:rPr>
                <w:rFonts w:cs="Arial"/>
                <w:szCs w:val="22"/>
                <w:vertAlign w:val="subscript"/>
              </w:rPr>
              <w:t>pa</w:t>
            </w:r>
          </w:p>
        </w:tc>
        <w:tc>
          <w:tcPr>
            <w:tcW w:w="24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57CB7A1" w14:textId="77777777" w:rsidR="00451265" w:rsidRPr="003B7FE2" w:rsidRDefault="00451265" w:rsidP="0DE01B26">
            <w:pPr>
              <w:pStyle w:val="akapit"/>
              <w:keepNext/>
              <w:spacing w:after="0" w:line="240" w:lineRule="auto"/>
              <w:jc w:val="left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 xml:space="preserve"> × 100 proc.</w:t>
            </w:r>
          </w:p>
        </w:tc>
      </w:tr>
      <w:tr w:rsidR="00451265" w:rsidRPr="003B7FE2" w14:paraId="27C2B2AF" w14:textId="77777777" w:rsidTr="0DE01B26">
        <w:trPr>
          <w:cantSplit/>
          <w:jc w:val="center"/>
        </w:trPr>
        <w:tc>
          <w:tcPr>
            <w:tcW w:w="2821" w:type="dxa"/>
            <w:vMerge/>
            <w:vAlign w:val="center"/>
          </w:tcPr>
          <w:p w14:paraId="7D46A4BB" w14:textId="77777777" w:rsidR="00451265" w:rsidRPr="003B7FE2" w:rsidRDefault="00451265" w:rsidP="00BC55BF">
            <w:pPr>
              <w:pStyle w:val="akapit"/>
              <w:keepNext/>
              <w:spacing w:after="0" w:line="240" w:lineRule="auto"/>
              <w:ind w:left="960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A951E" w14:textId="77777777" w:rsidR="00451265" w:rsidRPr="003B7FE2" w:rsidRDefault="00451265" w:rsidP="0DE01B26">
            <w:pPr>
              <w:pStyle w:val="akapit"/>
              <w:keepNext/>
              <w:spacing w:after="0" w:line="240" w:lineRule="auto"/>
              <w:ind w:left="0"/>
              <w:jc w:val="center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8760</w:t>
            </w:r>
          </w:p>
        </w:tc>
        <w:tc>
          <w:tcPr>
            <w:tcW w:w="2415" w:type="dxa"/>
            <w:vMerge/>
          </w:tcPr>
          <w:p w14:paraId="6EA76B0D" w14:textId="77777777" w:rsidR="00451265" w:rsidRPr="003B7FE2" w:rsidRDefault="00451265" w:rsidP="00BC55BF">
            <w:pPr>
              <w:pStyle w:val="akapit"/>
              <w:keepNext/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734D98D8" w14:textId="542CA32F" w:rsidR="00451265" w:rsidRPr="003B7FE2" w:rsidRDefault="00451265" w:rsidP="0DE01B26">
      <w:pPr>
        <w:pStyle w:val="akapit"/>
        <w:spacing w:after="0" w:line="240" w:lineRule="auto"/>
        <w:ind w:left="993"/>
        <w:rPr>
          <w:rFonts w:cs="Arial"/>
          <w:szCs w:val="22"/>
        </w:rPr>
      </w:pPr>
      <w:r w:rsidRPr="003B7FE2">
        <w:rPr>
          <w:rFonts w:cs="Arial"/>
          <w:szCs w:val="22"/>
        </w:rPr>
        <w:t>čia:</w:t>
      </w:r>
    </w:p>
    <w:p w14:paraId="02ED9C4B" w14:textId="36843BF3" w:rsidR="00451265" w:rsidRPr="003B7FE2" w:rsidRDefault="00451265" w:rsidP="0D524882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cs="Arial"/>
          <w:szCs w:val="22"/>
        </w:rPr>
      </w:pPr>
      <w:r w:rsidRPr="003B7FE2">
        <w:rPr>
          <w:rFonts w:cs="Arial"/>
          <w:szCs w:val="22"/>
        </w:rPr>
        <w:t>D</w:t>
      </w:r>
      <w:r w:rsidRPr="003B7FE2">
        <w:rPr>
          <w:rFonts w:cs="Arial"/>
          <w:szCs w:val="22"/>
        </w:rPr>
        <w:tab/>
        <w:t xml:space="preserve">– </w:t>
      </w:r>
      <w:r w:rsidR="04B7BD1C" w:rsidRPr="003B7FE2">
        <w:rPr>
          <w:rFonts w:cs="Arial"/>
          <w:szCs w:val="22"/>
        </w:rPr>
        <w:t>VPP</w:t>
      </w:r>
      <w:r w:rsidRPr="003B7FE2">
        <w:rPr>
          <w:rFonts w:cs="Arial"/>
          <w:szCs w:val="22"/>
        </w:rPr>
        <w:t xml:space="preserve"> prieinamumas per vienerius garantijos galiojimo metus,</w:t>
      </w:r>
    </w:p>
    <w:p w14:paraId="7091AC9B" w14:textId="25970A62" w:rsidR="00451265" w:rsidRPr="003B7FE2" w:rsidRDefault="00451265" w:rsidP="0D524882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cs="Arial"/>
          <w:szCs w:val="22"/>
        </w:rPr>
      </w:pPr>
      <w:r w:rsidRPr="003B7FE2">
        <w:rPr>
          <w:rFonts w:cs="Arial"/>
          <w:szCs w:val="22"/>
        </w:rPr>
        <w:t>T</w:t>
      </w:r>
      <w:r w:rsidRPr="003B7FE2">
        <w:rPr>
          <w:rFonts w:cs="Arial"/>
          <w:szCs w:val="22"/>
          <w:vertAlign w:val="subscript"/>
        </w:rPr>
        <w:t>pp</w:t>
      </w:r>
      <w:r w:rsidRPr="003B7FE2">
        <w:rPr>
          <w:rFonts w:cs="Arial"/>
          <w:szCs w:val="22"/>
        </w:rPr>
        <w:tab/>
        <w:t xml:space="preserve">– numatytoji </w:t>
      </w:r>
      <w:r w:rsidR="7BCBD00D" w:rsidRPr="003B7FE2">
        <w:rPr>
          <w:rFonts w:cs="Arial"/>
          <w:szCs w:val="22"/>
        </w:rPr>
        <w:t>Tiekėj</w:t>
      </w:r>
      <w:r w:rsidR="00B400EB" w:rsidRPr="003B7FE2">
        <w:rPr>
          <w:rFonts w:cs="Arial"/>
          <w:szCs w:val="22"/>
        </w:rPr>
        <w:t xml:space="preserve">o </w:t>
      </w:r>
      <w:r w:rsidR="005D69A0" w:rsidRPr="003B7FE2">
        <w:rPr>
          <w:rFonts w:cs="Arial"/>
          <w:szCs w:val="22"/>
        </w:rPr>
        <w:t xml:space="preserve">pateiktuose </w:t>
      </w:r>
      <w:r w:rsidR="19FEFEFF" w:rsidRPr="003B7FE2">
        <w:rPr>
          <w:rFonts w:cs="Arial"/>
          <w:szCs w:val="22"/>
        </w:rPr>
        <w:t>VPP</w:t>
      </w:r>
      <w:r w:rsidR="00D2215D" w:rsidRPr="003B7FE2">
        <w:rPr>
          <w:rFonts w:cs="Arial"/>
          <w:szCs w:val="22"/>
        </w:rPr>
        <w:t xml:space="preserve"> eksploatacijos ir </w:t>
      </w:r>
      <w:r w:rsidR="005D69A0" w:rsidRPr="003B7FE2">
        <w:rPr>
          <w:rFonts w:cs="Arial"/>
          <w:szCs w:val="22"/>
        </w:rPr>
        <w:t xml:space="preserve">priežiūros </w:t>
      </w:r>
      <w:r w:rsidR="00D2215D" w:rsidRPr="003B7FE2">
        <w:rPr>
          <w:rFonts w:cs="Arial"/>
          <w:szCs w:val="22"/>
        </w:rPr>
        <w:t xml:space="preserve">instrukcijose </w:t>
      </w:r>
      <w:r w:rsidR="00B400EB" w:rsidRPr="003B7FE2">
        <w:rPr>
          <w:rFonts w:cs="Arial"/>
          <w:szCs w:val="22"/>
        </w:rPr>
        <w:t xml:space="preserve">neveikimo </w:t>
      </w:r>
      <w:r w:rsidRPr="003B7FE2">
        <w:rPr>
          <w:rFonts w:cs="Arial"/>
          <w:szCs w:val="22"/>
        </w:rPr>
        <w:t>trukmė per metus</w:t>
      </w:r>
      <w:r w:rsidR="005D69A0" w:rsidRPr="003B7FE2">
        <w:rPr>
          <w:rFonts w:cs="Arial"/>
          <w:szCs w:val="22"/>
        </w:rPr>
        <w:t>,</w:t>
      </w:r>
      <w:r w:rsidRPr="003B7FE2">
        <w:rPr>
          <w:rFonts w:cs="Arial"/>
          <w:szCs w:val="22"/>
        </w:rPr>
        <w:t xml:space="preserve"> val</w:t>
      </w:r>
      <w:r w:rsidR="005D69A0" w:rsidRPr="003B7FE2">
        <w:rPr>
          <w:rFonts w:cs="Arial"/>
          <w:szCs w:val="22"/>
        </w:rPr>
        <w:t>andomis</w:t>
      </w:r>
      <w:r w:rsidR="002541B2" w:rsidRPr="003B7FE2">
        <w:rPr>
          <w:rFonts w:cs="Arial"/>
          <w:szCs w:val="22"/>
        </w:rPr>
        <w:t xml:space="preserve">. Bendra visų </w:t>
      </w:r>
      <w:r w:rsidR="005C2D97" w:rsidRPr="003B7FE2">
        <w:rPr>
          <w:rFonts w:cs="Arial"/>
          <w:szCs w:val="22"/>
        </w:rPr>
        <w:t>sustojimų trukmė negali</w:t>
      </w:r>
      <w:r w:rsidR="002541B2" w:rsidRPr="003B7FE2">
        <w:rPr>
          <w:rFonts w:cs="Arial"/>
          <w:szCs w:val="22"/>
        </w:rPr>
        <w:t xml:space="preserve"> būti ilgesn</w:t>
      </w:r>
      <w:r w:rsidR="005C2D97" w:rsidRPr="003B7FE2">
        <w:rPr>
          <w:rFonts w:cs="Arial"/>
          <w:szCs w:val="22"/>
        </w:rPr>
        <w:t>ė</w:t>
      </w:r>
      <w:r w:rsidR="002541B2" w:rsidRPr="003B7FE2">
        <w:rPr>
          <w:rFonts w:cs="Arial"/>
          <w:szCs w:val="22"/>
        </w:rPr>
        <w:t xml:space="preserve"> nei 2 savaitės</w:t>
      </w:r>
      <w:r w:rsidR="005C2D97" w:rsidRPr="003B7FE2">
        <w:rPr>
          <w:rFonts w:cs="Arial"/>
          <w:szCs w:val="22"/>
        </w:rPr>
        <w:t xml:space="preserve"> per metus</w:t>
      </w:r>
      <w:r w:rsidR="002541B2" w:rsidRPr="003B7FE2">
        <w:rPr>
          <w:rFonts w:cs="Arial"/>
          <w:szCs w:val="22"/>
        </w:rPr>
        <w:t>.</w:t>
      </w:r>
    </w:p>
    <w:p w14:paraId="1F979B77" w14:textId="5E6639D0" w:rsidR="00451265" w:rsidRPr="003B7FE2" w:rsidRDefault="00451265" w:rsidP="0D524882">
      <w:pPr>
        <w:pStyle w:val="akapit"/>
        <w:tabs>
          <w:tab w:val="left" w:pos="1701"/>
        </w:tabs>
        <w:spacing w:after="0" w:line="240" w:lineRule="auto"/>
        <w:ind w:left="1701" w:hanging="708"/>
        <w:rPr>
          <w:rFonts w:cs="Arial"/>
          <w:szCs w:val="22"/>
        </w:rPr>
      </w:pPr>
      <w:r w:rsidRPr="003B7FE2">
        <w:rPr>
          <w:rFonts w:cs="Arial"/>
          <w:szCs w:val="22"/>
        </w:rPr>
        <w:t>T</w:t>
      </w:r>
      <w:r w:rsidRPr="003B7FE2">
        <w:rPr>
          <w:rFonts w:cs="Arial"/>
          <w:szCs w:val="22"/>
          <w:vertAlign w:val="subscript"/>
        </w:rPr>
        <w:t>p</w:t>
      </w:r>
      <w:r w:rsidR="00B400EB" w:rsidRPr="003B7FE2">
        <w:rPr>
          <w:rFonts w:cs="Arial"/>
          <w:szCs w:val="22"/>
          <w:vertAlign w:val="subscript"/>
        </w:rPr>
        <w:t>a</w:t>
      </w:r>
      <w:r w:rsidRPr="003B7FE2">
        <w:rPr>
          <w:rFonts w:cs="Arial"/>
          <w:szCs w:val="22"/>
        </w:rPr>
        <w:tab/>
        <w:t xml:space="preserve">– </w:t>
      </w:r>
      <w:r w:rsidR="00B400EB" w:rsidRPr="003B7FE2">
        <w:rPr>
          <w:rFonts w:cs="Arial"/>
          <w:szCs w:val="22"/>
        </w:rPr>
        <w:t xml:space="preserve">nenumatytoji </w:t>
      </w:r>
      <w:r w:rsidR="006700A1" w:rsidRPr="003B7FE2">
        <w:rPr>
          <w:rFonts w:cs="Arial"/>
          <w:szCs w:val="22"/>
        </w:rPr>
        <w:t>V</w:t>
      </w:r>
      <w:r w:rsidR="51FC0284" w:rsidRPr="003B7FE2">
        <w:rPr>
          <w:rFonts w:cs="Arial"/>
          <w:szCs w:val="22"/>
        </w:rPr>
        <w:t>PP</w:t>
      </w:r>
      <w:r w:rsidR="00B400EB" w:rsidRPr="003B7FE2">
        <w:rPr>
          <w:rFonts w:cs="Arial"/>
          <w:szCs w:val="22"/>
        </w:rPr>
        <w:t xml:space="preserve"> neveikimo </w:t>
      </w:r>
      <w:r w:rsidRPr="003B7FE2">
        <w:rPr>
          <w:rFonts w:cs="Arial"/>
          <w:szCs w:val="22"/>
        </w:rPr>
        <w:t>trukmė per metus</w:t>
      </w:r>
      <w:r w:rsidR="005D69A0" w:rsidRPr="003B7FE2">
        <w:rPr>
          <w:rFonts w:cs="Arial"/>
          <w:szCs w:val="22"/>
        </w:rPr>
        <w:t>, valandomis.</w:t>
      </w:r>
    </w:p>
    <w:p w14:paraId="7E13AC1C" w14:textId="77777777" w:rsidR="007E56D5" w:rsidRPr="003B7FE2" w:rsidRDefault="007E56D5" w:rsidP="007E56D5">
      <w:pPr>
        <w:pStyle w:val="ListNumber"/>
        <w:numPr>
          <w:ilvl w:val="0"/>
          <w:numId w:val="0"/>
        </w:numPr>
        <w:spacing w:after="0" w:line="240" w:lineRule="auto"/>
        <w:ind w:firstLine="567"/>
        <w:rPr>
          <w:rFonts w:cs="Arial"/>
          <w:szCs w:val="22"/>
        </w:rPr>
      </w:pPr>
    </w:p>
    <w:p w14:paraId="1633F707" w14:textId="5E4E3B78" w:rsidR="00451265" w:rsidRPr="003B7FE2" w:rsidRDefault="065454F9" w:rsidP="1E70E762">
      <w:pPr>
        <w:pStyle w:val="ListNumber"/>
        <w:numPr>
          <w:ilvl w:val="0"/>
          <w:numId w:val="0"/>
        </w:numPr>
        <w:spacing w:after="0" w:line="240" w:lineRule="auto"/>
        <w:ind w:firstLine="567"/>
        <w:rPr>
          <w:rFonts w:cs="Arial"/>
        </w:rPr>
      </w:pPr>
      <w:r w:rsidRPr="1E70E762">
        <w:rPr>
          <w:rFonts w:cs="Arial"/>
        </w:rPr>
        <w:t>4</w:t>
      </w:r>
      <w:r w:rsidR="00E10AE4" w:rsidRPr="1E70E762">
        <w:rPr>
          <w:rFonts w:cs="Arial"/>
        </w:rPr>
        <w:t xml:space="preserve">. </w:t>
      </w:r>
      <w:r w:rsidR="0081227B" w:rsidRPr="1E70E762">
        <w:rPr>
          <w:rFonts w:cs="Arial"/>
        </w:rPr>
        <w:t>V</w:t>
      </w:r>
      <w:r w:rsidR="5AC60BCA" w:rsidRPr="1E70E762">
        <w:rPr>
          <w:rFonts w:cs="Arial"/>
        </w:rPr>
        <w:t>PP</w:t>
      </w:r>
      <w:r w:rsidR="0081227B" w:rsidRPr="1E70E762">
        <w:rPr>
          <w:rFonts w:cs="Arial"/>
        </w:rPr>
        <w:t xml:space="preserve"> </w:t>
      </w:r>
      <w:r w:rsidR="005D69A0" w:rsidRPr="1E70E762">
        <w:rPr>
          <w:rFonts w:cs="Arial"/>
        </w:rPr>
        <w:t xml:space="preserve">neveikimo </w:t>
      </w:r>
      <w:r w:rsidR="00451265" w:rsidRPr="1E70E762">
        <w:rPr>
          <w:rFonts w:cs="Arial"/>
        </w:rPr>
        <w:t xml:space="preserve">trukmė – tai trukmė nuo </w:t>
      </w:r>
      <w:r w:rsidR="00E43FC4" w:rsidRPr="1E70E762">
        <w:rPr>
          <w:rFonts w:cs="Arial"/>
        </w:rPr>
        <w:t xml:space="preserve">VPP </w:t>
      </w:r>
      <w:r w:rsidR="00451265" w:rsidRPr="1E70E762">
        <w:rPr>
          <w:rFonts w:cs="Arial"/>
        </w:rPr>
        <w:t xml:space="preserve">prieinamumo neužtikrinimo pradžios, kad būtų garantuojama 50 proc. </w:t>
      </w:r>
      <w:r w:rsidR="005D69A0" w:rsidRPr="1E70E762">
        <w:rPr>
          <w:rFonts w:cs="Arial"/>
        </w:rPr>
        <w:t>nominalios</w:t>
      </w:r>
      <w:r w:rsidR="002541B2" w:rsidRPr="1E70E762">
        <w:rPr>
          <w:rFonts w:cs="Arial"/>
        </w:rPr>
        <w:t xml:space="preserve"> </w:t>
      </w:r>
      <w:r w:rsidR="000A562C" w:rsidRPr="1E70E762">
        <w:rPr>
          <w:rFonts w:cs="Arial"/>
        </w:rPr>
        <w:t>VPP</w:t>
      </w:r>
      <w:r w:rsidR="005D69A0" w:rsidRPr="1E70E762">
        <w:rPr>
          <w:rFonts w:cs="Arial"/>
        </w:rPr>
        <w:t xml:space="preserve"> </w:t>
      </w:r>
      <w:r w:rsidR="00662307" w:rsidRPr="1E70E762">
        <w:rPr>
          <w:rFonts w:cs="Arial"/>
        </w:rPr>
        <w:t>išpilstymo</w:t>
      </w:r>
      <w:r w:rsidR="005D69A0" w:rsidRPr="1E70E762">
        <w:rPr>
          <w:rFonts w:cs="Arial"/>
        </w:rPr>
        <w:t xml:space="preserve"> galios pagal </w:t>
      </w:r>
      <w:r w:rsidR="00662307" w:rsidRPr="1E70E762">
        <w:rPr>
          <w:rFonts w:cs="Arial"/>
        </w:rPr>
        <w:t>išpilstomą</w:t>
      </w:r>
      <w:r w:rsidR="005D69A0" w:rsidRPr="1E70E762">
        <w:rPr>
          <w:rFonts w:cs="Arial"/>
        </w:rPr>
        <w:t xml:space="preserve"> kiekį </w:t>
      </w:r>
      <w:r w:rsidR="00662307" w:rsidRPr="1E70E762">
        <w:rPr>
          <w:rFonts w:cs="Arial"/>
        </w:rPr>
        <w:t>per parą</w:t>
      </w:r>
      <w:r w:rsidR="00E43FC4" w:rsidRPr="1E70E762">
        <w:rPr>
          <w:rFonts w:cs="Arial"/>
        </w:rPr>
        <w:t>.</w:t>
      </w:r>
      <w:r w:rsidR="005D69A0" w:rsidRPr="1E70E762">
        <w:rPr>
          <w:rFonts w:cs="Arial"/>
        </w:rPr>
        <w:t>.</w:t>
      </w:r>
    </w:p>
    <w:p w14:paraId="41D7DC9C" w14:textId="753FF596" w:rsidR="005D69A0" w:rsidRPr="003B7FE2" w:rsidRDefault="3F068C4B" w:rsidP="1E70E762">
      <w:pPr>
        <w:pStyle w:val="ListNumber"/>
        <w:numPr>
          <w:ilvl w:val="0"/>
          <w:numId w:val="0"/>
        </w:numPr>
        <w:spacing w:after="0" w:line="240" w:lineRule="auto"/>
        <w:ind w:firstLine="567"/>
        <w:rPr>
          <w:rFonts w:cs="Arial"/>
        </w:rPr>
      </w:pPr>
      <w:r w:rsidRPr="1E70E762">
        <w:rPr>
          <w:rFonts w:cs="Arial"/>
        </w:rPr>
        <w:t>5</w:t>
      </w:r>
      <w:r w:rsidR="5540034C" w:rsidRPr="1E70E762">
        <w:rPr>
          <w:rFonts w:cs="Arial"/>
        </w:rPr>
        <w:t xml:space="preserve">. </w:t>
      </w:r>
      <w:r w:rsidR="7BCBD00D" w:rsidRPr="1E70E762">
        <w:rPr>
          <w:rFonts w:cs="Arial"/>
        </w:rPr>
        <w:t>Tiekėj</w:t>
      </w:r>
      <w:r w:rsidR="005D69A0" w:rsidRPr="1E70E762">
        <w:rPr>
          <w:rFonts w:cs="Arial"/>
        </w:rPr>
        <w:t xml:space="preserve">as turi pateikti įrenginio </w:t>
      </w:r>
      <w:r w:rsidR="4141E817" w:rsidRPr="1E70E762">
        <w:rPr>
          <w:rFonts w:cs="Arial"/>
        </w:rPr>
        <w:t>penkerių metų (5) aptarnavimo planą, programą</w:t>
      </w:r>
      <w:r w:rsidR="005D69A0" w:rsidRPr="1E70E762">
        <w:rPr>
          <w:rFonts w:cs="Arial"/>
        </w:rPr>
        <w:t>, kurioje nurodomi numatytieji neveikimo laikotarpiai kiekvienais garantijos galiojimo metais.</w:t>
      </w:r>
    </w:p>
    <w:p w14:paraId="1CDFFC6C" w14:textId="5DEC8556" w:rsidR="00F87D18" w:rsidRPr="003B7FE2" w:rsidRDefault="58BEC5A5" w:rsidP="1E70E762">
      <w:pPr>
        <w:pStyle w:val="ListNumber"/>
        <w:numPr>
          <w:ilvl w:val="0"/>
          <w:numId w:val="0"/>
        </w:numPr>
        <w:spacing w:after="0" w:line="240" w:lineRule="auto"/>
        <w:ind w:firstLine="567"/>
        <w:rPr>
          <w:rFonts w:cs="Arial"/>
        </w:rPr>
      </w:pPr>
      <w:r w:rsidRPr="1E70E762">
        <w:rPr>
          <w:rFonts w:cs="Arial"/>
        </w:rPr>
        <w:t>6</w:t>
      </w:r>
      <w:r w:rsidR="00F87D18" w:rsidRPr="1E70E762">
        <w:rPr>
          <w:rFonts w:cs="Arial"/>
        </w:rPr>
        <w:t>. Prieinamumas turi būti nustatomas 12 mėnesių laikotarpiui garantijos galiojimo laikotarpiu. Garantija ir baudos, kurios numatytos Sutartyje, už garantuoto prieinamumo neužtikrinimą turi būti taikomos 12 mėnesių laikotarpiui.</w:t>
      </w:r>
    </w:p>
    <w:p w14:paraId="1D5744F7" w14:textId="76CF31D7" w:rsidR="004E4DBB" w:rsidRPr="003B7FE2" w:rsidRDefault="4FF930A2" w:rsidP="1E70E762">
      <w:pPr>
        <w:pStyle w:val="ListNumber"/>
        <w:numPr>
          <w:ilvl w:val="0"/>
          <w:numId w:val="0"/>
        </w:numPr>
        <w:spacing w:after="0" w:line="240" w:lineRule="auto"/>
        <w:ind w:firstLine="567"/>
        <w:rPr>
          <w:rFonts w:cs="Arial"/>
        </w:rPr>
      </w:pPr>
      <w:r w:rsidRPr="1E70E762">
        <w:rPr>
          <w:rFonts w:cs="Arial"/>
        </w:rPr>
        <w:lastRenderedPageBreak/>
        <w:t>7</w:t>
      </w:r>
      <w:r w:rsidR="004E4DBB" w:rsidRPr="1E70E762">
        <w:rPr>
          <w:rFonts w:cs="Arial"/>
        </w:rPr>
        <w:t xml:space="preserve">. Sutarties vykdymo metu </w:t>
      </w:r>
      <w:r w:rsidR="00502896" w:rsidRPr="1E70E762">
        <w:rPr>
          <w:rFonts w:cs="Arial"/>
        </w:rPr>
        <w:t>Tiekėjo</w:t>
      </w:r>
      <w:r w:rsidR="004E4DBB" w:rsidRPr="1E70E762">
        <w:rPr>
          <w:rFonts w:cs="Arial"/>
        </w:rPr>
        <w:t xml:space="preserve"> netinkamos kokybės </w:t>
      </w:r>
      <w:r w:rsidR="00502896" w:rsidRPr="1E70E762">
        <w:rPr>
          <w:rFonts w:cs="Arial"/>
        </w:rPr>
        <w:t>Paslaugos</w:t>
      </w:r>
      <w:r w:rsidR="004E4DBB" w:rsidRPr="1E70E762">
        <w:rPr>
          <w:rFonts w:cs="Arial"/>
        </w:rPr>
        <w:t xml:space="preserve"> fiksuojam</w:t>
      </w:r>
      <w:r w:rsidR="00502896" w:rsidRPr="1E70E762">
        <w:rPr>
          <w:rFonts w:cs="Arial"/>
        </w:rPr>
        <w:t>os</w:t>
      </w:r>
      <w:r w:rsidR="004E4DBB" w:rsidRPr="1E70E762">
        <w:rPr>
          <w:rFonts w:cs="Arial"/>
        </w:rPr>
        <w:t xml:space="preserve"> defektų registre. Defektai skaidomi į sekančias kategorijas:</w:t>
      </w:r>
    </w:p>
    <w:tbl>
      <w:tblPr>
        <w:tblStyle w:val="TableGrid"/>
        <w:tblpPr w:leftFromText="180" w:rightFromText="180" w:vertAnchor="text" w:horzAnchor="margin" w:tblpY="393"/>
        <w:tblW w:w="5000" w:type="pct"/>
        <w:tblLook w:val="04A0" w:firstRow="1" w:lastRow="0" w:firstColumn="1" w:lastColumn="0" w:noHBand="0" w:noVBand="1"/>
      </w:tblPr>
      <w:tblGrid>
        <w:gridCol w:w="1413"/>
        <w:gridCol w:w="2833"/>
        <w:gridCol w:w="2139"/>
        <w:gridCol w:w="3526"/>
      </w:tblGrid>
      <w:tr w:rsidR="00471F50" w:rsidRPr="003B7FE2" w14:paraId="1E62E111" w14:textId="77777777" w:rsidTr="007E56D5">
        <w:trPr>
          <w:trHeight w:val="300"/>
        </w:trPr>
        <w:tc>
          <w:tcPr>
            <w:tcW w:w="713" w:type="pct"/>
          </w:tcPr>
          <w:p w14:paraId="3F6971CD" w14:textId="77777777" w:rsidR="00471F50" w:rsidRPr="003B7FE2" w:rsidRDefault="00471F50" w:rsidP="007E56D5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3"/>
              <w:jc w:val="center"/>
              <w:rPr>
                <w:rFonts w:cs="Arial"/>
                <w:b/>
                <w:bCs/>
                <w:szCs w:val="22"/>
              </w:rPr>
            </w:pPr>
            <w:r w:rsidRPr="003B7FE2">
              <w:rPr>
                <w:rFonts w:cs="Arial"/>
                <w:b/>
                <w:bCs/>
                <w:szCs w:val="22"/>
              </w:rPr>
              <w:t>Kategorija</w:t>
            </w:r>
          </w:p>
        </w:tc>
        <w:tc>
          <w:tcPr>
            <w:tcW w:w="1429" w:type="pct"/>
          </w:tcPr>
          <w:p w14:paraId="4B3F9CB0" w14:textId="77777777" w:rsidR="00471F50" w:rsidRPr="003B7FE2" w:rsidRDefault="00471F50" w:rsidP="007E56D5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3"/>
              <w:jc w:val="center"/>
              <w:rPr>
                <w:rFonts w:cs="Arial"/>
                <w:b/>
                <w:bCs/>
                <w:szCs w:val="22"/>
              </w:rPr>
            </w:pPr>
            <w:r w:rsidRPr="003B7FE2">
              <w:rPr>
                <w:rFonts w:cs="Arial"/>
                <w:b/>
                <w:bCs/>
                <w:szCs w:val="22"/>
              </w:rPr>
              <w:t>Apibrėžimas</w:t>
            </w:r>
          </w:p>
        </w:tc>
        <w:tc>
          <w:tcPr>
            <w:tcW w:w="1079" w:type="pct"/>
          </w:tcPr>
          <w:p w14:paraId="626AF642" w14:textId="77777777" w:rsidR="00471F50" w:rsidRPr="003B7FE2" w:rsidRDefault="00471F50" w:rsidP="007E56D5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left="33"/>
              <w:jc w:val="center"/>
              <w:rPr>
                <w:rFonts w:cs="Arial"/>
                <w:b/>
                <w:bCs/>
                <w:szCs w:val="22"/>
              </w:rPr>
            </w:pPr>
            <w:r w:rsidRPr="003B7FE2">
              <w:rPr>
                <w:rFonts w:cs="Arial"/>
                <w:b/>
                <w:bCs/>
                <w:szCs w:val="22"/>
              </w:rPr>
              <w:t>Paskutinė atlikimo diena</w:t>
            </w:r>
          </w:p>
        </w:tc>
        <w:tc>
          <w:tcPr>
            <w:tcW w:w="1779" w:type="pct"/>
          </w:tcPr>
          <w:p w14:paraId="3C763883" w14:textId="147A7914" w:rsidR="00471F50" w:rsidRPr="003B7FE2" w:rsidRDefault="00471F50" w:rsidP="007E56D5">
            <w:pPr>
              <w:pStyle w:val="ListNumber"/>
              <w:numPr>
                <w:ilvl w:val="0"/>
                <w:numId w:val="0"/>
              </w:numPr>
              <w:spacing w:line="240" w:lineRule="auto"/>
              <w:ind w:left="33"/>
              <w:jc w:val="center"/>
              <w:rPr>
                <w:rFonts w:cs="Arial"/>
                <w:b/>
                <w:bCs/>
                <w:szCs w:val="22"/>
              </w:rPr>
            </w:pPr>
            <w:r w:rsidRPr="003B7FE2">
              <w:rPr>
                <w:rFonts w:cs="Arial"/>
                <w:b/>
                <w:bCs/>
                <w:szCs w:val="22"/>
              </w:rPr>
              <w:t>Sąlyga/tikslas</w:t>
            </w:r>
            <w:r w:rsidR="00A42269" w:rsidRPr="003B7FE2">
              <w:rPr>
                <w:rFonts w:cs="Arial"/>
                <w:b/>
                <w:bCs/>
                <w:szCs w:val="22"/>
              </w:rPr>
              <w:t>/komentaras</w:t>
            </w:r>
          </w:p>
        </w:tc>
      </w:tr>
      <w:tr w:rsidR="00471F50" w:rsidRPr="003B7FE2" w14:paraId="2D9BCA8E" w14:textId="77777777" w:rsidTr="005F4549">
        <w:trPr>
          <w:trHeight w:val="300"/>
        </w:trPr>
        <w:tc>
          <w:tcPr>
            <w:tcW w:w="713" w:type="pct"/>
            <w:vAlign w:val="center"/>
          </w:tcPr>
          <w:p w14:paraId="52611D18" w14:textId="77777777" w:rsidR="00471F50" w:rsidRPr="003B7FE2" w:rsidRDefault="00471F50" w:rsidP="005F454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center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A</w:t>
            </w:r>
          </w:p>
        </w:tc>
        <w:tc>
          <w:tcPr>
            <w:tcW w:w="1429" w:type="pct"/>
          </w:tcPr>
          <w:p w14:paraId="72A60C57" w14:textId="4F443AAC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left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Neleidžia saugiai ir pilnai pradėti</w:t>
            </w:r>
            <w:r w:rsidR="004628A1" w:rsidRPr="003B7FE2">
              <w:rPr>
                <w:rFonts w:cs="Arial"/>
                <w:szCs w:val="22"/>
              </w:rPr>
              <w:t xml:space="preserve"> </w:t>
            </w:r>
            <w:r w:rsidRPr="003B7FE2">
              <w:rPr>
                <w:rFonts w:cs="Arial"/>
                <w:szCs w:val="22"/>
              </w:rPr>
              <w:t>šaltųjų sistemos/įrangos paleidimo- derinimo darbus</w:t>
            </w:r>
          </w:p>
        </w:tc>
        <w:tc>
          <w:tcPr>
            <w:tcW w:w="1079" w:type="pct"/>
          </w:tcPr>
          <w:p w14:paraId="673451A6" w14:textId="55C415DF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left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Prieš pradedant šaltuosius paleidimo-derinimo darbus</w:t>
            </w:r>
          </w:p>
        </w:tc>
        <w:tc>
          <w:tcPr>
            <w:tcW w:w="1779" w:type="pct"/>
          </w:tcPr>
          <w:p w14:paraId="5D2D4ACF" w14:textId="77777777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Pasirašytas ECC (errection completion certificate) pradėti šaltą sistemos įrangos paleidimą</w:t>
            </w:r>
          </w:p>
        </w:tc>
      </w:tr>
      <w:tr w:rsidR="00471F50" w:rsidRPr="003B7FE2" w14:paraId="21D83462" w14:textId="77777777" w:rsidTr="005F4549">
        <w:trPr>
          <w:trHeight w:val="300"/>
        </w:trPr>
        <w:tc>
          <w:tcPr>
            <w:tcW w:w="713" w:type="pct"/>
            <w:vAlign w:val="center"/>
          </w:tcPr>
          <w:p w14:paraId="4CB67DE1" w14:textId="77777777" w:rsidR="00471F50" w:rsidRPr="003B7FE2" w:rsidRDefault="00471F50" w:rsidP="005F454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center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B</w:t>
            </w:r>
          </w:p>
        </w:tc>
        <w:tc>
          <w:tcPr>
            <w:tcW w:w="1429" w:type="pct"/>
          </w:tcPr>
          <w:p w14:paraId="100807D8" w14:textId="77777777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Neleidžia saugiai ir pilnai pradėti karštųjų paleidimo-derinimo darbų arba turi reikšmingos įtakos sistemos/įrangos veikimui</w:t>
            </w:r>
          </w:p>
        </w:tc>
        <w:tc>
          <w:tcPr>
            <w:tcW w:w="1079" w:type="pct"/>
          </w:tcPr>
          <w:p w14:paraId="1F219A8D" w14:textId="77777777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Prieš pradedant karštuosius paleidimo-derinimo darbus</w:t>
            </w:r>
          </w:p>
        </w:tc>
        <w:tc>
          <w:tcPr>
            <w:tcW w:w="1779" w:type="pct"/>
          </w:tcPr>
          <w:p w14:paraId="6732C5B9" w14:textId="468DC59F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Pradėti karštuosius paleidim</w:t>
            </w:r>
            <w:r w:rsidR="00326D24" w:rsidRPr="003B7FE2">
              <w:rPr>
                <w:rFonts w:cs="Arial"/>
                <w:szCs w:val="22"/>
              </w:rPr>
              <w:t>o</w:t>
            </w:r>
            <w:r w:rsidRPr="003B7FE2">
              <w:rPr>
                <w:rFonts w:cs="Arial"/>
                <w:szCs w:val="22"/>
              </w:rPr>
              <w:t>-derinimo darbus</w:t>
            </w:r>
          </w:p>
        </w:tc>
      </w:tr>
      <w:tr w:rsidR="00471F50" w:rsidRPr="003B7FE2" w14:paraId="0E7187C3" w14:textId="77777777" w:rsidTr="005F4549">
        <w:trPr>
          <w:trHeight w:val="300"/>
        </w:trPr>
        <w:tc>
          <w:tcPr>
            <w:tcW w:w="713" w:type="pct"/>
            <w:vAlign w:val="center"/>
          </w:tcPr>
          <w:p w14:paraId="7E5E55D6" w14:textId="77777777" w:rsidR="00471F50" w:rsidRPr="003B7FE2" w:rsidRDefault="00471F50" w:rsidP="005F454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center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C</w:t>
            </w:r>
          </w:p>
        </w:tc>
        <w:tc>
          <w:tcPr>
            <w:tcW w:w="1429" w:type="pct"/>
          </w:tcPr>
          <w:p w14:paraId="040FE277" w14:textId="1FE3F170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Reikšmingas poveikis garantuojamų parametrų rodiklių pasiekimui</w:t>
            </w:r>
            <w:r w:rsidR="0030707B" w:rsidRPr="003B7FE2">
              <w:rPr>
                <w:rFonts w:cs="Arial"/>
                <w:szCs w:val="22"/>
              </w:rPr>
              <w:t>/ (SAT – site acceptance testui)</w:t>
            </w:r>
          </w:p>
        </w:tc>
        <w:tc>
          <w:tcPr>
            <w:tcW w:w="1079" w:type="pct"/>
          </w:tcPr>
          <w:p w14:paraId="706F9C1C" w14:textId="77777777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Prieš atliekant garantuojamų parametrų rodiklių pasiekimus</w:t>
            </w:r>
          </w:p>
        </w:tc>
        <w:tc>
          <w:tcPr>
            <w:tcW w:w="1779" w:type="pct"/>
          </w:tcPr>
          <w:p w14:paraId="04C4D6CF" w14:textId="77777777" w:rsidR="00471F50" w:rsidRPr="003B7FE2" w:rsidRDefault="00471F50" w:rsidP="00715CA4">
            <w:pPr>
              <w:pStyle w:val="ListNumber"/>
              <w:numPr>
                <w:ilvl w:val="0"/>
                <w:numId w:val="0"/>
              </w:numPr>
              <w:spacing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Pasiekti numatytus garantuojamus parametrų rodiklius</w:t>
            </w:r>
          </w:p>
        </w:tc>
      </w:tr>
      <w:tr w:rsidR="00471F50" w:rsidRPr="003B7FE2" w14:paraId="213775D6" w14:textId="77777777" w:rsidTr="005F4549">
        <w:trPr>
          <w:trHeight w:val="300"/>
        </w:trPr>
        <w:tc>
          <w:tcPr>
            <w:tcW w:w="713" w:type="pct"/>
            <w:vAlign w:val="center"/>
          </w:tcPr>
          <w:p w14:paraId="3471FF09" w14:textId="77777777" w:rsidR="00471F50" w:rsidRPr="003B7FE2" w:rsidRDefault="00471F50" w:rsidP="005F4549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jc w:val="center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D</w:t>
            </w:r>
          </w:p>
        </w:tc>
        <w:tc>
          <w:tcPr>
            <w:tcW w:w="1429" w:type="pct"/>
          </w:tcPr>
          <w:p w14:paraId="1451C2C8" w14:textId="6D4536D1" w:rsidR="00471F50" w:rsidRPr="003B7FE2" w:rsidRDefault="765F6EA2" w:rsidP="788D5B90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</w:rPr>
            </w:pPr>
            <w:r w:rsidRPr="0049E0CD">
              <w:rPr>
                <w:rFonts w:cs="Arial"/>
              </w:rPr>
              <w:t xml:space="preserve">Smulkūs defektai, neturintys įtakos įrangos/ sistemos saugai ar veikimui, tai yra vandenilio </w:t>
            </w:r>
            <w:r w:rsidR="3FB0417E" w:rsidRPr="0049E0CD">
              <w:rPr>
                <w:rFonts w:cs="Arial"/>
              </w:rPr>
              <w:t>išpilstymui</w:t>
            </w:r>
            <w:r w:rsidRPr="0049E0CD">
              <w:rPr>
                <w:rFonts w:cs="Arial"/>
              </w:rPr>
              <w:t>.</w:t>
            </w:r>
          </w:p>
        </w:tc>
        <w:tc>
          <w:tcPr>
            <w:tcW w:w="1079" w:type="pct"/>
          </w:tcPr>
          <w:p w14:paraId="1FAA2336" w14:textId="38DDE25C" w:rsidR="00471F50" w:rsidRPr="003B7FE2" w:rsidRDefault="004829C3" w:rsidP="00715CA4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Kaip suderinta tarp Tiekėjo ir Užsakovo. </w:t>
            </w:r>
          </w:p>
        </w:tc>
        <w:tc>
          <w:tcPr>
            <w:tcW w:w="1779" w:type="pct"/>
          </w:tcPr>
          <w:p w14:paraId="0C5BDCA6" w14:textId="1DFE922B" w:rsidR="004829C3" w:rsidRPr="003B7FE2" w:rsidRDefault="004829C3" w:rsidP="004829C3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Defektus galima taisyti garantinio periodo metu prieš tai raštu Tiekėjui ir Užsakovui susitarus defekto ištaisymo trukmę ir datą.</w:t>
            </w:r>
          </w:p>
          <w:p w14:paraId="5D159D11" w14:textId="7F1D1324" w:rsidR="00471F50" w:rsidRPr="003B7FE2" w:rsidRDefault="004829C3" w:rsidP="007E56D5">
            <w:pPr>
              <w:pStyle w:val="ListNumber"/>
              <w:numPr>
                <w:ilvl w:val="0"/>
                <w:numId w:val="0"/>
              </w:numPr>
              <w:spacing w:after="0" w:line="240" w:lineRule="auto"/>
              <w:ind w:firstLine="175"/>
              <w:rPr>
                <w:rFonts w:cs="Arial"/>
                <w:szCs w:val="22"/>
              </w:rPr>
            </w:pPr>
            <w:r w:rsidRPr="003B7FE2">
              <w:rPr>
                <w:rFonts w:cs="Arial"/>
                <w:szCs w:val="22"/>
              </w:rPr>
              <w:t>Esant D kategorijos defektams ir suderintam defektų sąrašui galutinis perdavimo aktas gali būti pasirašomas.</w:t>
            </w:r>
          </w:p>
        </w:tc>
      </w:tr>
    </w:tbl>
    <w:p w14:paraId="5532EA67" w14:textId="1EB28D9C" w:rsidR="004E4DBB" w:rsidRPr="003B7FE2" w:rsidRDefault="004E4DBB" w:rsidP="00F87D18">
      <w:pPr>
        <w:pStyle w:val="ListNumber"/>
        <w:numPr>
          <w:ilvl w:val="0"/>
          <w:numId w:val="0"/>
        </w:numPr>
        <w:spacing w:after="0" w:line="240" w:lineRule="auto"/>
        <w:ind w:left="426"/>
        <w:rPr>
          <w:rFonts w:cs="Arial"/>
          <w:szCs w:val="22"/>
        </w:rPr>
      </w:pPr>
      <w:r w:rsidRPr="003B7FE2">
        <w:rPr>
          <w:rFonts w:cs="Arial"/>
          <w:szCs w:val="22"/>
        </w:rPr>
        <w:tab/>
      </w:r>
    </w:p>
    <w:p w14:paraId="1E3576A3" w14:textId="2B5CEC24" w:rsidR="005D69A0" w:rsidRPr="003B7FE2" w:rsidRDefault="005D69A0" w:rsidP="004208CB">
      <w:pPr>
        <w:pStyle w:val="ListNumber"/>
        <w:numPr>
          <w:ilvl w:val="0"/>
          <w:numId w:val="0"/>
        </w:numPr>
        <w:spacing w:after="0" w:line="240" w:lineRule="auto"/>
        <w:ind w:left="426"/>
        <w:rPr>
          <w:rFonts w:cs="Arial"/>
          <w:szCs w:val="22"/>
        </w:rPr>
      </w:pPr>
    </w:p>
    <w:p w14:paraId="58F8349A" w14:textId="599360AD" w:rsidR="009F5AC8" w:rsidRPr="003B7FE2" w:rsidRDefault="009F5AC8" w:rsidP="009F5AC8">
      <w:pPr>
        <w:pStyle w:val="ListNumber"/>
        <w:numPr>
          <w:ilvl w:val="0"/>
          <w:numId w:val="0"/>
        </w:numPr>
        <w:spacing w:after="0" w:line="240" w:lineRule="auto"/>
        <w:ind w:left="720"/>
        <w:jc w:val="center"/>
        <w:rPr>
          <w:rFonts w:cs="Arial"/>
          <w:szCs w:val="22"/>
        </w:rPr>
      </w:pPr>
      <w:r w:rsidRPr="003B7FE2">
        <w:rPr>
          <w:rFonts w:cs="Arial"/>
          <w:szCs w:val="22"/>
        </w:rPr>
        <w:t>__________________</w:t>
      </w:r>
    </w:p>
    <w:p w14:paraId="278D7652" w14:textId="77777777" w:rsidR="00B91DBF" w:rsidRPr="003B7FE2" w:rsidRDefault="00B91DBF" w:rsidP="00BC55BF">
      <w:pPr>
        <w:spacing w:after="0" w:line="240" w:lineRule="auto"/>
        <w:rPr>
          <w:rFonts w:ascii="Arial" w:hAnsi="Arial" w:cs="Arial"/>
        </w:rPr>
      </w:pPr>
    </w:p>
    <w:sectPr w:rsidR="00B91DBF" w:rsidRPr="003B7FE2" w:rsidSect="008605C9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162ABD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9295B"/>
    <w:multiLevelType w:val="hybridMultilevel"/>
    <w:tmpl w:val="EBF230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21D98"/>
    <w:multiLevelType w:val="hybridMultilevel"/>
    <w:tmpl w:val="53D4613E"/>
    <w:lvl w:ilvl="0" w:tplc="91921CE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1F1F88"/>
    <w:multiLevelType w:val="multilevel"/>
    <w:tmpl w:val="D78834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2A466B"/>
    <w:multiLevelType w:val="hybridMultilevel"/>
    <w:tmpl w:val="5A46A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D2A9C"/>
    <w:multiLevelType w:val="hybridMultilevel"/>
    <w:tmpl w:val="659EF85A"/>
    <w:lvl w:ilvl="0" w:tplc="EEF033F8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2" w:hanging="360"/>
      </w:pPr>
    </w:lvl>
    <w:lvl w:ilvl="2" w:tplc="0409001B" w:tentative="1">
      <w:start w:val="1"/>
      <w:numFmt w:val="lowerRoman"/>
      <w:lvlText w:val="%3."/>
      <w:lvlJc w:val="right"/>
      <w:pPr>
        <w:ind w:left="3152" w:hanging="180"/>
      </w:pPr>
    </w:lvl>
    <w:lvl w:ilvl="3" w:tplc="0409000F" w:tentative="1">
      <w:start w:val="1"/>
      <w:numFmt w:val="decimal"/>
      <w:lvlText w:val="%4."/>
      <w:lvlJc w:val="left"/>
      <w:pPr>
        <w:ind w:left="3872" w:hanging="360"/>
      </w:pPr>
    </w:lvl>
    <w:lvl w:ilvl="4" w:tplc="04090019" w:tentative="1">
      <w:start w:val="1"/>
      <w:numFmt w:val="lowerLetter"/>
      <w:lvlText w:val="%5."/>
      <w:lvlJc w:val="left"/>
      <w:pPr>
        <w:ind w:left="4592" w:hanging="360"/>
      </w:pPr>
    </w:lvl>
    <w:lvl w:ilvl="5" w:tplc="0409001B" w:tentative="1">
      <w:start w:val="1"/>
      <w:numFmt w:val="lowerRoman"/>
      <w:lvlText w:val="%6."/>
      <w:lvlJc w:val="right"/>
      <w:pPr>
        <w:ind w:left="5312" w:hanging="180"/>
      </w:pPr>
    </w:lvl>
    <w:lvl w:ilvl="6" w:tplc="0409000F" w:tentative="1">
      <w:start w:val="1"/>
      <w:numFmt w:val="decimal"/>
      <w:lvlText w:val="%7."/>
      <w:lvlJc w:val="left"/>
      <w:pPr>
        <w:ind w:left="6032" w:hanging="360"/>
      </w:pPr>
    </w:lvl>
    <w:lvl w:ilvl="7" w:tplc="04090019" w:tentative="1">
      <w:start w:val="1"/>
      <w:numFmt w:val="lowerLetter"/>
      <w:lvlText w:val="%8."/>
      <w:lvlJc w:val="left"/>
      <w:pPr>
        <w:ind w:left="6752" w:hanging="360"/>
      </w:pPr>
    </w:lvl>
    <w:lvl w:ilvl="8" w:tplc="0409001B" w:tentative="1">
      <w:start w:val="1"/>
      <w:numFmt w:val="lowerRoman"/>
      <w:lvlText w:val="%9."/>
      <w:lvlJc w:val="right"/>
      <w:pPr>
        <w:ind w:left="7472" w:hanging="180"/>
      </w:pPr>
    </w:lvl>
  </w:abstractNum>
  <w:num w:numId="1" w16cid:durableId="171455323">
    <w:abstractNumId w:val="4"/>
  </w:num>
  <w:num w:numId="2" w16cid:durableId="381831524">
    <w:abstractNumId w:val="5"/>
    <w:lvlOverride w:ilvl="0">
      <w:startOverride w:val="1"/>
    </w:lvlOverride>
  </w:num>
  <w:num w:numId="3" w16cid:durableId="1018240778">
    <w:abstractNumId w:val="5"/>
    <w:lvlOverride w:ilvl="0">
      <w:startOverride w:val="1"/>
    </w:lvlOverride>
  </w:num>
  <w:num w:numId="4" w16cid:durableId="719397284">
    <w:abstractNumId w:val="0"/>
  </w:num>
  <w:num w:numId="5" w16cid:durableId="1370446692">
    <w:abstractNumId w:val="1"/>
  </w:num>
  <w:num w:numId="6" w16cid:durableId="64881878">
    <w:abstractNumId w:val="2"/>
  </w:num>
  <w:num w:numId="7" w16cid:durableId="1056707147">
    <w:abstractNumId w:val="0"/>
  </w:num>
  <w:num w:numId="8" w16cid:durableId="1784568941">
    <w:abstractNumId w:val="0"/>
  </w:num>
  <w:num w:numId="9" w16cid:durableId="149173982">
    <w:abstractNumId w:val="0"/>
  </w:num>
  <w:num w:numId="10" w16cid:durableId="1064066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BF"/>
    <w:rsid w:val="00025EDC"/>
    <w:rsid w:val="00031BD1"/>
    <w:rsid w:val="00045B2C"/>
    <w:rsid w:val="00064FE8"/>
    <w:rsid w:val="000832F7"/>
    <w:rsid w:val="000A562C"/>
    <w:rsid w:val="000A5FA3"/>
    <w:rsid w:val="000B77B1"/>
    <w:rsid w:val="000D16C8"/>
    <w:rsid w:val="000D5630"/>
    <w:rsid w:val="00102617"/>
    <w:rsid w:val="00134FD3"/>
    <w:rsid w:val="00150C4F"/>
    <w:rsid w:val="00154882"/>
    <w:rsid w:val="00162108"/>
    <w:rsid w:val="00167AA3"/>
    <w:rsid w:val="001F3886"/>
    <w:rsid w:val="0020416F"/>
    <w:rsid w:val="002541B2"/>
    <w:rsid w:val="00270038"/>
    <w:rsid w:val="0028737E"/>
    <w:rsid w:val="0029078E"/>
    <w:rsid w:val="002A024A"/>
    <w:rsid w:val="002A279B"/>
    <w:rsid w:val="002D275C"/>
    <w:rsid w:val="0030707B"/>
    <w:rsid w:val="00326D24"/>
    <w:rsid w:val="003338E6"/>
    <w:rsid w:val="00365977"/>
    <w:rsid w:val="00396A88"/>
    <w:rsid w:val="003B259E"/>
    <w:rsid w:val="003B4E6E"/>
    <w:rsid w:val="003B7FE2"/>
    <w:rsid w:val="004208CB"/>
    <w:rsid w:val="004409D8"/>
    <w:rsid w:val="0044513B"/>
    <w:rsid w:val="00451265"/>
    <w:rsid w:val="004628A1"/>
    <w:rsid w:val="00470BF0"/>
    <w:rsid w:val="00471F50"/>
    <w:rsid w:val="004728F1"/>
    <w:rsid w:val="004829C3"/>
    <w:rsid w:val="00484A58"/>
    <w:rsid w:val="00486292"/>
    <w:rsid w:val="0049E0CD"/>
    <w:rsid w:val="004C77A6"/>
    <w:rsid w:val="004E4DBB"/>
    <w:rsid w:val="004F6FAB"/>
    <w:rsid w:val="004F7A75"/>
    <w:rsid w:val="00502896"/>
    <w:rsid w:val="00502CE4"/>
    <w:rsid w:val="00520E05"/>
    <w:rsid w:val="00521348"/>
    <w:rsid w:val="00526E13"/>
    <w:rsid w:val="00596429"/>
    <w:rsid w:val="005C265E"/>
    <w:rsid w:val="005C2D97"/>
    <w:rsid w:val="005D69A0"/>
    <w:rsid w:val="005F4549"/>
    <w:rsid w:val="006153ED"/>
    <w:rsid w:val="00662307"/>
    <w:rsid w:val="0067006A"/>
    <w:rsid w:val="006700A1"/>
    <w:rsid w:val="006D7135"/>
    <w:rsid w:val="006F071D"/>
    <w:rsid w:val="006F5B30"/>
    <w:rsid w:val="00715CA4"/>
    <w:rsid w:val="00723551"/>
    <w:rsid w:val="0072446A"/>
    <w:rsid w:val="00734347"/>
    <w:rsid w:val="00741A8C"/>
    <w:rsid w:val="00762D42"/>
    <w:rsid w:val="00773D99"/>
    <w:rsid w:val="007750E7"/>
    <w:rsid w:val="0077585F"/>
    <w:rsid w:val="00781F20"/>
    <w:rsid w:val="007C619F"/>
    <w:rsid w:val="007D768A"/>
    <w:rsid w:val="007E56D5"/>
    <w:rsid w:val="007F5353"/>
    <w:rsid w:val="0081227B"/>
    <w:rsid w:val="00814F63"/>
    <w:rsid w:val="008156E6"/>
    <w:rsid w:val="0081783C"/>
    <w:rsid w:val="00820775"/>
    <w:rsid w:val="00850059"/>
    <w:rsid w:val="0085186D"/>
    <w:rsid w:val="008605C9"/>
    <w:rsid w:val="008674BB"/>
    <w:rsid w:val="008D3FB3"/>
    <w:rsid w:val="008D7C15"/>
    <w:rsid w:val="008E6FA0"/>
    <w:rsid w:val="00900C27"/>
    <w:rsid w:val="00922E66"/>
    <w:rsid w:val="009577CF"/>
    <w:rsid w:val="00970117"/>
    <w:rsid w:val="00971034"/>
    <w:rsid w:val="00996171"/>
    <w:rsid w:val="00997B17"/>
    <w:rsid w:val="009F5AC8"/>
    <w:rsid w:val="00A0604D"/>
    <w:rsid w:val="00A14C26"/>
    <w:rsid w:val="00A368D8"/>
    <w:rsid w:val="00A42269"/>
    <w:rsid w:val="00A477A8"/>
    <w:rsid w:val="00A51585"/>
    <w:rsid w:val="00A95220"/>
    <w:rsid w:val="00AA4331"/>
    <w:rsid w:val="00AB5438"/>
    <w:rsid w:val="00AD5A61"/>
    <w:rsid w:val="00AE24BF"/>
    <w:rsid w:val="00B263D7"/>
    <w:rsid w:val="00B311A6"/>
    <w:rsid w:val="00B400EB"/>
    <w:rsid w:val="00B4162E"/>
    <w:rsid w:val="00B544D8"/>
    <w:rsid w:val="00B91DBF"/>
    <w:rsid w:val="00B9470E"/>
    <w:rsid w:val="00BC55BF"/>
    <w:rsid w:val="00BD4ED2"/>
    <w:rsid w:val="00C07792"/>
    <w:rsid w:val="00C12AC6"/>
    <w:rsid w:val="00C232EB"/>
    <w:rsid w:val="00C551A8"/>
    <w:rsid w:val="00CB1146"/>
    <w:rsid w:val="00CB782F"/>
    <w:rsid w:val="00CC2016"/>
    <w:rsid w:val="00CD6B68"/>
    <w:rsid w:val="00CD7417"/>
    <w:rsid w:val="00D2215D"/>
    <w:rsid w:val="00D5750D"/>
    <w:rsid w:val="00D70F56"/>
    <w:rsid w:val="00D80E73"/>
    <w:rsid w:val="00DA7434"/>
    <w:rsid w:val="00DC5E2B"/>
    <w:rsid w:val="00DD5F0B"/>
    <w:rsid w:val="00DF6385"/>
    <w:rsid w:val="00E05CB7"/>
    <w:rsid w:val="00E10AE4"/>
    <w:rsid w:val="00E163E6"/>
    <w:rsid w:val="00E3AAE2"/>
    <w:rsid w:val="00E43FC4"/>
    <w:rsid w:val="00E505C3"/>
    <w:rsid w:val="00E51EA9"/>
    <w:rsid w:val="00E844EA"/>
    <w:rsid w:val="00E92F2C"/>
    <w:rsid w:val="00EF03F3"/>
    <w:rsid w:val="00F02B3D"/>
    <w:rsid w:val="00F87D18"/>
    <w:rsid w:val="00F9215E"/>
    <w:rsid w:val="00FA2949"/>
    <w:rsid w:val="00FD18B0"/>
    <w:rsid w:val="00FE2184"/>
    <w:rsid w:val="00FF6030"/>
    <w:rsid w:val="02191D3E"/>
    <w:rsid w:val="02C099CB"/>
    <w:rsid w:val="03497D9A"/>
    <w:rsid w:val="0477ED02"/>
    <w:rsid w:val="04B7BD1C"/>
    <w:rsid w:val="059DC54E"/>
    <w:rsid w:val="065454F9"/>
    <w:rsid w:val="06A13D4C"/>
    <w:rsid w:val="08218743"/>
    <w:rsid w:val="08BF45FC"/>
    <w:rsid w:val="0AE98997"/>
    <w:rsid w:val="0B9DF661"/>
    <w:rsid w:val="0CF6F14D"/>
    <w:rsid w:val="0D524882"/>
    <w:rsid w:val="0D5DED23"/>
    <w:rsid w:val="0DE01B26"/>
    <w:rsid w:val="0F3BFDEB"/>
    <w:rsid w:val="10234EB7"/>
    <w:rsid w:val="103302C4"/>
    <w:rsid w:val="12489EFD"/>
    <w:rsid w:val="14EA55ED"/>
    <w:rsid w:val="15A5A7E9"/>
    <w:rsid w:val="15E2972D"/>
    <w:rsid w:val="162A15C6"/>
    <w:rsid w:val="1683B87A"/>
    <w:rsid w:val="16D956D5"/>
    <w:rsid w:val="173D6B77"/>
    <w:rsid w:val="174656EF"/>
    <w:rsid w:val="17ED6C89"/>
    <w:rsid w:val="1860555B"/>
    <w:rsid w:val="18E276AE"/>
    <w:rsid w:val="198E81E1"/>
    <w:rsid w:val="19D494A0"/>
    <w:rsid w:val="19FB4113"/>
    <w:rsid w:val="19FEFEFF"/>
    <w:rsid w:val="1B8D07CA"/>
    <w:rsid w:val="1BF0415C"/>
    <w:rsid w:val="1D8F3FDA"/>
    <w:rsid w:val="1DE878EE"/>
    <w:rsid w:val="1E441634"/>
    <w:rsid w:val="1E70E762"/>
    <w:rsid w:val="1FA83128"/>
    <w:rsid w:val="1FF27E4F"/>
    <w:rsid w:val="21118D5B"/>
    <w:rsid w:val="212775A3"/>
    <w:rsid w:val="21E08F5B"/>
    <w:rsid w:val="232D740C"/>
    <w:rsid w:val="234C05F0"/>
    <w:rsid w:val="240A1606"/>
    <w:rsid w:val="244F7782"/>
    <w:rsid w:val="24632719"/>
    <w:rsid w:val="24902C40"/>
    <w:rsid w:val="250CEE46"/>
    <w:rsid w:val="25B37653"/>
    <w:rsid w:val="2609F685"/>
    <w:rsid w:val="2610EDAA"/>
    <w:rsid w:val="27177DE5"/>
    <w:rsid w:val="27704A1D"/>
    <w:rsid w:val="2996A23E"/>
    <w:rsid w:val="29C6748B"/>
    <w:rsid w:val="2B02E6AA"/>
    <w:rsid w:val="2BD32C3C"/>
    <w:rsid w:val="2C1734DE"/>
    <w:rsid w:val="2D513234"/>
    <w:rsid w:val="2DAEE3EE"/>
    <w:rsid w:val="2DDA02E1"/>
    <w:rsid w:val="2E613900"/>
    <w:rsid w:val="30070292"/>
    <w:rsid w:val="30CC4C91"/>
    <w:rsid w:val="3137BC5D"/>
    <w:rsid w:val="315B4FE4"/>
    <w:rsid w:val="3411B326"/>
    <w:rsid w:val="36240CA7"/>
    <w:rsid w:val="38545F3D"/>
    <w:rsid w:val="3911AA17"/>
    <w:rsid w:val="3A34F5DA"/>
    <w:rsid w:val="3A4518B2"/>
    <w:rsid w:val="3AA1D22D"/>
    <w:rsid w:val="3B39AE5E"/>
    <w:rsid w:val="3DD07D09"/>
    <w:rsid w:val="3E9F7E1E"/>
    <w:rsid w:val="3EAFB455"/>
    <w:rsid w:val="3EE4B5EF"/>
    <w:rsid w:val="3F068C4B"/>
    <w:rsid w:val="3F7473B7"/>
    <w:rsid w:val="3FB0417E"/>
    <w:rsid w:val="40F74EA2"/>
    <w:rsid w:val="4141E817"/>
    <w:rsid w:val="428ACB01"/>
    <w:rsid w:val="4427F198"/>
    <w:rsid w:val="4469703E"/>
    <w:rsid w:val="45D32B33"/>
    <w:rsid w:val="4745C551"/>
    <w:rsid w:val="4830182A"/>
    <w:rsid w:val="48B94B79"/>
    <w:rsid w:val="49FBE54B"/>
    <w:rsid w:val="4A3B2241"/>
    <w:rsid w:val="4A6EF70D"/>
    <w:rsid w:val="4C2909B5"/>
    <w:rsid w:val="4C6369BE"/>
    <w:rsid w:val="4C77B1EF"/>
    <w:rsid w:val="4D5CFC3C"/>
    <w:rsid w:val="4E21FE44"/>
    <w:rsid w:val="4E7AA27A"/>
    <w:rsid w:val="4FF930A2"/>
    <w:rsid w:val="517C415C"/>
    <w:rsid w:val="51FC0284"/>
    <w:rsid w:val="527BA21D"/>
    <w:rsid w:val="5287E2C0"/>
    <w:rsid w:val="54ACC39E"/>
    <w:rsid w:val="5540034C"/>
    <w:rsid w:val="56AE4E69"/>
    <w:rsid w:val="580926DC"/>
    <w:rsid w:val="582E04A0"/>
    <w:rsid w:val="58BEC5A5"/>
    <w:rsid w:val="592BD605"/>
    <w:rsid w:val="5A1FEF53"/>
    <w:rsid w:val="5AC60BCA"/>
    <w:rsid w:val="5B18482B"/>
    <w:rsid w:val="5CD6635A"/>
    <w:rsid w:val="5DF95C01"/>
    <w:rsid w:val="61AA9C72"/>
    <w:rsid w:val="6318D875"/>
    <w:rsid w:val="641B561E"/>
    <w:rsid w:val="65087980"/>
    <w:rsid w:val="66720A8F"/>
    <w:rsid w:val="673E5805"/>
    <w:rsid w:val="67CFFD55"/>
    <w:rsid w:val="684E97A5"/>
    <w:rsid w:val="69228198"/>
    <w:rsid w:val="6A886E70"/>
    <w:rsid w:val="6AC83535"/>
    <w:rsid w:val="6AEC89F2"/>
    <w:rsid w:val="6B9746A6"/>
    <w:rsid w:val="6BDA528B"/>
    <w:rsid w:val="6D8C9322"/>
    <w:rsid w:val="6FD51EAE"/>
    <w:rsid w:val="714A70C1"/>
    <w:rsid w:val="71D2860A"/>
    <w:rsid w:val="72A9FAA6"/>
    <w:rsid w:val="7344A70A"/>
    <w:rsid w:val="7348A9CC"/>
    <w:rsid w:val="73F88A27"/>
    <w:rsid w:val="74CF2353"/>
    <w:rsid w:val="74DD44D8"/>
    <w:rsid w:val="756401C1"/>
    <w:rsid w:val="756BC0AF"/>
    <w:rsid w:val="765F6EA2"/>
    <w:rsid w:val="779258D9"/>
    <w:rsid w:val="779676FE"/>
    <w:rsid w:val="77DA0620"/>
    <w:rsid w:val="788D5B90"/>
    <w:rsid w:val="78E90993"/>
    <w:rsid w:val="791F019B"/>
    <w:rsid w:val="7B8F2373"/>
    <w:rsid w:val="7BCBD00D"/>
    <w:rsid w:val="7C497983"/>
    <w:rsid w:val="7CC28655"/>
    <w:rsid w:val="7EBEA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A809"/>
  <w15:chartTrackingRefBased/>
  <w15:docId w15:val="{81623741-A790-4BF3-8544-2FBA6714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51">
    <w:name w:val="font51"/>
    <w:basedOn w:val="DefaultParagraphFont"/>
    <w:rsid w:val="00B91DBF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DefaultParagraphFont"/>
    <w:rsid w:val="00B91DBF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B91DBF"/>
    <w:pPr>
      <w:ind w:left="720"/>
      <w:contextualSpacing/>
    </w:pPr>
  </w:style>
  <w:style w:type="paragraph" w:customStyle="1" w:styleId="akapit">
    <w:name w:val="akapit"/>
    <w:basedOn w:val="Normal"/>
    <w:link w:val="akapitZnak"/>
    <w:qFormat/>
    <w:rsid w:val="00451265"/>
    <w:pPr>
      <w:spacing w:after="120" w:line="336" w:lineRule="auto"/>
      <w:ind w:left="992"/>
      <w:jc w:val="both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akapitZnak">
    <w:name w:val="akapit Znak"/>
    <w:link w:val="akapit"/>
    <w:locked/>
    <w:rsid w:val="00451265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styleId="ListNumber">
    <w:name w:val="List Number"/>
    <w:basedOn w:val="Normal"/>
    <w:uiPriority w:val="99"/>
    <w:rsid w:val="00451265"/>
    <w:pPr>
      <w:numPr>
        <w:numId w:val="4"/>
      </w:numPr>
      <w:spacing w:after="120" w:line="336" w:lineRule="auto"/>
      <w:jc w:val="both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026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6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26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6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6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261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505C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5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96A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uiPriority w:val="1"/>
    <w:rsid w:val="004F6FAB"/>
    <w:rPr>
      <w:rFonts w:ascii="Times New Roman" w:eastAsiaTheme="minorEastAsia" w:hAnsi="Times New Roman" w:cs="Times New Roman"/>
      <w:i/>
      <w:iCs/>
      <w:sz w:val="23"/>
      <w:szCs w:val="23"/>
    </w:rPr>
  </w:style>
  <w:style w:type="paragraph" w:customStyle="1" w:styleId="Bodytext20">
    <w:name w:val="Body text (2)"/>
    <w:basedOn w:val="Normal"/>
    <w:link w:val="Bodytext2"/>
    <w:uiPriority w:val="1"/>
    <w:rsid w:val="004F6FAB"/>
    <w:pPr>
      <w:spacing w:before="40" w:after="0" w:line="269" w:lineRule="exact"/>
      <w:ind w:left="792" w:right="58" w:hanging="400"/>
      <w:jc w:val="both"/>
    </w:pPr>
    <w:rPr>
      <w:rFonts w:ascii="Times New Roman" w:eastAsiaTheme="minorEastAsia" w:hAnsi="Times New Roman" w:cs="Times New Roman"/>
      <w:i/>
      <w:i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3bd800-9cc7-4b33-bbe3-cb24f5a86244" xsi:nil="true"/>
    <lcf76f155ced4ddcb4097134ff3c332f xmlns="b293e629-c72e-4bb7-a559-498fc1962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1CF02D5A34E4E9BCD9618E3AD3861" ma:contentTypeVersion="14" ma:contentTypeDescription="Create a new document." ma:contentTypeScope="" ma:versionID="e13f38e23b00b63c4a6af4fd4240d7d7">
  <xsd:schema xmlns:xsd="http://www.w3.org/2001/XMLSchema" xmlns:xs="http://www.w3.org/2001/XMLSchema" xmlns:p="http://schemas.microsoft.com/office/2006/metadata/properties" xmlns:ns2="b293e629-c72e-4bb7-a559-498fc1962e52" xmlns:ns3="413bd800-9cc7-4b33-bbe3-cb24f5a86244" targetNamespace="http://schemas.microsoft.com/office/2006/metadata/properties" ma:root="true" ma:fieldsID="6a5baf468d209cf22794f4f084da26bf" ns2:_="" ns3:_="">
    <xsd:import namespace="b293e629-c72e-4bb7-a559-498fc1962e52"/>
    <xsd:import namespace="413bd800-9cc7-4b33-bbe3-cb24f5a862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3e629-c72e-4bb7-a559-498fc1962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bd800-9cc7-4b33-bbe3-cb24f5a862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0e8895-5559-4e84-9542-514622bd284b}" ma:internalName="TaxCatchAll" ma:showField="CatchAllData" ma:web="413bd800-9cc7-4b33-bbe3-cb24f5a862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CB73C-F24A-4E47-81B7-EED82527BF63}">
  <ds:schemaRefs>
    <ds:schemaRef ds:uri="http://schemas.microsoft.com/office/2006/metadata/properties"/>
    <ds:schemaRef ds:uri="http://schemas.microsoft.com/office/infopath/2007/PartnerControls"/>
    <ds:schemaRef ds:uri="413bd800-9cc7-4b33-bbe3-cb24f5a86244"/>
    <ds:schemaRef ds:uri="b293e629-c72e-4bb7-a559-498fc1962e52"/>
  </ds:schemaRefs>
</ds:datastoreItem>
</file>

<file path=customXml/itemProps2.xml><?xml version="1.0" encoding="utf-8"?>
<ds:datastoreItem xmlns:ds="http://schemas.openxmlformats.org/officeDocument/2006/customXml" ds:itemID="{7DCB1093-CE90-4400-89EB-26C975443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A2A32-C67B-42AE-BEB2-B36375429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3e629-c72e-4bb7-a559-498fc1962e52"/>
    <ds:schemaRef ds:uri="413bd800-9cc7-4b33-bbe3-cb24f5a862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539</Words>
  <Characters>3743</Characters>
  <Application>Microsoft Office Word</Application>
  <DocSecurity>0</DocSecurity>
  <Lines>137</Lines>
  <Paragraphs>63</Paragraphs>
  <ScaleCrop>false</ScaleCrop>
  <Company>AB Vilniaus silumos tinklai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Gytautas Kaulakys</dc:creator>
  <cp:keywords/>
  <dc:description/>
  <cp:lastModifiedBy>Denis Sosunov</cp:lastModifiedBy>
  <cp:revision>99</cp:revision>
  <dcterms:created xsi:type="dcterms:W3CDTF">2024-11-11T09:19:00Z</dcterms:created>
  <dcterms:modified xsi:type="dcterms:W3CDTF">2025-11-18T09:35:00Z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0x0101003031CF02D5A34E4E9BCD9618E3AD3861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