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3835C" w14:textId="6BDCFFBD" w:rsidR="00B752AA" w:rsidRDefault="00E770F1" w:rsidP="00CF0B04">
      <w:pPr>
        <w:pStyle w:val="Caption"/>
        <w:spacing w:after="0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Toc164843879"/>
      <w:r w:rsidRPr="00E11D9A">
        <w:rPr>
          <w:rFonts w:asciiTheme="minorHAnsi" w:hAnsiTheme="minorHAnsi" w:cstheme="minorHAnsi"/>
          <w:sz w:val="22"/>
          <w:szCs w:val="22"/>
        </w:rPr>
        <w:t xml:space="preserve">Priedas Nr. </w:t>
      </w:r>
      <w:r w:rsidR="001B2D2A">
        <w:rPr>
          <w:rFonts w:asciiTheme="minorHAnsi" w:hAnsiTheme="minorHAnsi" w:cstheme="minorHAnsi"/>
          <w:sz w:val="22"/>
          <w:szCs w:val="22"/>
        </w:rPr>
        <w:t>4</w:t>
      </w:r>
      <w:r w:rsidRPr="00E11D9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E3BFB2" w14:textId="77777777" w:rsidR="00B752AA" w:rsidRDefault="00B752AA" w:rsidP="00B752AA">
      <w:pPr>
        <w:pStyle w:val="Caption"/>
        <w:spacing w:after="0"/>
        <w:rPr>
          <w:rFonts w:asciiTheme="minorHAnsi" w:hAnsiTheme="minorHAnsi" w:cstheme="minorHAnsi"/>
          <w:sz w:val="22"/>
          <w:szCs w:val="22"/>
        </w:rPr>
      </w:pPr>
    </w:p>
    <w:p w14:paraId="76AEB23E" w14:textId="460CC7C4" w:rsidR="002936E8" w:rsidRPr="00E11D9A" w:rsidRDefault="001B2D2A" w:rsidP="00B752AA">
      <w:pPr>
        <w:pStyle w:val="Caption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E770F1" w:rsidRPr="00E11D9A">
        <w:rPr>
          <w:rFonts w:asciiTheme="minorHAnsi" w:hAnsiTheme="minorHAnsi" w:cstheme="minorHAnsi"/>
          <w:sz w:val="22"/>
          <w:szCs w:val="22"/>
        </w:rPr>
        <w:t xml:space="preserve">riukšmo </w:t>
      </w:r>
      <w:r>
        <w:rPr>
          <w:rFonts w:asciiTheme="minorHAnsi" w:hAnsiTheme="minorHAnsi" w:cstheme="minorHAnsi"/>
          <w:sz w:val="22"/>
          <w:szCs w:val="22"/>
        </w:rPr>
        <w:t>norminiai</w:t>
      </w:r>
      <w:r w:rsidR="00E11D9A" w:rsidRPr="00E11D9A">
        <w:rPr>
          <w:rFonts w:asciiTheme="minorHAnsi" w:hAnsiTheme="minorHAnsi" w:cstheme="minorHAnsi"/>
          <w:sz w:val="22"/>
          <w:szCs w:val="22"/>
        </w:rPr>
        <w:t xml:space="preserve"> duomenys</w:t>
      </w:r>
    </w:p>
    <w:p w14:paraId="3686DB32" w14:textId="77777777" w:rsidR="002936E8" w:rsidRPr="00E11D9A" w:rsidRDefault="002936E8" w:rsidP="00CF0B04">
      <w:pPr>
        <w:pStyle w:val="Caption"/>
        <w:spacing w:after="0"/>
        <w:jc w:val="left"/>
        <w:rPr>
          <w:rFonts w:asciiTheme="minorHAnsi" w:hAnsiTheme="minorHAnsi" w:cstheme="minorHAnsi"/>
          <w:sz w:val="22"/>
          <w:szCs w:val="22"/>
        </w:rPr>
      </w:pPr>
    </w:p>
    <w:p w14:paraId="1C2CAD2A" w14:textId="77777777" w:rsidR="00CF0B04" w:rsidRPr="00CF0B04" w:rsidRDefault="00CF0B04" w:rsidP="00CF0B0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DBCA2F4" w14:textId="55FDC36A" w:rsidR="00CF0B04" w:rsidRPr="00CF0B04" w:rsidRDefault="00CF0B04" w:rsidP="00CF0B04">
      <w:pPr>
        <w:pStyle w:val="ListParagraph"/>
        <w:numPr>
          <w:ilvl w:val="0"/>
          <w:numId w:val="1"/>
        </w:numPr>
        <w:spacing w:after="0"/>
        <w:ind w:left="567" w:hanging="567"/>
        <w:jc w:val="both"/>
        <w:rPr>
          <w:rFonts w:asciiTheme="minorHAnsi" w:hAnsiTheme="minorHAnsi" w:cstheme="minorHAnsi"/>
          <w:sz w:val="22"/>
        </w:rPr>
      </w:pPr>
      <w:r w:rsidRPr="75AA2D97">
        <w:rPr>
          <w:rFonts w:asciiTheme="minorHAnsi" w:eastAsia="Times New Roman" w:hAnsiTheme="minorHAnsi"/>
          <w:color w:val="000000" w:themeColor="text1"/>
          <w:sz w:val="22"/>
        </w:rPr>
        <w:t xml:space="preserve">Triukšmo ribiniai dydžiai, kurie taikomi planuojamai ūkinei veiklai vertinti nurodyti </w:t>
      </w:r>
      <w:r w:rsidR="001B2D2A">
        <w:rPr>
          <w:rFonts w:asciiTheme="minorHAnsi" w:eastAsia="Times New Roman" w:hAnsiTheme="minorHAnsi"/>
          <w:color w:val="000000" w:themeColor="text1"/>
          <w:sz w:val="22"/>
        </w:rPr>
        <w:t>1</w:t>
      </w:r>
      <w:r w:rsidRPr="75AA2D97">
        <w:rPr>
          <w:rFonts w:asciiTheme="minorHAnsi" w:eastAsia="Times New Roman" w:hAnsiTheme="minorHAnsi"/>
          <w:color w:val="000000" w:themeColor="text1"/>
          <w:sz w:val="22"/>
        </w:rPr>
        <w:t xml:space="preserve"> lentelė</w:t>
      </w:r>
      <w:r w:rsidR="001D5A0D">
        <w:rPr>
          <w:rFonts w:asciiTheme="minorHAnsi" w:eastAsia="Times New Roman" w:hAnsiTheme="minorHAnsi"/>
          <w:color w:val="000000" w:themeColor="text1"/>
          <w:sz w:val="22"/>
        </w:rPr>
        <w:t>je</w:t>
      </w:r>
      <w:r w:rsidRPr="75AA2D97">
        <w:rPr>
          <w:rFonts w:asciiTheme="minorHAnsi" w:eastAsia="Times New Roman" w:hAnsiTheme="minorHAnsi"/>
          <w:color w:val="000000" w:themeColor="text1"/>
          <w:sz w:val="22"/>
        </w:rPr>
        <w:t>.</w:t>
      </w:r>
    </w:p>
    <w:bookmarkEnd w:id="0"/>
    <w:p w14:paraId="312FBF88" w14:textId="77777777" w:rsidR="00CF0B04" w:rsidRDefault="00CF0B04" w:rsidP="00CF0B04">
      <w:pPr>
        <w:spacing w:after="0"/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</w:pPr>
    </w:p>
    <w:p w14:paraId="54CB933C" w14:textId="449EB4DB" w:rsidR="002D3D66" w:rsidRPr="00E11D9A" w:rsidRDefault="00CF0B04" w:rsidP="00CF0B04">
      <w:pPr>
        <w:spacing w:after="0"/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  <w:t>L</w:t>
      </w:r>
      <w:r w:rsidR="7914CA81" w:rsidRPr="00E11D9A"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  <w:t>entelė</w:t>
      </w:r>
      <w:r w:rsidR="700BB1E6" w:rsidRPr="00E11D9A"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  <w:t xml:space="preserve"> </w:t>
      </w:r>
      <w:r w:rsidR="001B2D2A"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  <w:t>1</w:t>
      </w:r>
      <w:r w:rsidR="7914CA81" w:rsidRPr="00E11D9A"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  <w:t>. Lietuvos higienos normoje HN 33:2011 nustatyti didžiausi leidžiami triukšmo ribiniai dydžiai gyvenamųjų ir visuomeninės paskirties pastatų aplinkoje</w:t>
      </w:r>
    </w:p>
    <w:tbl>
      <w:tblPr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5"/>
        <w:gridCol w:w="1080"/>
        <w:gridCol w:w="2340"/>
        <w:gridCol w:w="2374"/>
      </w:tblGrid>
      <w:tr w:rsidR="001D5A0D" w:rsidRPr="00E11D9A" w14:paraId="7CDC441A" w14:textId="027BF9FB" w:rsidTr="00E25527">
        <w:trPr>
          <w:trHeight w:val="290"/>
        </w:trPr>
        <w:tc>
          <w:tcPr>
            <w:tcW w:w="4405" w:type="dxa"/>
            <w:shd w:val="clear" w:color="auto" w:fill="D0CECE" w:themeFill="background2" w:themeFillShade="E6"/>
            <w:tcMar>
              <w:left w:w="108" w:type="dxa"/>
              <w:right w:w="108" w:type="dxa"/>
            </w:tcMar>
            <w:vAlign w:val="center"/>
          </w:tcPr>
          <w:p w14:paraId="626FE424" w14:textId="64AA71CE" w:rsidR="001D5A0D" w:rsidRPr="00E11D9A" w:rsidRDefault="001D5A0D" w:rsidP="00CF0B04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E11D9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</w:rPr>
              <w:t>Objekto pavadinimas</w:t>
            </w:r>
          </w:p>
        </w:tc>
        <w:tc>
          <w:tcPr>
            <w:tcW w:w="1080" w:type="dxa"/>
            <w:shd w:val="clear" w:color="auto" w:fill="D0CECE" w:themeFill="background2" w:themeFillShade="E6"/>
            <w:tcMar>
              <w:left w:w="108" w:type="dxa"/>
              <w:right w:w="108" w:type="dxa"/>
            </w:tcMar>
            <w:vAlign w:val="center"/>
          </w:tcPr>
          <w:p w14:paraId="2C6CAEF5" w14:textId="0EAB301D" w:rsidR="001D5A0D" w:rsidRPr="00E11D9A" w:rsidRDefault="001D5A0D" w:rsidP="00CF0B04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E11D9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</w:rPr>
              <w:t>Paros laikas</w:t>
            </w:r>
          </w:p>
        </w:tc>
        <w:tc>
          <w:tcPr>
            <w:tcW w:w="2340" w:type="dxa"/>
            <w:shd w:val="clear" w:color="auto" w:fill="D0CECE" w:themeFill="background2" w:themeFillShade="E6"/>
            <w:tcMar>
              <w:left w:w="108" w:type="dxa"/>
              <w:right w:w="108" w:type="dxa"/>
            </w:tcMar>
            <w:vAlign w:val="center"/>
          </w:tcPr>
          <w:p w14:paraId="366456FE" w14:textId="2F91C3ED" w:rsidR="001D5A0D" w:rsidRPr="00E11D9A" w:rsidRDefault="001D5A0D" w:rsidP="00CF0B04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E11D9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</w:rPr>
              <w:t>Ekvivalentinis garso slėgio lygis (L</w:t>
            </w:r>
            <w:r w:rsidRPr="00E11D9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vertAlign w:val="subscript"/>
              </w:rPr>
              <w:t>AeqT</w:t>
            </w:r>
            <w:r w:rsidRPr="00E11D9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</w:rPr>
              <w:t>), dBA</w:t>
            </w:r>
          </w:p>
        </w:tc>
        <w:tc>
          <w:tcPr>
            <w:tcW w:w="2374" w:type="dxa"/>
            <w:shd w:val="clear" w:color="auto" w:fill="D0CECE" w:themeFill="background2" w:themeFillShade="E6"/>
          </w:tcPr>
          <w:p w14:paraId="6931B267" w14:textId="047B6E03" w:rsidR="001D5A0D" w:rsidRPr="00E11D9A" w:rsidRDefault="001D5A0D" w:rsidP="00CF0B04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</w:rPr>
            </w:pPr>
            <w:r w:rsidRPr="001D5A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</w:rPr>
              <w:t>Maksimalus garso slėgio lygis (L</w:t>
            </w:r>
            <w:r w:rsidRPr="001D5A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vertAlign w:val="subscript"/>
              </w:rPr>
              <w:t>AFmax</w:t>
            </w:r>
            <w:r w:rsidRPr="001D5A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</w:rPr>
              <w:t>), dBA</w:t>
            </w:r>
          </w:p>
        </w:tc>
      </w:tr>
      <w:tr w:rsidR="001D5A0D" w:rsidRPr="00E11D9A" w14:paraId="593EF37E" w14:textId="50B31416" w:rsidTr="00E25527">
        <w:trPr>
          <w:trHeight w:val="980"/>
        </w:trPr>
        <w:tc>
          <w:tcPr>
            <w:tcW w:w="4405" w:type="dxa"/>
            <w:tcMar>
              <w:left w:w="108" w:type="dxa"/>
              <w:right w:w="108" w:type="dxa"/>
            </w:tcMar>
            <w:vAlign w:val="center"/>
          </w:tcPr>
          <w:p w14:paraId="0C26516F" w14:textId="52E35B8C" w:rsidR="001D5A0D" w:rsidRPr="00E11D9A" w:rsidRDefault="001D5A0D" w:rsidP="00E25527">
            <w:pPr>
              <w:spacing w:after="0"/>
              <w:jc w:val="both"/>
              <w:rPr>
                <w:rFonts w:asciiTheme="minorHAnsi" w:hAnsiTheme="minorHAnsi" w:cstheme="minorHAnsi"/>
                <w:sz w:val="22"/>
              </w:rPr>
            </w:pPr>
            <w:r w:rsidRPr="001D5A0D">
              <w:rPr>
                <w:rFonts w:asciiTheme="minorHAnsi" w:eastAsia="Times New Roman" w:hAnsiTheme="minorHAnsi" w:cstheme="minorHAnsi"/>
                <w:color w:val="000000" w:themeColor="text1"/>
                <w:sz w:val="22"/>
              </w:rPr>
              <w:t>Gyvenamųjų pastatų ir visuomeninės paskirties pastatų (išskyrus maitinimo ir kultūros paskirties pastatus) aplinkoje, išskyrus transporto sukeliamą triukšmą</w:t>
            </w:r>
          </w:p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14:paraId="62E97A6A" w14:textId="16DCA540" w:rsidR="001D5A0D" w:rsidRPr="00E11D9A" w:rsidRDefault="001D5A0D" w:rsidP="00CF0B04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E11D9A">
              <w:rPr>
                <w:rFonts w:asciiTheme="minorHAnsi" w:eastAsia="Times New Roman" w:hAnsiTheme="minorHAnsi" w:cstheme="minorHAnsi"/>
                <w:color w:val="000000" w:themeColor="text1"/>
                <w:sz w:val="22"/>
              </w:rPr>
              <w:t>diena</w:t>
            </w:r>
          </w:p>
          <w:p w14:paraId="5E8B3C8B" w14:textId="2DA72FAE" w:rsidR="001D5A0D" w:rsidRPr="00E11D9A" w:rsidRDefault="001D5A0D" w:rsidP="00CF0B04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E11D9A">
              <w:rPr>
                <w:rFonts w:asciiTheme="minorHAnsi" w:eastAsia="Times New Roman" w:hAnsiTheme="minorHAnsi" w:cstheme="minorHAnsi"/>
                <w:color w:val="000000" w:themeColor="text1"/>
                <w:sz w:val="22"/>
              </w:rPr>
              <w:t>vakaras</w:t>
            </w:r>
          </w:p>
          <w:p w14:paraId="19FCC987" w14:textId="68DFB895" w:rsidR="001D5A0D" w:rsidRPr="00E11D9A" w:rsidRDefault="001D5A0D" w:rsidP="00CF0B04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E11D9A">
              <w:rPr>
                <w:rFonts w:asciiTheme="minorHAnsi" w:eastAsia="Times New Roman" w:hAnsiTheme="minorHAnsi" w:cstheme="minorHAnsi"/>
                <w:color w:val="000000" w:themeColor="text1"/>
                <w:sz w:val="22"/>
              </w:rPr>
              <w:t>naktis</w:t>
            </w:r>
          </w:p>
        </w:tc>
        <w:tc>
          <w:tcPr>
            <w:tcW w:w="2340" w:type="dxa"/>
            <w:tcMar>
              <w:left w:w="108" w:type="dxa"/>
              <w:right w:w="108" w:type="dxa"/>
            </w:tcMar>
            <w:vAlign w:val="center"/>
          </w:tcPr>
          <w:p w14:paraId="677177D6" w14:textId="39479864" w:rsidR="001D5A0D" w:rsidRPr="00E11D9A" w:rsidRDefault="001D5A0D" w:rsidP="00CF0B04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E11D9A">
              <w:rPr>
                <w:rFonts w:asciiTheme="minorHAnsi" w:eastAsia="Times New Roman" w:hAnsiTheme="minorHAnsi" w:cstheme="minorHAnsi"/>
                <w:color w:val="000000" w:themeColor="text1"/>
                <w:sz w:val="22"/>
              </w:rPr>
              <w:t>55</w:t>
            </w:r>
          </w:p>
          <w:p w14:paraId="524569E1" w14:textId="6D22C176" w:rsidR="001D5A0D" w:rsidRPr="00E11D9A" w:rsidRDefault="001D5A0D" w:rsidP="00CF0B04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E11D9A">
              <w:rPr>
                <w:rFonts w:asciiTheme="minorHAnsi" w:eastAsia="Times New Roman" w:hAnsiTheme="minorHAnsi" w:cstheme="minorHAnsi"/>
                <w:color w:val="000000" w:themeColor="text1"/>
                <w:sz w:val="22"/>
              </w:rPr>
              <w:t>50</w:t>
            </w:r>
          </w:p>
          <w:p w14:paraId="669BB86B" w14:textId="01939F16" w:rsidR="001D5A0D" w:rsidRPr="00E11D9A" w:rsidRDefault="001D5A0D" w:rsidP="00CF0B04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E11D9A">
              <w:rPr>
                <w:rFonts w:asciiTheme="minorHAnsi" w:eastAsia="Times New Roman" w:hAnsiTheme="minorHAnsi" w:cstheme="minorHAnsi"/>
                <w:color w:val="000000" w:themeColor="text1"/>
                <w:sz w:val="22"/>
              </w:rPr>
              <w:t>45</w:t>
            </w:r>
          </w:p>
        </w:tc>
        <w:tc>
          <w:tcPr>
            <w:tcW w:w="2374" w:type="dxa"/>
          </w:tcPr>
          <w:p w14:paraId="78D45860" w14:textId="77777777" w:rsidR="001D5A0D" w:rsidRDefault="001D5A0D" w:rsidP="00CF0B04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</w:rPr>
            </w:pPr>
          </w:p>
          <w:p w14:paraId="67FCDAEA" w14:textId="77777777" w:rsidR="001D5A0D" w:rsidRPr="001D5A0D" w:rsidRDefault="001D5A0D" w:rsidP="001D5A0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</w:rPr>
            </w:pPr>
            <w:r w:rsidRPr="001D5A0D">
              <w:rPr>
                <w:rFonts w:asciiTheme="minorHAnsi" w:eastAsia="Times New Roman" w:hAnsiTheme="minorHAnsi" w:cstheme="minorHAnsi"/>
                <w:color w:val="000000" w:themeColor="text1"/>
                <w:sz w:val="22"/>
              </w:rPr>
              <w:t>60</w:t>
            </w:r>
          </w:p>
          <w:p w14:paraId="6A674275" w14:textId="77777777" w:rsidR="001D5A0D" w:rsidRPr="001D5A0D" w:rsidRDefault="001D5A0D" w:rsidP="001D5A0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</w:rPr>
            </w:pPr>
            <w:r w:rsidRPr="001D5A0D">
              <w:rPr>
                <w:rFonts w:asciiTheme="minorHAnsi" w:eastAsia="Times New Roman" w:hAnsiTheme="minorHAnsi" w:cstheme="minorHAnsi"/>
                <w:color w:val="000000" w:themeColor="text1"/>
                <w:sz w:val="22"/>
              </w:rPr>
              <w:t>55</w:t>
            </w:r>
          </w:p>
          <w:p w14:paraId="5466100E" w14:textId="3354B41F" w:rsidR="001D5A0D" w:rsidRDefault="001D5A0D" w:rsidP="001D5A0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</w:rPr>
            </w:pPr>
            <w:r w:rsidRPr="001D5A0D">
              <w:rPr>
                <w:rFonts w:asciiTheme="minorHAnsi" w:eastAsia="Times New Roman" w:hAnsiTheme="minorHAnsi" w:cstheme="minorHAnsi"/>
                <w:color w:val="000000" w:themeColor="text1"/>
                <w:sz w:val="22"/>
              </w:rPr>
              <w:t>50</w:t>
            </w:r>
          </w:p>
          <w:p w14:paraId="01167347" w14:textId="77777777" w:rsidR="001D5A0D" w:rsidRPr="00E11D9A" w:rsidRDefault="001D5A0D" w:rsidP="00CF0B04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</w:rPr>
            </w:pPr>
          </w:p>
        </w:tc>
      </w:tr>
    </w:tbl>
    <w:p w14:paraId="40AA59B5" w14:textId="37D5A39A" w:rsidR="002D3D66" w:rsidRPr="00E11D9A" w:rsidRDefault="7914CA81" w:rsidP="00CF0B04">
      <w:pPr>
        <w:spacing w:after="0"/>
        <w:rPr>
          <w:rFonts w:asciiTheme="minorHAnsi" w:hAnsiTheme="minorHAnsi" w:cstheme="minorHAnsi"/>
          <w:sz w:val="22"/>
        </w:rPr>
      </w:pPr>
      <w:r w:rsidRPr="00E11D9A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 </w:t>
      </w:r>
    </w:p>
    <w:p w14:paraId="62D9F52A" w14:textId="78A3C8B1" w:rsidR="002D3D66" w:rsidRPr="001241C1" w:rsidRDefault="001D5A0D" w:rsidP="00E25527">
      <w:pPr>
        <w:spacing w:after="0"/>
        <w:jc w:val="both"/>
        <w:rPr>
          <w:rFonts w:asciiTheme="minorHAnsi" w:eastAsia="Times New Roman" w:hAnsiTheme="minorHAnsi" w:cstheme="minorHAnsi"/>
          <w:color w:val="000000" w:themeColor="text1"/>
          <w:sz w:val="22"/>
        </w:rPr>
      </w:pPr>
      <w:r w:rsidRPr="001241C1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Pastaba: </w:t>
      </w:r>
      <w:r w:rsidR="00A13BBC">
        <w:rPr>
          <w:rFonts w:asciiTheme="minorHAnsi" w:eastAsia="Times New Roman" w:hAnsiTheme="minorHAnsi" w:cstheme="minorHAnsi"/>
          <w:color w:val="000000" w:themeColor="text1"/>
          <w:sz w:val="22"/>
        </w:rPr>
        <w:t>T</w:t>
      </w:r>
      <w:r w:rsidR="001241C1">
        <w:rPr>
          <w:rFonts w:asciiTheme="minorHAnsi" w:eastAsia="Times New Roman" w:hAnsiTheme="minorHAnsi" w:cstheme="minorHAnsi"/>
          <w:color w:val="000000" w:themeColor="text1"/>
          <w:sz w:val="22"/>
        </w:rPr>
        <w:t>eikėjas</w:t>
      </w:r>
      <w:r w:rsidRPr="001241C1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 įsipareigoja vykdyti projektą laikydamasis Lietuvos higienos norm</w:t>
      </w:r>
      <w:r w:rsidR="001241C1">
        <w:rPr>
          <w:rFonts w:asciiTheme="minorHAnsi" w:eastAsia="Times New Roman" w:hAnsiTheme="minorHAnsi" w:cstheme="minorHAnsi"/>
          <w:color w:val="000000" w:themeColor="text1"/>
          <w:sz w:val="22"/>
        </w:rPr>
        <w:t>o</w:t>
      </w:r>
      <w:r w:rsidRPr="001241C1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s </w:t>
      </w:r>
      <w:r w:rsidR="001241C1" w:rsidRPr="00E25527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HN 33:2011 </w:t>
      </w:r>
      <w:r w:rsidR="003A4F69" w:rsidRPr="003A4F69">
        <w:rPr>
          <w:rFonts w:asciiTheme="minorHAnsi" w:eastAsia="Times New Roman" w:hAnsiTheme="minorHAnsi" w:cstheme="minorHAnsi"/>
          <w:color w:val="000000" w:themeColor="text1"/>
          <w:sz w:val="22"/>
        </w:rPr>
        <w:t>„</w:t>
      </w:r>
      <w:r w:rsidR="001241C1" w:rsidRPr="00E25527">
        <w:rPr>
          <w:rFonts w:asciiTheme="minorHAnsi" w:eastAsia="Times New Roman" w:hAnsiTheme="minorHAnsi" w:cstheme="minorHAnsi"/>
          <w:color w:val="000000" w:themeColor="text1"/>
          <w:sz w:val="22"/>
        </w:rPr>
        <w:t>Triukšmo ribiniai dydžiai gyvenamuosiuose ir visuomeninės paskirties pastatuose bei jų aplinkoje</w:t>
      </w:r>
      <w:r w:rsidR="003A4F69" w:rsidRPr="003A4F69">
        <w:rPr>
          <w:rFonts w:asciiTheme="minorHAnsi" w:eastAsia="Times New Roman" w:hAnsiTheme="minorHAnsi" w:cstheme="minorHAnsi"/>
          <w:color w:val="000000" w:themeColor="text1"/>
          <w:sz w:val="22"/>
        </w:rPr>
        <w:t>“</w:t>
      </w:r>
      <w:r w:rsidR="003A4F69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 reikalavimų</w:t>
      </w:r>
      <w:r w:rsidRPr="001241C1">
        <w:rPr>
          <w:rFonts w:asciiTheme="minorHAnsi" w:eastAsia="Times New Roman" w:hAnsiTheme="minorHAnsi" w:cstheme="minorHAnsi"/>
          <w:color w:val="000000" w:themeColor="text1"/>
          <w:sz w:val="22"/>
        </w:rPr>
        <w:t>, ir, jei teisės akta</w:t>
      </w:r>
      <w:r w:rsidR="001241C1" w:rsidRPr="001241C1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s </w:t>
      </w:r>
      <w:r w:rsidRPr="001241C1">
        <w:rPr>
          <w:rFonts w:asciiTheme="minorHAnsi" w:eastAsia="Times New Roman" w:hAnsiTheme="minorHAnsi" w:cstheme="minorHAnsi"/>
          <w:color w:val="000000" w:themeColor="text1"/>
          <w:sz w:val="22"/>
        </w:rPr>
        <w:t>keičiasi per projekto vykdymo laikotarpį, užtikrinti, kad būtų laikomasi naujausi</w:t>
      </w:r>
      <w:r w:rsidR="001241C1">
        <w:rPr>
          <w:rFonts w:asciiTheme="minorHAnsi" w:eastAsia="Times New Roman" w:hAnsiTheme="minorHAnsi" w:cstheme="minorHAnsi"/>
          <w:color w:val="000000" w:themeColor="text1"/>
          <w:sz w:val="22"/>
        </w:rPr>
        <w:t>os</w:t>
      </w:r>
      <w:r w:rsidRPr="001241C1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 </w:t>
      </w:r>
      <w:r w:rsidR="001241C1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šio </w:t>
      </w:r>
      <w:r w:rsidRPr="001241C1">
        <w:rPr>
          <w:rFonts w:asciiTheme="minorHAnsi" w:eastAsia="Times New Roman" w:hAnsiTheme="minorHAnsi" w:cstheme="minorHAnsi"/>
          <w:color w:val="000000" w:themeColor="text1"/>
          <w:sz w:val="22"/>
        </w:rPr>
        <w:t>teisės akt</w:t>
      </w:r>
      <w:r w:rsidR="001241C1">
        <w:rPr>
          <w:rFonts w:asciiTheme="minorHAnsi" w:eastAsia="Times New Roman" w:hAnsiTheme="minorHAnsi" w:cstheme="minorHAnsi"/>
          <w:color w:val="000000" w:themeColor="text1"/>
          <w:sz w:val="22"/>
        </w:rPr>
        <w:t>o</w:t>
      </w:r>
      <w:r w:rsidRPr="001241C1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 redakcij</w:t>
      </w:r>
      <w:r w:rsidR="001241C1">
        <w:rPr>
          <w:rFonts w:asciiTheme="minorHAnsi" w:eastAsia="Times New Roman" w:hAnsiTheme="minorHAnsi" w:cstheme="minorHAnsi"/>
          <w:color w:val="000000" w:themeColor="text1"/>
          <w:sz w:val="22"/>
        </w:rPr>
        <w:t>os</w:t>
      </w:r>
      <w:r w:rsidRPr="001241C1">
        <w:rPr>
          <w:rFonts w:asciiTheme="minorHAnsi" w:eastAsia="Times New Roman" w:hAnsiTheme="minorHAnsi" w:cstheme="minorHAnsi"/>
          <w:color w:val="000000" w:themeColor="text1"/>
          <w:sz w:val="22"/>
        </w:rPr>
        <w:t>.</w:t>
      </w:r>
    </w:p>
    <w:p w14:paraId="1935407B" w14:textId="3E17E30F" w:rsidR="002D3D66" w:rsidRPr="00E25527" w:rsidRDefault="00637A3A" w:rsidP="001241C1">
      <w:pPr>
        <w:spacing w:after="0"/>
        <w:jc w:val="center"/>
        <w:rPr>
          <w:rFonts w:asciiTheme="minorHAnsi" w:hAnsiTheme="minorHAnsi" w:cstheme="minorHAnsi"/>
          <w:sz w:val="22"/>
          <w:lang w:val="en-US"/>
        </w:rPr>
      </w:pPr>
      <w:r w:rsidRPr="001241C1">
        <w:rPr>
          <w:rFonts w:asciiTheme="minorHAnsi" w:hAnsiTheme="minorHAnsi" w:cstheme="minorHAnsi"/>
          <w:sz w:val="22"/>
        </w:rPr>
        <w:t>________________</w:t>
      </w:r>
    </w:p>
    <w:sectPr w:rsidR="002D3D66" w:rsidRPr="00E25527" w:rsidSect="00453F22">
      <w:pgSz w:w="11907" w:h="16840" w:code="9"/>
      <w:pgMar w:top="1134" w:right="56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B1C37"/>
    <w:multiLevelType w:val="hybridMultilevel"/>
    <w:tmpl w:val="58C4D17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82998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0F"/>
    <w:rsid w:val="00045B2C"/>
    <w:rsid w:val="001241C1"/>
    <w:rsid w:val="001908B0"/>
    <w:rsid w:val="001A4914"/>
    <w:rsid w:val="001B2D2A"/>
    <w:rsid w:val="001D5A0D"/>
    <w:rsid w:val="00262E0F"/>
    <w:rsid w:val="00292EA2"/>
    <w:rsid w:val="002936E8"/>
    <w:rsid w:val="002D3D66"/>
    <w:rsid w:val="00310FD9"/>
    <w:rsid w:val="003775DF"/>
    <w:rsid w:val="003A4F69"/>
    <w:rsid w:val="003D61AC"/>
    <w:rsid w:val="003D768A"/>
    <w:rsid w:val="00453F22"/>
    <w:rsid w:val="004E61AB"/>
    <w:rsid w:val="005615DE"/>
    <w:rsid w:val="0057112E"/>
    <w:rsid w:val="005E4BD0"/>
    <w:rsid w:val="005E7AB2"/>
    <w:rsid w:val="00637A3A"/>
    <w:rsid w:val="007415AD"/>
    <w:rsid w:val="007450D2"/>
    <w:rsid w:val="007B2CAF"/>
    <w:rsid w:val="007D5348"/>
    <w:rsid w:val="00854E07"/>
    <w:rsid w:val="00887C66"/>
    <w:rsid w:val="008D53FF"/>
    <w:rsid w:val="00A13BBC"/>
    <w:rsid w:val="00A44D68"/>
    <w:rsid w:val="00AE07DF"/>
    <w:rsid w:val="00AE32B2"/>
    <w:rsid w:val="00B752AA"/>
    <w:rsid w:val="00C82E97"/>
    <w:rsid w:val="00C95B32"/>
    <w:rsid w:val="00CB2D9E"/>
    <w:rsid w:val="00CC400F"/>
    <w:rsid w:val="00CD565F"/>
    <w:rsid w:val="00CE62FA"/>
    <w:rsid w:val="00CF0B04"/>
    <w:rsid w:val="00DA4024"/>
    <w:rsid w:val="00DC2373"/>
    <w:rsid w:val="00E11D9A"/>
    <w:rsid w:val="00E25527"/>
    <w:rsid w:val="00E770F1"/>
    <w:rsid w:val="00EB2723"/>
    <w:rsid w:val="00FF6030"/>
    <w:rsid w:val="04AF0323"/>
    <w:rsid w:val="187C1EDC"/>
    <w:rsid w:val="39D494E2"/>
    <w:rsid w:val="41B73BD1"/>
    <w:rsid w:val="4C207D90"/>
    <w:rsid w:val="5397C0BD"/>
    <w:rsid w:val="668EFCFA"/>
    <w:rsid w:val="6A0CE8A6"/>
    <w:rsid w:val="700BB1E6"/>
    <w:rsid w:val="703FBEE2"/>
    <w:rsid w:val="75AA2D97"/>
    <w:rsid w:val="75B6DFB1"/>
    <w:rsid w:val="7914CA81"/>
    <w:rsid w:val="7F54C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F459"/>
  <w15:chartTrackingRefBased/>
  <w15:docId w15:val="{84A6AEED-3190-47D6-84A6-CCA830CA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0F"/>
    <w:pPr>
      <w:spacing w:after="120" w:line="240" w:lineRule="auto"/>
    </w:pPr>
    <w:rPr>
      <w:rFonts w:ascii="Times New Roman" w:hAnsi="Times New Roman"/>
      <w:kern w:val="0"/>
      <w:sz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iPriority w:val="99"/>
    <w:unhideWhenUsed/>
    <w:qFormat/>
    <w:rsid w:val="00262E0F"/>
    <w:pPr>
      <w:spacing w:after="200"/>
      <w:jc w:val="center"/>
    </w:pPr>
    <w:rPr>
      <w:b/>
      <w:iCs/>
      <w:kern w:val="2"/>
      <w:sz w:val="18"/>
      <w:szCs w:val="18"/>
      <w14:ligatures w14:val="standardContextual"/>
    </w:rPr>
  </w:style>
  <w:style w:type="character" w:customStyle="1" w:styleId="CaptionChar">
    <w:name w:val="Caption Char"/>
    <w:link w:val="Caption"/>
    <w:uiPriority w:val="99"/>
    <w:locked/>
    <w:rsid w:val="00262E0F"/>
    <w:rPr>
      <w:rFonts w:ascii="Times New Roman" w:hAnsi="Times New Roman"/>
      <w:b/>
      <w:iCs/>
      <w:sz w:val="18"/>
      <w:szCs w:val="18"/>
      <w:lang w:val="lt-LT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B2D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61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1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1AC"/>
    <w:rPr>
      <w:rFonts w:ascii="Times New Roman" w:hAnsi="Times New Roman"/>
      <w:kern w:val="0"/>
      <w:sz w:val="20"/>
      <w:szCs w:val="20"/>
      <w:lang w:val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1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1AC"/>
    <w:rPr>
      <w:rFonts w:ascii="Times New Roman" w:hAnsi="Times New Roman"/>
      <w:b/>
      <w:bCs/>
      <w:kern w:val="0"/>
      <w:sz w:val="20"/>
      <w:szCs w:val="20"/>
      <w:lang w:val="lt-LT"/>
      <w14:ligatures w14:val="none"/>
    </w:rPr>
  </w:style>
  <w:style w:type="character" w:styleId="Mention">
    <w:name w:val="Mention"/>
    <w:basedOn w:val="DefaultParagraphFont"/>
    <w:uiPriority w:val="99"/>
    <w:unhideWhenUsed/>
    <w:rsid w:val="003D61AC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2A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AA"/>
    <w:rPr>
      <w:rFonts w:ascii="Segoe UI" w:hAnsi="Segoe UI" w:cs="Segoe UI"/>
      <w:kern w:val="0"/>
      <w:sz w:val="18"/>
      <w:szCs w:val="18"/>
      <w:lang w:val="lt-LT"/>
      <w14:ligatures w14:val="none"/>
    </w:rPr>
  </w:style>
  <w:style w:type="paragraph" w:styleId="Revision">
    <w:name w:val="Revision"/>
    <w:hidden/>
    <w:uiPriority w:val="99"/>
    <w:semiHidden/>
    <w:rsid w:val="001D5A0D"/>
    <w:pPr>
      <w:spacing w:after="0" w:line="240" w:lineRule="auto"/>
    </w:pPr>
    <w:rPr>
      <w:rFonts w:ascii="Times New Roman" w:hAnsi="Times New Roman"/>
      <w:kern w:val="0"/>
      <w:sz w:val="24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1CF02D5A34E4E9BCD9618E3AD3861" ma:contentTypeVersion="14" ma:contentTypeDescription="Create a new document." ma:contentTypeScope="" ma:versionID="e13f38e23b00b63c4a6af4fd4240d7d7">
  <xsd:schema xmlns:xsd="http://www.w3.org/2001/XMLSchema" xmlns:xs="http://www.w3.org/2001/XMLSchema" xmlns:p="http://schemas.microsoft.com/office/2006/metadata/properties" xmlns:ns2="b293e629-c72e-4bb7-a559-498fc1962e52" xmlns:ns3="413bd800-9cc7-4b33-bbe3-cb24f5a86244" targetNamespace="http://schemas.microsoft.com/office/2006/metadata/properties" ma:root="true" ma:fieldsID="6a5baf468d209cf22794f4f084da26bf" ns2:_="" ns3:_="">
    <xsd:import namespace="b293e629-c72e-4bb7-a559-498fc1962e52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3e629-c72e-4bb7-a559-498fc1962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3bd800-9cc7-4b33-bbe3-cb24f5a86244" xsi:nil="true"/>
    <lcf76f155ced4ddcb4097134ff3c332f xmlns="b293e629-c72e-4bb7-a559-498fc1962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FBEF74-4DE4-4A72-82D6-D500E7E82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E73189-E3B3-4FDB-A481-C92880D153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D7736-1382-484D-9416-47629BE99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3e629-c72e-4bb7-a559-498fc1962e52"/>
    <ds:schemaRef ds:uri="413bd800-9cc7-4b33-bbe3-cb24f5a86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51008C-4FBC-4323-BB5B-E79A79DB656F}">
  <ds:schemaRefs>
    <ds:schemaRef ds:uri="http://schemas.microsoft.com/office/2006/metadata/properties"/>
    <ds:schemaRef ds:uri="http://schemas.microsoft.com/office/infopath/2007/PartnerControls"/>
    <ds:schemaRef ds:uri="413bd800-9cc7-4b33-bbe3-cb24f5a86244"/>
    <ds:schemaRef ds:uri="b293e629-c72e-4bb7-a559-498fc1962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861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Uscila</dc:creator>
  <cp:keywords/>
  <dc:description/>
  <cp:lastModifiedBy>Denis Sosunov</cp:lastModifiedBy>
  <cp:revision>7</cp:revision>
  <dcterms:created xsi:type="dcterms:W3CDTF">2024-12-05T11:52:00Z</dcterms:created>
  <dcterms:modified xsi:type="dcterms:W3CDTF">2025-11-18T08:19:00Z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0x0101003031CF02D5A34E4E9BCD9618E3AD3861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