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D012" w14:textId="2E9E3930" w:rsidR="00102E1F" w:rsidRPr="00102E1F" w:rsidRDefault="00102E1F" w:rsidP="00102E1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Cambria"/>
          <w:b/>
          <w:sz w:val="24"/>
          <w:szCs w:val="24"/>
        </w:rPr>
      </w:pPr>
      <w:r w:rsidRPr="00102E1F">
        <w:rPr>
          <w:rFonts w:ascii="Cambria" w:eastAsiaTheme="minorHAnsi" w:hAnsi="Cambria" w:cs="Cambria"/>
          <w:b/>
          <w:sz w:val="24"/>
          <w:szCs w:val="24"/>
        </w:rPr>
        <w:t>PAVIRŠIŲ VALYMO IR DEZINFEKCIJOS, KOKYBĖS KONTROLĖS PRIEMON</w:t>
      </w:r>
      <w:r>
        <w:rPr>
          <w:rFonts w:ascii="Cambria" w:eastAsiaTheme="minorHAnsi" w:hAnsi="Cambria" w:cs="Cambria"/>
          <w:b/>
          <w:sz w:val="24"/>
          <w:szCs w:val="24"/>
        </w:rPr>
        <w:t>ĖMS</w:t>
      </w:r>
      <w:r w:rsidRPr="00102E1F">
        <w:rPr>
          <w:rFonts w:ascii="Cambria" w:eastAsiaTheme="minorHAnsi" w:hAnsi="Cambria" w:cs="Cambria"/>
          <w:b/>
          <w:sz w:val="24"/>
          <w:szCs w:val="24"/>
        </w:rPr>
        <w:t>,</w:t>
      </w:r>
    </w:p>
    <w:p w14:paraId="4566614E" w14:textId="59569B51" w:rsidR="004A3C09" w:rsidRPr="00274BE8" w:rsidRDefault="00102E1F" w:rsidP="00102E1F">
      <w:pPr>
        <w:shd w:val="clear" w:color="auto" w:fill="FFFFFF"/>
        <w:spacing w:after="0" w:line="240" w:lineRule="auto"/>
        <w:ind w:left="28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102E1F">
        <w:rPr>
          <w:rFonts w:ascii="Cambria" w:eastAsiaTheme="minorHAnsi" w:hAnsi="Cambria" w:cs="Cambria"/>
          <w:b/>
          <w:sz w:val="24"/>
          <w:szCs w:val="24"/>
        </w:rPr>
        <w:t>ŽYMEKLI</w:t>
      </w:r>
      <w:r>
        <w:rPr>
          <w:rFonts w:ascii="Cambria" w:eastAsiaTheme="minorHAnsi" w:hAnsi="Cambria" w:cs="Cambria"/>
          <w:b/>
          <w:sz w:val="24"/>
          <w:szCs w:val="24"/>
        </w:rPr>
        <w:t>AMS</w:t>
      </w:r>
      <w:r>
        <w:rPr>
          <w:rFonts w:ascii="Cambria" w:eastAsiaTheme="minorHAnsi" w:hAnsi="Cambria" w:cs="Cambria"/>
          <w:sz w:val="24"/>
          <w:szCs w:val="24"/>
        </w:rP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F77982" w14:paraId="02DEB91F" w14:textId="77777777" w:rsidTr="00DD4B81">
        <w:trPr>
          <w:trHeight w:val="14160"/>
        </w:trPr>
        <w:tc>
          <w:tcPr>
            <w:tcW w:w="4390" w:type="dxa"/>
          </w:tcPr>
          <w:p w14:paraId="5ACB8C41" w14:textId="37C41E31" w:rsidR="00F77982" w:rsidRPr="00AE1AAE" w:rsidRDefault="00F77982" w:rsidP="00F7798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tabs>
                <w:tab w:val="left" w:pos="448"/>
              </w:tabs>
              <w:ind w:left="0"/>
              <w:jc w:val="both"/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  <w:t xml:space="preserve">3. </w:t>
            </w:r>
            <w:r w:rsidRPr="00AE1AAE"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  <w:t>Dezinfekcinė medžiaga paviršių valymui ir dezinfekcijai aktyvuoto deguonies pagrindu</w:t>
            </w:r>
          </w:p>
          <w:p w14:paraId="4DD07C98" w14:textId="25D6B1C9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veiklioji medžiaga – peroksidas arba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peracto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rūgštis; </w:t>
            </w:r>
          </w:p>
          <w:p w14:paraId="5248AB09" w14:textId="1A7138CD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turi valomųjų savybių (pateikti gamintojo patvirtinančius dokumentus);</w:t>
            </w:r>
          </w:p>
          <w:p w14:paraId="48D64D9D" w14:textId="266EC25B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veikia bakterijas (atitinka LST EN 13727 arba LST EN 14561 arba lygiavertį),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mikobakterijas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(atitinka LST EN 14348 arba LST EN 14563 arba lygiavertį), grybelius (LST EN 13624 arba lygiavertį), virusus (atitinka LST EN 14476 (pilnas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virucidinis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aktyvumas) arba lygiavertį), pateikti atitikimą standartams patvirtinančius dokumentus (sertifikatus);</w:t>
            </w:r>
          </w:p>
          <w:p w14:paraId="606C559A" w14:textId="5D39E469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veikia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Clostridium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difficile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(pateikti gamintojo patvirtinančius dokumentus);</w:t>
            </w:r>
          </w:p>
          <w:p w14:paraId="371CDF6B" w14:textId="04593417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18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tinka naudoti įvairių medicininių paviršių (įskaitant naujagimių skyriuose), anestezijos įrangos valymui ir dezinfekcijai (pateikti tai parvirtinančius gamintojo dokumentus);</w:t>
            </w:r>
          </w:p>
          <w:p w14:paraId="69B3E9FB" w14:textId="44824A92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priemonės pavidalas – milteliai, granulės ar skystas koncentratas;</w:t>
            </w:r>
          </w:p>
          <w:p w14:paraId="3624216B" w14:textId="48E08453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tuberkuliocidinis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ekspozicijos laikas ≤ </w:t>
            </w:r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15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min.;</w:t>
            </w:r>
          </w:p>
          <w:p w14:paraId="2322DA8B" w14:textId="2936537C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pateikti atitikties reglamentui 2017/745/ES (MPR) </w:t>
            </w:r>
            <w:r w:rsidR="00F77982" w:rsidRPr="00AE1AAE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 xml:space="preserve">sertifikatą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arba </w:t>
            </w:r>
            <w:r w:rsidR="00F77982" w:rsidRPr="00AE1AAE">
              <w:rPr>
                <w:rFonts w:asciiTheme="majorHAnsi" w:hAnsiTheme="majorHAnsi"/>
                <w:sz w:val="24"/>
                <w:szCs w:val="24"/>
              </w:rPr>
              <w:t>notifikuotos įstaigos patvirtinamąjį laišką/raštą</w:t>
            </w:r>
            <w:r w:rsidR="00F77982" w:rsidRPr="00AE1AAE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;</w:t>
            </w:r>
          </w:p>
          <w:p w14:paraId="0B26C3B7" w14:textId="418FA167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pateikti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biocido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autorizacijos liudijimą ir priedus, saugos duomenų lapus;</w:t>
            </w:r>
          </w:p>
          <w:p w14:paraId="692F0650" w14:textId="2D340C47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pateikti gamintojo naudojimo instrukciją originalo ir lietuvių kalba;</w:t>
            </w:r>
          </w:p>
          <w:p w14:paraId="4C122C2A" w14:textId="6E3AB771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pateikti priedus, kurie turi būti įskaičiuoti į dezinfekcinės priemonės kainą:</w:t>
            </w:r>
          </w:p>
          <w:p w14:paraId="70351FD2" w14:textId="533801B5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pateikti atsparius drėgmei lipdukus talpų žymėjimui – 1000 vnt.,</w:t>
            </w:r>
          </w:p>
          <w:p w14:paraId="4112AFF4" w14:textId="59F54D1E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pateikti atsparias drėgmei (laminuotas) instrukcijas lietuvių kalba – 300 vnt.</w:t>
            </w:r>
          </w:p>
          <w:p w14:paraId="04F4F671" w14:textId="33A4DE10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Dez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. priemonės kaina skaičiuojama pagal 1 litro darbinio tirpalo kainą tokios koncentracijos, kuri veikia </w:t>
            </w:r>
            <w:proofErr w:type="spellStart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tuberkuliocidiškai</w:t>
            </w:r>
            <w:proofErr w:type="spellEnd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≤ 15 min.</w:t>
            </w:r>
          </w:p>
          <w:p w14:paraId="449EF583" w14:textId="19482A82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įpakavimas iki 5 kg/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.</w:t>
            </w:r>
          </w:p>
          <w:p w14:paraId="4F9C9D6B" w14:textId="62944B6A" w:rsidR="00F77982" w:rsidRDefault="00F77982" w:rsidP="00DD4B81">
            <w:pPr>
              <w:shd w:val="clear" w:color="auto" w:fill="FFFFFF"/>
              <w:tabs>
                <w:tab w:val="left" w:pos="252"/>
                <w:tab w:val="left" w:pos="532"/>
              </w:tabs>
              <w:ind w:hanging="318"/>
              <w:jc w:val="both"/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1AAE"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  <w:t>Or</w:t>
            </w:r>
            <w:r w:rsidR="00CC3681"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  <w:t>Or</w:t>
            </w:r>
            <w:r w:rsidRPr="00AE1AAE"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  <w:t>ientacinis</w:t>
            </w:r>
            <w:proofErr w:type="spellEnd"/>
            <w:r w:rsidRPr="00AE1AAE"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  <w:t xml:space="preserve"> poreikis: 20 000 litrų darbinio tirpalo.</w:t>
            </w:r>
          </w:p>
        </w:tc>
        <w:tc>
          <w:tcPr>
            <w:tcW w:w="5244" w:type="dxa"/>
          </w:tcPr>
          <w:p w14:paraId="49FB0543" w14:textId="77777777" w:rsidR="00F77982" w:rsidRDefault="00F77982" w:rsidP="00F7798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tabs>
                <w:tab w:val="left" w:pos="448"/>
              </w:tabs>
              <w:ind w:left="0"/>
              <w:jc w:val="both"/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  <w:t xml:space="preserve">3. </w:t>
            </w:r>
            <w:r w:rsidRPr="00AE1AAE">
              <w:rPr>
                <w:rFonts w:asciiTheme="majorHAnsi" w:eastAsia="Times New Roman" w:hAnsiTheme="majorHAnsi"/>
                <w:b/>
                <w:sz w:val="24"/>
                <w:szCs w:val="24"/>
                <w:lang w:eastAsia="lt-LT"/>
              </w:rPr>
              <w:t>Dezinfekcinė medžiaga paviršių valymui ir dezinfekcijai aktyvuoto deguonies pagrindu</w:t>
            </w:r>
          </w:p>
          <w:p w14:paraId="3365AD5E" w14:textId="70703A42" w:rsidR="00F77982" w:rsidRPr="00F77982" w:rsidRDefault="00F77982" w:rsidP="00F7798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tabs>
                <w:tab w:val="left" w:pos="448"/>
              </w:tabs>
              <w:ind w:left="0"/>
              <w:jc w:val="both"/>
              <w:rPr>
                <w:rFonts w:asciiTheme="majorHAnsi" w:eastAsia="Times New Roman" w:hAnsiTheme="majorHAnsi"/>
                <w:b/>
                <w:color w:val="0070C0"/>
                <w:sz w:val="24"/>
                <w:szCs w:val="24"/>
                <w:lang w:eastAsia="lt-LT"/>
              </w:rPr>
            </w:pPr>
            <w:r w:rsidRPr="00F77982">
              <w:rPr>
                <w:rFonts w:asciiTheme="majorHAnsi" w:eastAsia="Times New Roman" w:hAnsiTheme="majorHAnsi"/>
                <w:b/>
                <w:color w:val="0070C0"/>
                <w:sz w:val="24"/>
                <w:szCs w:val="24"/>
                <w:lang w:eastAsia="lt-LT"/>
              </w:rPr>
              <w:t>ULTRASOL ACTIVE 1 kg</w:t>
            </w:r>
          </w:p>
          <w:p w14:paraId="10402B7F" w14:textId="77777777" w:rsidR="00DD4B81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veiklioji medžiaga – 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peracto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rūgštis;</w:t>
            </w:r>
          </w:p>
          <w:p w14:paraId="3E05AEE3" w14:textId="6E1E0203" w:rsidR="00F77982" w:rsidRPr="00AE1AAE" w:rsidRDefault="00F77982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91E7E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091E7E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3</w:t>
            </w:r>
          </w:p>
          <w:p w14:paraId="7B13023E" w14:textId="53174EFA" w:rsidR="00F77982" w:rsidRPr="00DD4B81" w:rsidRDefault="00091E7E" w:rsidP="00D347E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turi valomųjų savybių (pateik</w:t>
            </w:r>
            <w:r w:rsidR="00F77982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iame</w:t>
            </w:r>
            <w:r w:rsidR="00F77982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gamintojo patvirtinančius dokumentus);</w:t>
            </w:r>
            <w:r w:rsidR="00DD4B81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2</w:t>
            </w:r>
          </w:p>
          <w:p w14:paraId="17383E31" w14:textId="6C64C091" w:rsidR="00DD4B81" w:rsidRPr="00AE1AAE" w:rsidRDefault="00091E7E" w:rsidP="00DD4B81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veikia bakterijas (atitinka LST EN 13727</w:t>
            </w:r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,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LST EN 14561),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mikobakterijas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(atitinka LST EN 14348), grybelius (LST EN 13624), virusus (atitinka LST EN 14476 (pilnas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virucidinis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aktyvumas)), pateiki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atitikimą standartams patvirtinančius dokumentus (sertifikatus);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2</w:t>
            </w:r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1-6</w:t>
            </w:r>
          </w:p>
          <w:p w14:paraId="04CC23ED" w14:textId="03692792" w:rsidR="00DD4B81" w:rsidRPr="00AE1AAE" w:rsidRDefault="00091E7E" w:rsidP="00DD4B81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veikia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Clostridium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difficile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(pateiki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gamintojo patvirtinančius dokumentus);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2</w:t>
            </w:r>
            <w:r w:rsidR="00DD4B81" w:rsidRPr="000177C2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5</w:t>
            </w:r>
          </w:p>
          <w:p w14:paraId="6EDEF020" w14:textId="5F64697E" w:rsidR="00F77982" w:rsidRPr="00DD4B81" w:rsidRDefault="00091E7E" w:rsidP="001C06F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18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tinka naudoti įvairių medicininių paviršių (įskaitant naujagimių skyriuose), anestezijos įrangos valymui ir dezinfekcijai (pateiki</w:t>
            </w:r>
            <w:r w:rsidR="00E83AEC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tai parvirtinančius gamintojo dokumentus);</w:t>
            </w:r>
            <w:r w:rsidR="00DD4B81" w:rsidRP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2): psl. </w:t>
            </w:r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7</w:t>
            </w:r>
          </w:p>
          <w:p w14:paraId="79AEEE56" w14:textId="799B08E7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priemonės pavidalas –  granulės;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2</w:t>
            </w:r>
          </w:p>
          <w:p w14:paraId="46FA5D0A" w14:textId="1C6C7FC7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tuberkuliocidinis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ekspozicijos laikas ≤ </w:t>
            </w:r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15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min.;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4; </w:t>
            </w:r>
            <w:proofErr w:type="spellStart"/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2): </w:t>
            </w:r>
            <w:proofErr w:type="spellStart"/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psl</w:t>
            </w:r>
            <w:proofErr w:type="spellEnd"/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 3</w:t>
            </w:r>
          </w:p>
          <w:p w14:paraId="0DD035F5" w14:textId="6EBEE5EB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pateiki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atitikties reglamentui 2017/745/ES (MPR) </w:t>
            </w:r>
            <w:r w:rsidR="00F77982" w:rsidRPr="00AE1AAE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sertifikatą;</w:t>
            </w:r>
            <w:r w:rsidR="00DD4B81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11</w:t>
            </w:r>
          </w:p>
          <w:p w14:paraId="07B2AC02" w14:textId="1223FAEC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pateiki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biocido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autorizacijos liudijimą ir priedus, saugos duomenų lapus;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. 1): psl.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13-16</w:t>
            </w:r>
          </w:p>
          <w:p w14:paraId="6C7D7E73" w14:textId="5AF8AC32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pateiki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ame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gamintojo naudojimo instrukciją originalo ir lietuvių kalba;</w:t>
            </w:r>
            <w:r w:rsidR="00DD4B81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Dok</w:t>
            </w:r>
            <w:proofErr w:type="spellEnd"/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. 1): psl.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 1-10;</w:t>
            </w:r>
            <w:r w:rsidR="00DD4B81" w:rsidRP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DD4B81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</w:rPr>
              <w:t>14-15</w:t>
            </w:r>
          </w:p>
          <w:p w14:paraId="2568E4AF" w14:textId="512889B1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sime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priedus, kurie 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bus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įskaičiuoti į dezinfekcinės priemonės kainą:</w:t>
            </w:r>
          </w:p>
          <w:p w14:paraId="4419DE6C" w14:textId="4C821E35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sime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atsparius drėgmei lipdukus talpų žymėjimui – 1000 vnt.,</w:t>
            </w:r>
          </w:p>
          <w:p w14:paraId="2F76AEB3" w14:textId="0B2CA19C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pateik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sime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atsparias drėgmei (laminuotas) instrukcijas lietuvių kalba – 300 vnt.</w:t>
            </w:r>
          </w:p>
          <w:p w14:paraId="7718DE38" w14:textId="5E98DBC1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proofErr w:type="spellStart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Dez</w:t>
            </w:r>
            <w:proofErr w:type="spellEnd"/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. priemonės kaina skaičiuojama pagal 1 litro darbinio tirpalo kainą tokios koncentracijos, kuri veikia </w:t>
            </w:r>
            <w:proofErr w:type="spellStart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tuberkuliocidiškai</w:t>
            </w:r>
            <w:proofErr w:type="spellEnd"/>
            <w:r w:rsidR="00F7798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≤ 15 min.</w:t>
            </w:r>
          </w:p>
          <w:p w14:paraId="1011F857" w14:textId="33402FF1" w:rsidR="00F77982" w:rsidRPr="00AE1AAE" w:rsidRDefault="00091E7E" w:rsidP="00F779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406"/>
                <w:tab w:val="left" w:pos="532"/>
              </w:tabs>
              <w:ind w:left="0" w:hanging="318"/>
              <w:contextualSpacing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įpakavimas </w:t>
            </w:r>
            <w:r w:rsidR="00E83AEC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>- 1</w:t>
            </w:r>
            <w:r w:rsidR="00F77982" w:rsidRPr="00AE1AAE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lt-LT"/>
              </w:rPr>
              <w:t xml:space="preserve"> kg.</w:t>
            </w:r>
          </w:p>
          <w:p w14:paraId="73771AE9" w14:textId="77777777" w:rsidR="00F77982" w:rsidRDefault="00F77982" w:rsidP="00BA7B8B">
            <w:pPr>
              <w:tabs>
                <w:tab w:val="left" w:pos="1032"/>
              </w:tabs>
              <w:contextualSpacing/>
              <w:jc w:val="both"/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</w:pPr>
          </w:p>
          <w:p w14:paraId="05EE74A4" w14:textId="3FD9B6CC" w:rsidR="00091E7E" w:rsidRDefault="00091E7E" w:rsidP="00BA7B8B">
            <w:pPr>
              <w:tabs>
                <w:tab w:val="left" w:pos="1032"/>
              </w:tabs>
              <w:contextualSpacing/>
              <w:jc w:val="both"/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Dokumentai</w:t>
            </w:r>
            <w:r w:rsidR="00EF3FCC" w:rsidRPr="00DB3F6D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:</w:t>
            </w:r>
          </w:p>
          <w:p w14:paraId="6877D54F" w14:textId="51AAA533" w:rsidR="00EF3FCC" w:rsidRDefault="00091E7E" w:rsidP="00BA7B8B">
            <w:pPr>
              <w:tabs>
                <w:tab w:val="left" w:pos="1032"/>
              </w:tabs>
              <w:contextualSpacing/>
              <w:jc w:val="both"/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1)</w:t>
            </w:r>
            <w:r w:rsidR="00EF3FCC" w:rsidRPr="00DB3F6D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Pirkimo dalis </w:t>
            </w:r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3</w:t>
            </w:r>
            <w:r w:rsidR="00EF3FCC" w:rsidRPr="00DB3F6D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EF3FCC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Dezinfekcinė medžiaga paviršių dezinfekcijai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Ultrasol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EF3FCC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1-</w:t>
            </w:r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26</w:t>
            </w:r>
            <w:r w:rsidR="00EF3FCC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psl.</w:t>
            </w:r>
          </w:p>
          <w:p w14:paraId="10C87C3D" w14:textId="77777777" w:rsidR="00091E7E" w:rsidRDefault="00091E7E" w:rsidP="00BA7B8B">
            <w:pPr>
              <w:tabs>
                <w:tab w:val="left" w:pos="1032"/>
              </w:tabs>
              <w:contextualSpacing/>
              <w:jc w:val="both"/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</w:pPr>
          </w:p>
          <w:p w14:paraId="464FEA5D" w14:textId="480556D4" w:rsidR="00091E7E" w:rsidRDefault="00091E7E" w:rsidP="00BA7B8B">
            <w:pPr>
              <w:tabs>
                <w:tab w:val="left" w:pos="1032"/>
              </w:tabs>
              <w:contextualSpacing/>
              <w:jc w:val="both"/>
              <w:rPr>
                <w:rFonts w:asciiTheme="majorHAnsi" w:eastAsia="Times New Roman" w:hAnsiTheme="majorHAnsi"/>
                <w:i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2) Pirkimo dalis 3 Atitikimai standartams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Ultrasol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acive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 xml:space="preserve"> KONF 1-7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psl</w:t>
            </w:r>
            <w:proofErr w:type="spellEnd"/>
          </w:p>
        </w:tc>
      </w:tr>
    </w:tbl>
    <w:p w14:paraId="1139EEE0" w14:textId="77777777" w:rsidR="00261D92" w:rsidRPr="00AE1AAE" w:rsidRDefault="00261D92" w:rsidP="002A2DBE">
      <w:pPr>
        <w:tabs>
          <w:tab w:val="left" w:pos="308"/>
        </w:tabs>
        <w:autoSpaceDE w:val="0"/>
        <w:autoSpaceDN w:val="0"/>
        <w:adjustRightInd w:val="0"/>
        <w:spacing w:after="0" w:line="240" w:lineRule="auto"/>
        <w:ind w:left="-280" w:hanging="1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AE1AAE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sectPr w:rsidR="00261D92" w:rsidRPr="00AE1AAE" w:rsidSect="00BA7B8B">
      <w:pgSz w:w="11906" w:h="16838"/>
      <w:pgMar w:top="993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511" w14:textId="77777777" w:rsidR="00A86907" w:rsidRDefault="00A86907" w:rsidP="006E47B4">
      <w:pPr>
        <w:spacing w:after="0" w:line="240" w:lineRule="auto"/>
      </w:pPr>
      <w:r>
        <w:separator/>
      </w:r>
    </w:p>
  </w:endnote>
  <w:endnote w:type="continuationSeparator" w:id="0">
    <w:p w14:paraId="1D9A22DC" w14:textId="77777777" w:rsidR="00A86907" w:rsidRDefault="00A86907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DE16" w14:textId="77777777" w:rsidR="00A86907" w:rsidRDefault="00A86907" w:rsidP="006E47B4">
      <w:pPr>
        <w:spacing w:after="0" w:line="240" w:lineRule="auto"/>
      </w:pPr>
      <w:r>
        <w:separator/>
      </w:r>
    </w:p>
  </w:footnote>
  <w:footnote w:type="continuationSeparator" w:id="0">
    <w:p w14:paraId="4F4F6790" w14:textId="77777777" w:rsidR="00A86907" w:rsidRDefault="00A86907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6" w15:restartNumberingAfterBreak="0">
    <w:nsid w:val="14BD4ABE"/>
    <w:multiLevelType w:val="hybridMultilevel"/>
    <w:tmpl w:val="DEE0C3C8"/>
    <w:lvl w:ilvl="0" w:tplc="BC546FCA">
      <w:start w:val="1"/>
      <w:numFmt w:val="bullet"/>
      <w:lvlText w:val="-"/>
      <w:lvlJc w:val="left"/>
      <w:pPr>
        <w:ind w:left="9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8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20244027"/>
    <w:multiLevelType w:val="hybridMultilevel"/>
    <w:tmpl w:val="9F4CC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7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0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5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1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5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 w16cid:durableId="59717261">
    <w:abstractNumId w:val="4"/>
  </w:num>
  <w:num w:numId="2" w16cid:durableId="756831244">
    <w:abstractNumId w:val="18"/>
  </w:num>
  <w:num w:numId="3" w16cid:durableId="318995466">
    <w:abstractNumId w:val="32"/>
  </w:num>
  <w:num w:numId="4" w16cid:durableId="932781240">
    <w:abstractNumId w:val="17"/>
  </w:num>
  <w:num w:numId="5" w16cid:durableId="726270011">
    <w:abstractNumId w:val="22"/>
  </w:num>
  <w:num w:numId="6" w16cid:durableId="1871260713">
    <w:abstractNumId w:val="35"/>
  </w:num>
  <w:num w:numId="7" w16cid:durableId="2435348">
    <w:abstractNumId w:val="20"/>
  </w:num>
  <w:num w:numId="8" w16cid:durableId="364139815">
    <w:abstractNumId w:val="15"/>
  </w:num>
  <w:num w:numId="9" w16cid:durableId="793911532">
    <w:abstractNumId w:val="28"/>
  </w:num>
  <w:num w:numId="10" w16cid:durableId="533418841">
    <w:abstractNumId w:val="23"/>
  </w:num>
  <w:num w:numId="11" w16cid:durableId="723411742">
    <w:abstractNumId w:val="13"/>
  </w:num>
  <w:num w:numId="12" w16cid:durableId="917832172">
    <w:abstractNumId w:val="29"/>
  </w:num>
  <w:num w:numId="13" w16cid:durableId="698823408">
    <w:abstractNumId w:val="10"/>
  </w:num>
  <w:num w:numId="14" w16cid:durableId="283579424">
    <w:abstractNumId w:val="6"/>
  </w:num>
  <w:num w:numId="15" w16cid:durableId="1766264013">
    <w:abstractNumId w:val="27"/>
  </w:num>
  <w:num w:numId="16" w16cid:durableId="1669480258">
    <w:abstractNumId w:val="2"/>
  </w:num>
  <w:num w:numId="17" w16cid:durableId="164444861">
    <w:abstractNumId w:val="16"/>
  </w:num>
  <w:num w:numId="18" w16cid:durableId="1802112329">
    <w:abstractNumId w:val="14"/>
  </w:num>
  <w:num w:numId="19" w16cid:durableId="414516747">
    <w:abstractNumId w:val="26"/>
  </w:num>
  <w:num w:numId="20" w16cid:durableId="858813462">
    <w:abstractNumId w:val="8"/>
  </w:num>
  <w:num w:numId="21" w16cid:durableId="1779791896">
    <w:abstractNumId w:val="33"/>
  </w:num>
  <w:num w:numId="22" w16cid:durableId="496456855">
    <w:abstractNumId w:val="19"/>
  </w:num>
  <w:num w:numId="23" w16cid:durableId="758721586">
    <w:abstractNumId w:val="7"/>
  </w:num>
  <w:num w:numId="24" w16cid:durableId="1116875009">
    <w:abstractNumId w:val="1"/>
  </w:num>
  <w:num w:numId="25" w16cid:durableId="1876308301">
    <w:abstractNumId w:val="9"/>
  </w:num>
  <w:num w:numId="26" w16cid:durableId="2136216641">
    <w:abstractNumId w:val="11"/>
  </w:num>
  <w:num w:numId="27" w16cid:durableId="334502563">
    <w:abstractNumId w:val="30"/>
  </w:num>
  <w:num w:numId="28" w16cid:durableId="555899977">
    <w:abstractNumId w:val="24"/>
  </w:num>
  <w:num w:numId="29" w16cid:durableId="1014457726">
    <w:abstractNumId w:val="3"/>
  </w:num>
  <w:num w:numId="30" w16cid:durableId="660088798">
    <w:abstractNumId w:val="5"/>
  </w:num>
  <w:num w:numId="31" w16cid:durableId="1039167869">
    <w:abstractNumId w:val="36"/>
  </w:num>
  <w:num w:numId="32" w16cid:durableId="177550113">
    <w:abstractNumId w:val="31"/>
  </w:num>
  <w:num w:numId="33" w16cid:durableId="440615338">
    <w:abstractNumId w:val="25"/>
  </w:num>
  <w:num w:numId="34" w16cid:durableId="1423407586">
    <w:abstractNumId w:val="34"/>
  </w:num>
  <w:num w:numId="35" w16cid:durableId="912618070">
    <w:abstractNumId w:val="0"/>
  </w:num>
  <w:num w:numId="36" w16cid:durableId="1862621680">
    <w:abstractNumId w:val="37"/>
  </w:num>
  <w:num w:numId="37" w16cid:durableId="1026831850">
    <w:abstractNumId w:val="12"/>
  </w:num>
  <w:num w:numId="38" w16cid:durableId="579602990">
    <w:abstractNumId w:val="21"/>
  </w:num>
  <w:num w:numId="39" w16cid:durableId="472647159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91E7E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2E1F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A2DBE"/>
    <w:rsid w:val="002B6651"/>
    <w:rsid w:val="002C15F7"/>
    <w:rsid w:val="002C6B1A"/>
    <w:rsid w:val="002E2986"/>
    <w:rsid w:val="002E6239"/>
    <w:rsid w:val="002F23BB"/>
    <w:rsid w:val="00302B88"/>
    <w:rsid w:val="0030693A"/>
    <w:rsid w:val="00306A49"/>
    <w:rsid w:val="003240E5"/>
    <w:rsid w:val="003259D1"/>
    <w:rsid w:val="003350A8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1449E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3F00"/>
    <w:rsid w:val="006E47B4"/>
    <w:rsid w:val="006E52CC"/>
    <w:rsid w:val="006F413D"/>
    <w:rsid w:val="00703ED9"/>
    <w:rsid w:val="00705BCA"/>
    <w:rsid w:val="00712F97"/>
    <w:rsid w:val="007273F3"/>
    <w:rsid w:val="007316AD"/>
    <w:rsid w:val="00732823"/>
    <w:rsid w:val="007339A9"/>
    <w:rsid w:val="0073456E"/>
    <w:rsid w:val="00735078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02E16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D35B8"/>
    <w:rsid w:val="009D43DB"/>
    <w:rsid w:val="009D523A"/>
    <w:rsid w:val="009E6463"/>
    <w:rsid w:val="009E6DE1"/>
    <w:rsid w:val="009F2212"/>
    <w:rsid w:val="009F487A"/>
    <w:rsid w:val="00A43138"/>
    <w:rsid w:val="00A60D98"/>
    <w:rsid w:val="00A60E44"/>
    <w:rsid w:val="00A65070"/>
    <w:rsid w:val="00A7573F"/>
    <w:rsid w:val="00A85A94"/>
    <w:rsid w:val="00A86849"/>
    <w:rsid w:val="00A86907"/>
    <w:rsid w:val="00A91292"/>
    <w:rsid w:val="00AA4AC1"/>
    <w:rsid w:val="00AA726B"/>
    <w:rsid w:val="00AB1048"/>
    <w:rsid w:val="00AB115D"/>
    <w:rsid w:val="00AB36B9"/>
    <w:rsid w:val="00AC3BD1"/>
    <w:rsid w:val="00AE1AAE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26BAE"/>
    <w:rsid w:val="00C33120"/>
    <w:rsid w:val="00C339FA"/>
    <w:rsid w:val="00C34B68"/>
    <w:rsid w:val="00C42A7B"/>
    <w:rsid w:val="00C50547"/>
    <w:rsid w:val="00C53725"/>
    <w:rsid w:val="00C56737"/>
    <w:rsid w:val="00C5721E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C3681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BC9"/>
    <w:rsid w:val="00D41E1C"/>
    <w:rsid w:val="00D472CE"/>
    <w:rsid w:val="00D571D6"/>
    <w:rsid w:val="00D60777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4B81"/>
    <w:rsid w:val="00DD5BAF"/>
    <w:rsid w:val="00DD73B3"/>
    <w:rsid w:val="00DE3CAB"/>
    <w:rsid w:val="00DE5508"/>
    <w:rsid w:val="00DE5EF4"/>
    <w:rsid w:val="00E00F6B"/>
    <w:rsid w:val="00E10039"/>
    <w:rsid w:val="00E10DB7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83AEC"/>
    <w:rsid w:val="00EA30E1"/>
    <w:rsid w:val="00EA645F"/>
    <w:rsid w:val="00EB760F"/>
    <w:rsid w:val="00ED1051"/>
    <w:rsid w:val="00EE044B"/>
    <w:rsid w:val="00EE1EAC"/>
    <w:rsid w:val="00EE5BEC"/>
    <w:rsid w:val="00EF3FC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598"/>
    <w:rsid w:val="00F76675"/>
    <w:rsid w:val="00F76CEA"/>
    <w:rsid w:val="00F77982"/>
    <w:rsid w:val="00F93C3D"/>
    <w:rsid w:val="00F93EF8"/>
    <w:rsid w:val="00F94983"/>
    <w:rsid w:val="00FB132A"/>
    <w:rsid w:val="00FB4D9E"/>
    <w:rsid w:val="00FD1AAF"/>
    <w:rsid w:val="00FD2E45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7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EB1D6-11D9-4FD4-BA66-D292E2167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K</cp:lastModifiedBy>
  <cp:revision>6</cp:revision>
  <cp:lastPrinted>2025-06-11T12:21:00Z</cp:lastPrinted>
  <dcterms:created xsi:type="dcterms:W3CDTF">2025-11-05T12:19:00Z</dcterms:created>
  <dcterms:modified xsi:type="dcterms:W3CDTF">2025-11-25T12:52:00Z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