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D54F" w14:textId="6A54AA8B" w:rsidR="00915B93" w:rsidRPr="006971DD" w:rsidRDefault="00915B93" w:rsidP="00915B93">
      <w:pPr>
        <w:keepNext/>
        <w:keepLines/>
        <w:widowControl w:val="0"/>
        <w:autoSpaceDE w:val="0"/>
        <w:autoSpaceDN w:val="0"/>
        <w:adjustRightInd w:val="0"/>
        <w:spacing w:before="480" w:after="480"/>
        <w:outlineLvl w:val="0"/>
        <w:rPr>
          <w:rFonts w:ascii="Calibri" w:eastAsia="Times New Roman" w:hAnsi="Calibri" w:cs="Calibri"/>
          <w:b/>
          <w:kern w:val="2"/>
          <w:sz w:val="24"/>
          <w:szCs w:val="24"/>
          <w:lang w:eastAsia="lt-LT"/>
        </w:rPr>
      </w:pPr>
      <w:bookmarkStart w:id="0" w:name="Regos_negalia"/>
      <w:bookmarkStart w:id="1" w:name="_Toc130150252"/>
      <w:r w:rsidRPr="006971DD">
        <w:rPr>
          <w:rFonts w:ascii="Calibri" w:eastAsia="Times New Roman" w:hAnsi="Calibri" w:cs="Calibri"/>
          <w:b/>
          <w:kern w:val="2"/>
          <w:sz w:val="24"/>
          <w:szCs w:val="24"/>
          <w:lang w:eastAsia="lt-LT"/>
        </w:rPr>
        <w:t>EKSPERTŲ KONSULTAVIMO PASLAUGOS DĖL FIZINĖS APLINKOS</w:t>
      </w:r>
      <w:r w:rsidR="00814656" w:rsidRPr="006971DD">
        <w:rPr>
          <w:rFonts w:ascii="Calibri" w:eastAsia="Times New Roman" w:hAnsi="Calibri" w:cs="Calibri"/>
          <w:b/>
          <w:kern w:val="2"/>
          <w:sz w:val="24"/>
          <w:szCs w:val="24"/>
          <w:lang w:eastAsia="lt-LT"/>
        </w:rPr>
        <w:t xml:space="preserve"> </w:t>
      </w:r>
      <w:r w:rsidRPr="006971DD">
        <w:rPr>
          <w:rFonts w:ascii="Calibri" w:eastAsia="Times New Roman" w:hAnsi="Calibri" w:cs="Calibri"/>
          <w:b/>
          <w:kern w:val="2"/>
          <w:sz w:val="24"/>
          <w:szCs w:val="24"/>
          <w:lang w:eastAsia="lt-LT"/>
        </w:rPr>
        <w:t xml:space="preserve">PRIEINAMUMO </w:t>
      </w:r>
      <w:r w:rsidR="00814656" w:rsidRPr="006971DD">
        <w:rPr>
          <w:rFonts w:ascii="Calibri" w:eastAsia="Times New Roman" w:hAnsi="Calibri" w:cs="Calibri"/>
          <w:b/>
          <w:kern w:val="2"/>
          <w:sz w:val="24"/>
          <w:szCs w:val="24"/>
          <w:lang w:eastAsia="lt-LT"/>
        </w:rPr>
        <w:t xml:space="preserve">ASMENIMS SU </w:t>
      </w:r>
      <w:r w:rsidRPr="006971DD">
        <w:rPr>
          <w:rFonts w:ascii="Calibri" w:eastAsia="Times New Roman" w:hAnsi="Calibri" w:cs="Calibri"/>
          <w:b/>
          <w:kern w:val="2"/>
          <w:sz w:val="24"/>
          <w:szCs w:val="24"/>
          <w:lang w:eastAsia="lt-LT"/>
        </w:rPr>
        <w:t>REGOS NEGALIA TECHNINĖ SPECIFIKACIJA</w:t>
      </w:r>
      <w:bookmarkEnd w:id="0"/>
      <w:bookmarkEnd w:id="1"/>
    </w:p>
    <w:p w14:paraId="77C7453C" w14:textId="77777777" w:rsidR="00915B93" w:rsidRPr="006971DD" w:rsidRDefault="00915B93" w:rsidP="00915B93">
      <w:pPr>
        <w:keepNext/>
        <w:widowControl w:val="0"/>
        <w:autoSpaceDE w:val="0"/>
        <w:autoSpaceDN w:val="0"/>
        <w:adjustRightInd w:val="0"/>
        <w:spacing w:before="240" w:after="240" w:line="240" w:lineRule="auto"/>
        <w:ind w:left="1440" w:hanging="720"/>
        <w:outlineLvl w:val="1"/>
        <w:rPr>
          <w:rFonts w:ascii="Calibri" w:eastAsia="Times New Roman" w:hAnsi="Calibri" w:cs="Calibri"/>
          <w:b/>
          <w:bCs/>
          <w:iCs/>
          <w:caps/>
          <w:kern w:val="2"/>
          <w:sz w:val="24"/>
          <w:szCs w:val="24"/>
          <w:lang w:eastAsia="lt-LT"/>
        </w:rPr>
      </w:pPr>
      <w:bookmarkStart w:id="2" w:name="_Toc130150253"/>
      <w:r w:rsidRPr="006971DD">
        <w:rPr>
          <w:rFonts w:ascii="Calibri" w:eastAsia="Times New Roman" w:hAnsi="Calibri" w:cs="Calibri"/>
          <w:b/>
          <w:bCs/>
          <w:iCs/>
          <w:caps/>
          <w:kern w:val="2"/>
          <w:sz w:val="24"/>
          <w:szCs w:val="24"/>
          <w:lang w:eastAsia="lt-LT"/>
        </w:rPr>
        <w:t>BENDRA INFORMACIJA</w:t>
      </w:r>
      <w:bookmarkEnd w:id="2"/>
    </w:p>
    <w:p w14:paraId="32B813A5" w14:textId="603A1AC7" w:rsidR="00915B93" w:rsidRPr="006971DD" w:rsidRDefault="00915B93" w:rsidP="006971DD">
      <w:pPr>
        <w:numPr>
          <w:ilvl w:val="0"/>
          <w:numId w:val="1"/>
        </w:numPr>
        <w:spacing w:after="0" w:line="360" w:lineRule="auto"/>
        <w:rPr>
          <w:rFonts w:ascii="Calibri" w:eastAsia="Times New Roman" w:hAnsi="Calibri" w:cs="Calibri"/>
          <w:sz w:val="24"/>
          <w:szCs w:val="24"/>
          <w14:ligatures w14:val="none"/>
        </w:rPr>
      </w:pPr>
      <w:r w:rsidRPr="006971DD">
        <w:rPr>
          <w:rFonts w:ascii="Calibri" w:eastAsia="Times New Roman" w:hAnsi="Calibri" w:cs="Calibri"/>
          <w:sz w:val="24"/>
          <w:szCs w:val="24"/>
          <w14:ligatures w14:val="none"/>
        </w:rPr>
        <w:t xml:space="preserve">Įgyvendinant 2021–2030 metų plėtros programos valdytojos Lietuvos Respublikos socialinės apsaugos ir darbo ministerijos neįgaliesiems tinkamos aplinkos visose gyvenimo srityse plėtros programos pažangos priemonės Nr. 09-005-02-06-01 „Užtikrinti fizinės infrastruktūros prieinamumą neįgaliesiems“ aprašo, patvirtinto 2022 m. vasario 4 d. </w:t>
      </w:r>
      <w:r w:rsidR="00814656" w:rsidRPr="006971DD">
        <w:rPr>
          <w:rFonts w:ascii="Calibri" w:eastAsia="Times New Roman" w:hAnsi="Calibri" w:cs="Calibri"/>
          <w:sz w:val="24"/>
          <w:szCs w:val="24"/>
          <w14:ligatures w14:val="none"/>
        </w:rPr>
        <w:t>Lietuvos Respublikos s</w:t>
      </w:r>
      <w:r w:rsidRPr="006971DD">
        <w:rPr>
          <w:rFonts w:ascii="Calibri" w:eastAsia="Times New Roman" w:hAnsi="Calibri" w:cs="Calibri"/>
          <w:sz w:val="24"/>
          <w:szCs w:val="24"/>
          <w14:ligatures w14:val="none"/>
        </w:rPr>
        <w:t>ocialinės apsaugos ir darbo ministro įsakymu Nr. A1-76 „Dėl 2021–2030 metų plėtros programos valdytojos Lietuvos Respublikos socialinės apsaugos ir darbo ministerijos neįgaliesiems tinkamos aplinkos visose gyvenimo srityse plėtros programos pažangos priemonės Nr. 09-005-02-06-01 „Užtikrinti fizinės infrastruktūros prieinamumą neįgaliesiems“ aprašo patvirtinimo“ 4 veiklą „Šviesti visuomenę, siekiant užtikrinti fizinės infrastruktūros prieinamumą neįgaliesiems“ (toliau – 4 veikla)</w:t>
      </w:r>
      <w:r w:rsidR="00814656" w:rsidRPr="006971DD">
        <w:rPr>
          <w:rFonts w:ascii="Calibri" w:eastAsia="Times New Roman" w:hAnsi="Calibri" w:cs="Calibri"/>
          <w:sz w:val="24"/>
          <w:szCs w:val="24"/>
          <w14:ligatures w14:val="none"/>
        </w:rPr>
        <w:t>,</w:t>
      </w:r>
      <w:r w:rsidRPr="006971DD">
        <w:rPr>
          <w:rFonts w:ascii="Calibri" w:eastAsia="Times New Roman" w:hAnsi="Calibri" w:cs="Calibri"/>
          <w:sz w:val="24"/>
          <w:szCs w:val="24"/>
          <w14:ligatures w14:val="none"/>
        </w:rPr>
        <w:t xml:space="preserve"> organizuojamas ekspertų konsultavimo paslaugų dėl fizinės infrastruktūros prieinamumo asmenims su regos negalia užtikrinimo praktinių aspektų</w:t>
      </w:r>
      <w:r w:rsidR="0008670D" w:rsidRPr="006971DD">
        <w:rPr>
          <w:rFonts w:ascii="Calibri" w:eastAsia="Times New Roman" w:hAnsi="Calibri" w:cs="Calibri"/>
          <w:sz w:val="24"/>
          <w:szCs w:val="24"/>
          <w14:ligatures w14:val="none"/>
        </w:rPr>
        <w:t xml:space="preserve">, </w:t>
      </w:r>
      <w:r w:rsidRPr="006971DD">
        <w:rPr>
          <w:rFonts w:ascii="Calibri" w:eastAsia="Times New Roman" w:hAnsi="Calibri" w:cs="Calibri"/>
          <w:sz w:val="24"/>
          <w:szCs w:val="24"/>
          <w14:ligatures w14:val="none"/>
        </w:rPr>
        <w:t>architektūrinių sprendimų</w:t>
      </w:r>
      <w:r w:rsidR="0008670D" w:rsidRPr="006971DD">
        <w:rPr>
          <w:rFonts w:ascii="Calibri" w:eastAsia="Times New Roman" w:hAnsi="Calibri" w:cs="Calibri"/>
          <w:sz w:val="24"/>
          <w:szCs w:val="24"/>
          <w14:ligatures w14:val="none"/>
        </w:rPr>
        <w:t xml:space="preserve"> ir (arba) universalaus dizaino principų taikymo</w:t>
      </w:r>
      <w:r w:rsidRPr="006971DD">
        <w:rPr>
          <w:rFonts w:ascii="Calibri" w:eastAsia="Times New Roman" w:hAnsi="Calibri" w:cs="Calibri"/>
          <w:sz w:val="24"/>
          <w:szCs w:val="24"/>
          <w14:ligatures w14:val="none"/>
        </w:rPr>
        <w:t xml:space="preserve"> (toliau – Eksperto paslaugos) pirkimas.</w:t>
      </w:r>
      <w:r w:rsidR="002E1D5F" w:rsidRPr="006971DD">
        <w:rPr>
          <w:rFonts w:ascii="Calibri" w:eastAsia="Times New Roman" w:hAnsi="Calibri" w:cs="Calibri"/>
          <w:sz w:val="24"/>
          <w:szCs w:val="24"/>
          <w14:ligatures w14:val="none"/>
        </w:rPr>
        <w:t xml:space="preserve"> Asmenys, vykdantys konsultacijas, toliau tekste vadinami Ekspertais arba Tiekėjais.</w:t>
      </w:r>
    </w:p>
    <w:p w14:paraId="5AD67CBA" w14:textId="77777777" w:rsidR="00915B93" w:rsidRPr="006971DD" w:rsidRDefault="00915B93" w:rsidP="006971DD">
      <w:pPr>
        <w:widowControl w:val="0"/>
        <w:numPr>
          <w:ilvl w:val="0"/>
          <w:numId w:val="1"/>
        </w:numPr>
        <w:tabs>
          <w:tab w:val="left" w:pos="360"/>
        </w:tabs>
        <w:autoSpaceDE w:val="0"/>
        <w:autoSpaceDN w:val="0"/>
        <w:adjustRightInd w:val="0"/>
        <w:spacing w:after="0" w:line="276"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Pirkimas vykdomas siekiant suteikti išsamias ir konkrečias praktines konsultacijas fizinės infrastruktūros prieinamumo asmenims su regos negalia klausimais.</w:t>
      </w:r>
    </w:p>
    <w:p w14:paraId="717BD8F7" w14:textId="77777777" w:rsidR="00915B93" w:rsidRPr="006971DD" w:rsidRDefault="00915B93" w:rsidP="005414AA">
      <w:pPr>
        <w:keepNext/>
        <w:widowControl w:val="0"/>
        <w:autoSpaceDE w:val="0"/>
        <w:autoSpaceDN w:val="0"/>
        <w:adjustRightInd w:val="0"/>
        <w:spacing w:before="240" w:after="240" w:line="276" w:lineRule="auto"/>
        <w:ind w:left="1440" w:hanging="720"/>
        <w:outlineLvl w:val="1"/>
        <w:rPr>
          <w:rFonts w:ascii="Calibri" w:eastAsia="Times New Roman" w:hAnsi="Calibri" w:cs="Calibri"/>
          <w:b/>
          <w:bCs/>
          <w:iCs/>
          <w:caps/>
          <w:kern w:val="2"/>
          <w:sz w:val="24"/>
          <w:szCs w:val="24"/>
          <w:lang w:eastAsia="lt-LT"/>
        </w:rPr>
      </w:pPr>
      <w:bookmarkStart w:id="3" w:name="_Toc130150254"/>
      <w:r w:rsidRPr="006971DD">
        <w:rPr>
          <w:rFonts w:ascii="Calibri" w:eastAsia="Times New Roman" w:hAnsi="Calibri" w:cs="Calibri"/>
          <w:b/>
          <w:bCs/>
          <w:iCs/>
          <w:caps/>
          <w:kern w:val="2"/>
          <w:sz w:val="24"/>
          <w:szCs w:val="24"/>
          <w:lang w:eastAsia="lt-LT"/>
        </w:rPr>
        <w:t>TEIKIAMŲ PASLAUGŲ APRAŠYMAS</w:t>
      </w:r>
      <w:bookmarkEnd w:id="3"/>
    </w:p>
    <w:p w14:paraId="373F5D10" w14:textId="77777777" w:rsidR="00915B93" w:rsidRPr="006971DD" w:rsidRDefault="00915B93" w:rsidP="006971DD">
      <w:pPr>
        <w:widowControl w:val="0"/>
        <w:numPr>
          <w:ilvl w:val="0"/>
          <w:numId w:val="1"/>
        </w:numPr>
        <w:tabs>
          <w:tab w:val="left" w:pos="360"/>
        </w:tabs>
        <w:autoSpaceDE w:val="0"/>
        <w:autoSpaceDN w:val="0"/>
        <w:adjustRightInd w:val="0"/>
        <w:spacing w:after="0" w:line="276" w:lineRule="auto"/>
        <w:rPr>
          <w:rFonts w:ascii="Calibri" w:eastAsia="Times New Roman" w:hAnsi="Calibri" w:cs="Calibri"/>
          <w:sz w:val="24"/>
          <w:szCs w:val="24"/>
          <w:lang w:eastAsia="lt-LT"/>
          <w14:ligatures w14:val="none"/>
        </w:rPr>
      </w:pPr>
      <w:r w:rsidRPr="006971DD">
        <w:rPr>
          <w:rFonts w:ascii="Calibri" w:eastAsia="Times New Roman" w:hAnsi="Calibri" w:cs="Calibri"/>
          <w:b/>
          <w:bCs/>
          <w:sz w:val="24"/>
          <w:szCs w:val="24"/>
          <w:lang w:eastAsia="lt-LT"/>
          <w14:ligatures w14:val="none"/>
        </w:rPr>
        <w:t>Pirkimo objektas</w:t>
      </w:r>
      <w:r w:rsidRPr="006971DD">
        <w:rPr>
          <w:rFonts w:ascii="Calibri" w:eastAsia="Times New Roman" w:hAnsi="Calibri" w:cs="Calibri"/>
          <w:sz w:val="24"/>
          <w:szCs w:val="24"/>
          <w:lang w:eastAsia="lt-LT"/>
          <w14:ligatures w14:val="none"/>
        </w:rPr>
        <w:t xml:space="preserve"> – ekspertų konsultavimo paslaugos dėl fizinės infrastruktūros prieinamumo asmenims su regos negalia užtikrinimo praktinių aspektų ir architektūrinių sprendimų.</w:t>
      </w:r>
    </w:p>
    <w:p w14:paraId="14E206DB" w14:textId="302221BB" w:rsidR="00915B93" w:rsidRPr="006971DD" w:rsidRDefault="00915B93" w:rsidP="006971DD">
      <w:pPr>
        <w:widowControl w:val="0"/>
        <w:numPr>
          <w:ilvl w:val="0"/>
          <w:numId w:val="1"/>
        </w:numPr>
        <w:tabs>
          <w:tab w:val="left" w:pos="360"/>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b/>
          <w:bCs/>
          <w:sz w:val="24"/>
          <w:szCs w:val="24"/>
          <w:lang w:eastAsia="lt-LT"/>
          <w14:ligatures w14:val="none"/>
        </w:rPr>
        <w:t>Pirkimo tikslas</w:t>
      </w:r>
      <w:r w:rsidRPr="006971DD">
        <w:rPr>
          <w:rFonts w:ascii="Calibri" w:eastAsia="Times New Roman" w:hAnsi="Calibri" w:cs="Calibri"/>
          <w:sz w:val="24"/>
          <w:szCs w:val="24"/>
          <w:lang w:eastAsia="lt-LT"/>
          <w14:ligatures w14:val="none"/>
        </w:rPr>
        <w:t xml:space="preserve"> – suteikti trūkstamų specifinių kompetencijų asmenims, susijusiems su statinių projektavimu, dizainu, urbanistika, bei savivaldybių sveikatos, socialinių reikalų, švietimo, kultūros, sporto, susisiekimo, teritorijų planavimo specialistams, </w:t>
      </w:r>
      <w:r w:rsidR="0008670D" w:rsidRPr="006971DD">
        <w:rPr>
          <w:rFonts w:ascii="Calibri" w:eastAsia="Times New Roman" w:hAnsi="Calibri" w:cs="Calibri"/>
          <w:sz w:val="24"/>
          <w:szCs w:val="24"/>
          <w:lang w:eastAsia="lt-LT"/>
          <w14:ligatures w14:val="none"/>
        </w:rPr>
        <w:t>LR s</w:t>
      </w:r>
      <w:r w:rsidRPr="006971DD">
        <w:rPr>
          <w:rFonts w:ascii="Calibri" w:eastAsia="Times New Roman" w:hAnsi="Calibri" w:cs="Calibri"/>
          <w:sz w:val="24"/>
          <w:szCs w:val="24"/>
          <w:lang w:eastAsia="lt-LT"/>
          <w14:ligatures w14:val="none"/>
        </w:rPr>
        <w:t xml:space="preserve">ocialinės apsaugos ir darbo ministerijai ir kitiems suinteresuotiesiems asmenims dėl fizinės infrastruktūros prieinamumo užtikrinimo ir (arba) universalaus dizaino taikymo. </w:t>
      </w:r>
    </w:p>
    <w:p w14:paraId="3E2DC372" w14:textId="236F2A53" w:rsidR="00915B93" w:rsidRPr="006971DD" w:rsidRDefault="00915B93" w:rsidP="006971DD">
      <w:pPr>
        <w:widowControl w:val="0"/>
        <w:numPr>
          <w:ilvl w:val="0"/>
          <w:numId w:val="1"/>
        </w:numPr>
        <w:tabs>
          <w:tab w:val="left" w:pos="360"/>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b/>
          <w:bCs/>
          <w:sz w:val="24"/>
          <w:szCs w:val="24"/>
          <w:lang w:eastAsia="lt-LT"/>
          <w14:ligatures w14:val="none"/>
        </w:rPr>
        <w:t>Eksperto paslaugų tikslinė grupė</w:t>
      </w:r>
      <w:r w:rsidRPr="006971DD">
        <w:rPr>
          <w:rFonts w:ascii="Calibri" w:eastAsia="Times New Roman" w:hAnsi="Calibri" w:cs="Calibri"/>
          <w:sz w:val="24"/>
          <w:szCs w:val="24"/>
          <w:lang w:eastAsia="lt-LT"/>
          <w14:ligatures w14:val="none"/>
        </w:rPr>
        <w:t xml:space="preserve"> – asmenys, susiję su statinių projektavimu, dizainu, </w:t>
      </w:r>
      <w:r w:rsidRPr="006971DD">
        <w:rPr>
          <w:rFonts w:ascii="Calibri" w:eastAsia="Times New Roman" w:hAnsi="Calibri" w:cs="Calibri"/>
          <w:sz w:val="24"/>
          <w:szCs w:val="24"/>
          <w:lang w:eastAsia="lt-LT"/>
          <w14:ligatures w14:val="none"/>
        </w:rPr>
        <w:lastRenderedPageBreak/>
        <w:t xml:space="preserve">urbanistika, bei savivaldybių sveikatos, socialinių reikalų, švietimo, kultūros, sporto, susisiekimo, teritorijų planavimo specialistai, </w:t>
      </w:r>
      <w:r w:rsidR="0008670D" w:rsidRPr="006971DD">
        <w:rPr>
          <w:rFonts w:ascii="Calibri" w:eastAsia="Times New Roman" w:hAnsi="Calibri" w:cs="Calibri"/>
          <w:sz w:val="24"/>
          <w:szCs w:val="24"/>
          <w:lang w:eastAsia="lt-LT"/>
          <w14:ligatures w14:val="none"/>
        </w:rPr>
        <w:t>LR s</w:t>
      </w:r>
      <w:r w:rsidRPr="006971DD">
        <w:rPr>
          <w:rFonts w:ascii="Calibri" w:eastAsia="Times New Roman" w:hAnsi="Calibri" w:cs="Calibri"/>
          <w:sz w:val="24"/>
          <w:szCs w:val="24"/>
          <w:lang w:eastAsia="lt-LT"/>
          <w14:ligatures w14:val="none"/>
        </w:rPr>
        <w:t>ocialinės apsaugos ir darbo ministerij</w:t>
      </w:r>
      <w:r w:rsidR="0008670D" w:rsidRPr="006971DD">
        <w:rPr>
          <w:rFonts w:ascii="Calibri" w:eastAsia="Times New Roman" w:hAnsi="Calibri" w:cs="Calibri"/>
          <w:sz w:val="24"/>
          <w:szCs w:val="24"/>
          <w:lang w:eastAsia="lt-LT"/>
          <w14:ligatures w14:val="none"/>
        </w:rPr>
        <w:t>os atstovai</w:t>
      </w:r>
      <w:r w:rsidRPr="006971DD">
        <w:rPr>
          <w:rFonts w:ascii="Calibri" w:eastAsia="Times New Roman" w:hAnsi="Calibri" w:cs="Calibri"/>
          <w:sz w:val="24"/>
          <w:szCs w:val="24"/>
          <w:lang w:eastAsia="lt-LT"/>
          <w14:ligatures w14:val="none"/>
        </w:rPr>
        <w:t>, kiti suinteresuotieji asmenys.</w:t>
      </w:r>
    </w:p>
    <w:p w14:paraId="7CAFB59E" w14:textId="24B10891" w:rsidR="00915B93" w:rsidRPr="006971DD" w:rsidRDefault="00915B93" w:rsidP="006971DD">
      <w:pPr>
        <w:widowControl w:val="0"/>
        <w:numPr>
          <w:ilvl w:val="0"/>
          <w:numId w:val="1"/>
        </w:numPr>
        <w:tabs>
          <w:tab w:val="left" w:pos="360"/>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Eksperto paslaugų teikimo laikotarpis – nuo paslaugų teikimo sutarties pasirašymo dienos iki  202</w:t>
      </w:r>
      <w:r w:rsidR="00FC135F" w:rsidRPr="006971DD">
        <w:rPr>
          <w:rFonts w:ascii="Calibri" w:eastAsia="Times New Roman" w:hAnsi="Calibri" w:cs="Calibri"/>
          <w:sz w:val="24"/>
          <w:szCs w:val="24"/>
          <w:lang w:eastAsia="lt-LT"/>
          <w14:ligatures w14:val="none"/>
        </w:rPr>
        <w:t>6</w:t>
      </w:r>
      <w:r w:rsidRPr="006971DD">
        <w:rPr>
          <w:rFonts w:ascii="Calibri" w:eastAsia="Times New Roman" w:hAnsi="Calibri" w:cs="Calibri"/>
          <w:sz w:val="24"/>
          <w:szCs w:val="24"/>
          <w:lang w:eastAsia="lt-LT"/>
          <w14:ligatures w14:val="none"/>
        </w:rPr>
        <w:t xml:space="preserve"> m. lapkričio </w:t>
      </w:r>
      <w:r w:rsidR="00FC135F" w:rsidRPr="006971DD">
        <w:rPr>
          <w:rFonts w:ascii="Calibri" w:eastAsia="Times New Roman" w:hAnsi="Calibri" w:cs="Calibri"/>
          <w:sz w:val="24"/>
          <w:szCs w:val="24"/>
          <w:lang w:eastAsia="lt-LT"/>
          <w14:ligatures w14:val="none"/>
        </w:rPr>
        <w:t>30</w:t>
      </w:r>
      <w:r w:rsidRPr="006971DD">
        <w:rPr>
          <w:rFonts w:ascii="Calibri" w:eastAsia="Times New Roman" w:hAnsi="Calibri" w:cs="Calibri"/>
          <w:sz w:val="24"/>
          <w:szCs w:val="24"/>
          <w:lang w:eastAsia="lt-LT"/>
          <w14:ligatures w14:val="none"/>
        </w:rPr>
        <w:t xml:space="preserve"> d.</w:t>
      </w:r>
    </w:p>
    <w:p w14:paraId="60988115" w14:textId="28FD6F88" w:rsidR="0008670D" w:rsidRPr="006971DD" w:rsidRDefault="00915B93" w:rsidP="006971DD">
      <w:pPr>
        <w:pStyle w:val="Sraopastraipa"/>
        <w:widowControl w:val="0"/>
        <w:numPr>
          <w:ilvl w:val="0"/>
          <w:numId w:val="1"/>
        </w:numPr>
        <w:tabs>
          <w:tab w:val="left" w:pos="360"/>
          <w:tab w:val="left" w:pos="1418"/>
        </w:tabs>
        <w:autoSpaceDE w:val="0"/>
        <w:autoSpaceDN w:val="0"/>
        <w:adjustRightInd w:val="0"/>
        <w:spacing w:after="0" w:line="360" w:lineRule="auto"/>
        <w:contextualSpacing w:val="0"/>
        <w:rPr>
          <w:rFonts w:ascii="Calibri" w:eastAsia="Times New Roman" w:hAnsi="Calibri" w:cs="Calibri"/>
          <w:sz w:val="24"/>
          <w:szCs w:val="24"/>
          <w:lang w:eastAsia="lt-LT"/>
          <w14:ligatures w14:val="none"/>
        </w:rPr>
      </w:pPr>
      <w:r w:rsidRPr="006971DD">
        <w:rPr>
          <w:rFonts w:ascii="Calibri" w:eastAsia="Times New Roman" w:hAnsi="Calibri" w:cs="Calibri"/>
          <w:b/>
          <w:bCs/>
          <w:sz w:val="24"/>
          <w:szCs w:val="24"/>
          <w:lang w:eastAsia="lt-LT"/>
          <w14:ligatures w14:val="none"/>
        </w:rPr>
        <w:t>Planuojamos Eksperto paslaugų apimtys</w:t>
      </w:r>
      <w:r w:rsidRPr="006971DD">
        <w:rPr>
          <w:rFonts w:ascii="Calibri" w:eastAsia="Times New Roman" w:hAnsi="Calibri" w:cs="Calibri"/>
          <w:sz w:val="24"/>
          <w:szCs w:val="24"/>
          <w:lang w:eastAsia="lt-LT"/>
          <w14:ligatures w14:val="none"/>
        </w:rPr>
        <w:t xml:space="preserve"> – ne daugiau kaip </w:t>
      </w:r>
      <w:r w:rsidR="004F2A17" w:rsidRPr="006971DD">
        <w:rPr>
          <w:rFonts w:ascii="Calibri" w:eastAsia="Times New Roman" w:hAnsi="Calibri" w:cs="Calibri"/>
          <w:sz w:val="24"/>
          <w:szCs w:val="24"/>
          <w:lang w:eastAsia="lt-LT"/>
          <w14:ligatures w14:val="none"/>
        </w:rPr>
        <w:t>299</w:t>
      </w:r>
      <w:r w:rsidRPr="006971DD">
        <w:rPr>
          <w:rFonts w:ascii="Calibri" w:eastAsia="Times New Roman" w:hAnsi="Calibri" w:cs="Calibri"/>
          <w:sz w:val="24"/>
          <w:szCs w:val="24"/>
          <w:lang w:eastAsia="lt-LT"/>
          <w14:ligatures w14:val="none"/>
        </w:rPr>
        <w:t xml:space="preserve"> valandų</w:t>
      </w:r>
      <w:r w:rsidR="005B3C6F" w:rsidRPr="006971DD">
        <w:rPr>
          <w:rFonts w:ascii="Calibri" w:eastAsia="Times New Roman" w:hAnsi="Calibri" w:cs="Calibri"/>
          <w:sz w:val="24"/>
          <w:szCs w:val="24"/>
          <w:lang w:eastAsia="lt-LT"/>
          <w14:ligatures w14:val="none"/>
        </w:rPr>
        <w:t xml:space="preserve">. </w:t>
      </w:r>
      <w:r w:rsidR="0008670D" w:rsidRPr="006971DD">
        <w:rPr>
          <w:rFonts w:ascii="Calibri" w:eastAsia="Times New Roman" w:hAnsi="Calibri" w:cs="Calibri"/>
          <w:sz w:val="24"/>
          <w:szCs w:val="24"/>
          <w:lang w:eastAsia="lt-LT"/>
          <w14:ligatures w14:val="none"/>
        </w:rPr>
        <w:t>Perkančioji organizacija apmoka tik už faktiškai suteiktas Paslaugas (išdirbtas Ekspertų darbo valandas), atsižvelgdama į Tiekėjo pasiūlymo kainą ir turimas lėšas.</w:t>
      </w:r>
    </w:p>
    <w:p w14:paraId="0FA45F2F" w14:textId="77777777" w:rsidR="00915B93" w:rsidRPr="006971DD" w:rsidRDefault="00915B93" w:rsidP="005414AA">
      <w:pPr>
        <w:keepNext/>
        <w:widowControl w:val="0"/>
        <w:autoSpaceDE w:val="0"/>
        <w:autoSpaceDN w:val="0"/>
        <w:adjustRightInd w:val="0"/>
        <w:spacing w:before="240" w:after="240" w:line="240" w:lineRule="auto"/>
        <w:ind w:left="1440" w:hanging="720"/>
        <w:outlineLvl w:val="1"/>
        <w:rPr>
          <w:rFonts w:ascii="Calibri" w:eastAsia="Times New Roman" w:hAnsi="Calibri" w:cs="Calibri"/>
          <w:b/>
          <w:bCs/>
          <w:iCs/>
          <w:caps/>
          <w:kern w:val="2"/>
          <w:sz w:val="24"/>
          <w:szCs w:val="24"/>
          <w:lang w:eastAsia="lt-LT"/>
        </w:rPr>
      </w:pPr>
      <w:bookmarkStart w:id="4" w:name="_Toc130150255"/>
      <w:r w:rsidRPr="006971DD">
        <w:rPr>
          <w:rFonts w:ascii="Calibri" w:eastAsia="Times New Roman" w:hAnsi="Calibri" w:cs="Calibri"/>
          <w:b/>
          <w:bCs/>
          <w:iCs/>
          <w:caps/>
          <w:kern w:val="2"/>
          <w:sz w:val="24"/>
          <w:szCs w:val="24"/>
          <w:lang w:eastAsia="lt-LT"/>
        </w:rPr>
        <w:t>REIKALAVIMAI EKSPERTO PASLAUGOMS</w:t>
      </w:r>
      <w:bookmarkEnd w:id="4"/>
    </w:p>
    <w:p w14:paraId="2FE455EF" w14:textId="77777777" w:rsidR="00915B93" w:rsidRPr="006971DD" w:rsidRDefault="00915B93" w:rsidP="006971DD">
      <w:pPr>
        <w:widowControl w:val="0"/>
        <w:numPr>
          <w:ilvl w:val="0"/>
          <w:numId w:val="1"/>
        </w:numPr>
        <w:tabs>
          <w:tab w:val="left" w:pos="360"/>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Eksperto paslaugų sudėtinės dalys:</w:t>
      </w:r>
    </w:p>
    <w:p w14:paraId="65C16CB7" w14:textId="2975CE62" w:rsidR="00915B93" w:rsidRPr="006971DD" w:rsidRDefault="00915B93" w:rsidP="00624EB1">
      <w:pPr>
        <w:pStyle w:val="Sraopastraipa"/>
        <w:numPr>
          <w:ilvl w:val="1"/>
          <w:numId w:val="1"/>
        </w:numPr>
        <w:tabs>
          <w:tab w:val="left" w:pos="851"/>
        </w:tabs>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rašytinių ekspertų konsultacijų, rekomendacijų parengimas pagal šioje techninėje specifikacijoje nurodytas Eksperto paslaugų sritis</w:t>
      </w:r>
      <w:r w:rsidR="0008670D" w:rsidRPr="006971DD">
        <w:rPr>
          <w:rFonts w:ascii="Calibri" w:eastAsia="Times New Roman" w:hAnsi="Calibri" w:cs="Calibri"/>
          <w:sz w:val="24"/>
          <w:szCs w:val="24"/>
          <w:lang w:eastAsia="lt-LT"/>
          <w14:ligatures w14:val="none"/>
        </w:rPr>
        <w:t>,</w:t>
      </w:r>
      <w:r w:rsidR="0008670D" w:rsidRPr="006971DD">
        <w:rPr>
          <w:rFonts w:ascii="Calibri" w:hAnsi="Calibri" w:cs="Calibri"/>
          <w:sz w:val="24"/>
          <w:szCs w:val="24"/>
        </w:rPr>
        <w:t xml:space="preserve"> </w:t>
      </w:r>
      <w:r w:rsidR="0008670D" w:rsidRPr="006971DD">
        <w:rPr>
          <w:rFonts w:ascii="Calibri" w:eastAsia="Times New Roman" w:hAnsi="Calibri" w:cs="Calibri"/>
          <w:sz w:val="24"/>
          <w:szCs w:val="24"/>
          <w:lang w:eastAsia="lt-LT"/>
          <w14:ligatures w14:val="none"/>
        </w:rPr>
        <w:t>vadovaujantis galiojančiomis ir naujausiomis teisės aktų, standartų, reglamentų redakcijomis ir praktine patirtimi;</w:t>
      </w:r>
    </w:p>
    <w:p w14:paraId="48749FD7" w14:textId="3EDB909D"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konsultacijų ir rekomendacijų žodinis suteikimas Eksperto paslaugų tikslinei (-ėms) grupei (-ėms)</w:t>
      </w:r>
      <w:r w:rsidR="0008670D" w:rsidRPr="006971DD">
        <w:rPr>
          <w:rFonts w:ascii="Calibri" w:eastAsia="Times New Roman" w:hAnsi="Calibri" w:cs="Calibri"/>
          <w:sz w:val="24"/>
          <w:szCs w:val="24"/>
          <w:lang w:eastAsia="lt-LT"/>
          <w14:ligatures w14:val="none"/>
        </w:rPr>
        <w:t>, atsižvelgiant į naujausius teisės aktų pakeitimus ir papildymus bei praktine patirtimi</w:t>
      </w:r>
      <w:r w:rsidRPr="006971DD">
        <w:rPr>
          <w:rFonts w:ascii="Calibri" w:eastAsia="Times New Roman" w:hAnsi="Calibri" w:cs="Calibri"/>
          <w:sz w:val="24"/>
          <w:szCs w:val="24"/>
          <w:lang w:eastAsia="lt-LT"/>
          <w14:ligatures w14:val="none"/>
        </w:rPr>
        <w:t>.</w:t>
      </w:r>
    </w:p>
    <w:p w14:paraId="3D24E282" w14:textId="77777777" w:rsidR="00915B93" w:rsidRPr="006971DD" w:rsidRDefault="00915B93" w:rsidP="006971DD">
      <w:pPr>
        <w:widowControl w:val="0"/>
        <w:numPr>
          <w:ilvl w:val="0"/>
          <w:numId w:val="1"/>
        </w:numPr>
        <w:tabs>
          <w:tab w:val="left" w:pos="360"/>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Perkamų Eksperto paslaugų sritys:</w:t>
      </w:r>
    </w:p>
    <w:p w14:paraId="4B12622D" w14:textId="604E1173"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Statybos techninio reglamento </w:t>
      </w:r>
      <w:hyperlink r:id="rId8" w:history="1">
        <w:r w:rsidRPr="006971DD">
          <w:rPr>
            <w:rFonts w:ascii="Calibri" w:eastAsia="Times New Roman" w:hAnsi="Calibri" w:cs="Calibri"/>
            <w:color w:val="0563C1"/>
            <w:sz w:val="24"/>
            <w:szCs w:val="24"/>
            <w:u w:val="single"/>
            <w:lang w:eastAsia="lt-LT"/>
            <w14:ligatures w14:val="none"/>
          </w:rPr>
          <w:t>STR 2.03.01:2019 „</w:t>
        </w:r>
        <w:r w:rsidR="00FC135F" w:rsidRPr="006971DD">
          <w:rPr>
            <w:rFonts w:ascii="Calibri" w:eastAsia="Times New Roman" w:hAnsi="Calibri" w:cs="Calibri"/>
            <w:color w:val="0563C1"/>
            <w:sz w:val="24"/>
            <w:szCs w:val="24"/>
            <w:u w:val="single"/>
            <w:lang w:eastAsia="lt-LT"/>
            <w14:ligatures w14:val="none"/>
          </w:rPr>
          <w:t>Statinių</w:t>
        </w:r>
        <w:r w:rsidRPr="006971DD">
          <w:rPr>
            <w:rFonts w:ascii="Calibri" w:eastAsia="Times New Roman" w:hAnsi="Calibri" w:cs="Calibri"/>
            <w:color w:val="0563C1"/>
            <w:sz w:val="24"/>
            <w:szCs w:val="24"/>
            <w:u w:val="single"/>
            <w:lang w:eastAsia="lt-LT"/>
            <w14:ligatures w14:val="none"/>
          </w:rPr>
          <w:t xml:space="preserve"> prieinamumas”</w:t>
        </w:r>
      </w:hyperlink>
      <w:r w:rsidRPr="006971DD">
        <w:rPr>
          <w:rFonts w:ascii="Calibri" w:eastAsia="Times New Roman" w:hAnsi="Calibri" w:cs="Calibri"/>
          <w:sz w:val="24"/>
          <w:szCs w:val="24"/>
          <w:lang w:eastAsia="lt-LT"/>
          <w14:ligatures w14:val="none"/>
        </w:rPr>
        <w:t xml:space="preserve"> taikymas;</w:t>
      </w:r>
    </w:p>
    <w:p w14:paraId="1B4D4718"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Statybos techninio reglamento </w:t>
      </w:r>
      <w:hyperlink r:id="rId9" w:history="1">
        <w:r w:rsidRPr="006971DD">
          <w:rPr>
            <w:rFonts w:ascii="Calibri" w:eastAsia="Times New Roman" w:hAnsi="Calibri" w:cs="Calibri"/>
            <w:color w:val="0563C1"/>
            <w:sz w:val="24"/>
            <w:szCs w:val="24"/>
            <w:u w:val="single"/>
            <w:lang w:eastAsia="lt-LT"/>
            <w14:ligatures w14:val="none"/>
          </w:rPr>
          <w:t>STR 2.02.02:2004 „Visuomeninės paskirties statiniai“</w:t>
        </w:r>
      </w:hyperlink>
      <w:r w:rsidRPr="006971DD">
        <w:rPr>
          <w:rFonts w:ascii="Calibri" w:eastAsia="Times New Roman" w:hAnsi="Calibri" w:cs="Calibri"/>
          <w:sz w:val="24"/>
          <w:szCs w:val="24"/>
          <w:lang w:eastAsia="lt-LT"/>
          <w14:ligatures w14:val="none"/>
        </w:rPr>
        <w:t xml:space="preserve"> taikymas;</w:t>
      </w:r>
    </w:p>
    <w:p w14:paraId="7EAD2906"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Statybos techninio reglamento </w:t>
      </w:r>
      <w:hyperlink r:id="rId10" w:history="1">
        <w:r w:rsidRPr="006971DD">
          <w:rPr>
            <w:rFonts w:ascii="Calibri" w:eastAsia="Times New Roman" w:hAnsi="Calibri" w:cs="Calibri"/>
            <w:color w:val="0563C1"/>
            <w:sz w:val="24"/>
            <w:szCs w:val="24"/>
            <w:u w:val="single"/>
            <w:lang w:eastAsia="lt-LT"/>
            <w14:ligatures w14:val="none"/>
          </w:rPr>
          <w:t>STR 2.02.01:2004 „Gyvenamieji pastatai“</w:t>
        </w:r>
      </w:hyperlink>
      <w:r w:rsidRPr="006971DD">
        <w:rPr>
          <w:rFonts w:ascii="Calibri" w:eastAsia="Times New Roman" w:hAnsi="Calibri" w:cs="Calibri"/>
          <w:sz w:val="24"/>
          <w:szCs w:val="24"/>
          <w:lang w:eastAsia="lt-LT"/>
          <w14:ligatures w14:val="none"/>
        </w:rPr>
        <w:t xml:space="preserve"> taikymas;</w:t>
      </w:r>
    </w:p>
    <w:p w14:paraId="540BCC0E"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Tarptautinis standartas ISO 21542:2011 „Pastatų statyba. Užstatytos aplinkos prieinamumas ir naudojamumas“;</w:t>
      </w:r>
    </w:p>
    <w:p w14:paraId="63A01F1C"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Tarptautinis standartas ISO 23599:2012 „Pagalbinės priemonės neregiams ir silpnaregiams. Taktiliniai vaikščiojamojo paviršiaus indikatoriai“;</w:t>
      </w:r>
    </w:p>
    <w:p w14:paraId="10D64FD7"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Europos standartas EN 17210:2021 „Apstatytosios aplinkos prieinamumas ir naudojimo patogumas. Funkciniai reikalavimai“;</w:t>
      </w:r>
    </w:p>
    <w:p w14:paraId="08C19658" w14:textId="7777777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Techninė ataskaita. CEN TR 17621 „Sukurtos aplinkos prieinamumas ir pritaikomumas. Techniniai veiklos kriterijai ir specifikacijos“;</w:t>
      </w:r>
    </w:p>
    <w:p w14:paraId="741CB1BA" w14:textId="13BEC0B2" w:rsidR="0008670D" w:rsidRPr="006971DD" w:rsidRDefault="0008670D" w:rsidP="00624EB1">
      <w:pPr>
        <w:pStyle w:val="Sraopastraipa"/>
        <w:widowControl w:val="0"/>
        <w:numPr>
          <w:ilvl w:val="1"/>
          <w:numId w:val="1"/>
        </w:numPr>
        <w:tabs>
          <w:tab w:val="left" w:pos="360"/>
          <w:tab w:val="left" w:pos="851"/>
          <w:tab w:val="left" w:pos="1418"/>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Europos standartas LST EN 17161:2019 „Tinkamumas visiems. Produktų, prekių ir paslaugų </w:t>
      </w:r>
      <w:r w:rsidRPr="006971DD">
        <w:rPr>
          <w:rFonts w:ascii="Calibri" w:eastAsia="Times New Roman" w:hAnsi="Calibri" w:cs="Calibri"/>
          <w:sz w:val="24"/>
          <w:szCs w:val="24"/>
          <w:lang w:eastAsia="lt-LT"/>
          <w14:ligatures w14:val="none"/>
        </w:rPr>
        <w:lastRenderedPageBreak/>
        <w:t>prieinamumas pagal tinkamumo visiems požiūrį. Naudotojų rato plėtimas“;</w:t>
      </w:r>
    </w:p>
    <w:p w14:paraId="05B15A08" w14:textId="561872E2"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Kiti su aukščiau išvardintais teisės aktais susiję teisės aktai</w:t>
      </w:r>
      <w:r w:rsidR="0008670D" w:rsidRPr="006971DD">
        <w:rPr>
          <w:rFonts w:ascii="Calibri" w:eastAsia="Times New Roman" w:hAnsi="Calibri" w:cs="Calibri"/>
          <w:sz w:val="24"/>
          <w:szCs w:val="24"/>
          <w:lang w:eastAsia="lt-LT"/>
          <w14:ligatures w14:val="none"/>
        </w:rPr>
        <w:t>, susiję su aukščiau nurodytais dokumentais, atsižvelgiant į jų naujausias galiojančias redakcijas ir pakeitimus, taip pat atsižvelgiant į svarbius naujus teisės aktus, reglamentus ar standartus, kurie atsirado po šio dokumento parengimo</w:t>
      </w:r>
      <w:r w:rsidRPr="006971DD">
        <w:rPr>
          <w:rFonts w:ascii="Calibri" w:eastAsia="Times New Roman" w:hAnsi="Calibri" w:cs="Calibri"/>
          <w:sz w:val="24"/>
          <w:szCs w:val="24"/>
          <w:lang w:eastAsia="lt-LT"/>
          <w14:ligatures w14:val="none"/>
        </w:rPr>
        <w:t>.</w:t>
      </w:r>
    </w:p>
    <w:p w14:paraId="7FD790E3" w14:textId="77777777" w:rsidR="00915B93" w:rsidRPr="006971DD" w:rsidRDefault="00915B93" w:rsidP="006971DD">
      <w:pPr>
        <w:widowControl w:val="0"/>
        <w:numPr>
          <w:ilvl w:val="0"/>
          <w:numId w:val="1"/>
        </w:numPr>
        <w:tabs>
          <w:tab w:val="left" w:pos="360"/>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Paslaugos atlikimo tvarka:</w:t>
      </w:r>
    </w:p>
    <w:p w14:paraId="0BDE4636" w14:textId="277B4957"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Sutarties įgyvendinimo metu Perkančioji organizacija pagal poreikį suformuluos konkrečias užduotis pagal šioje techninėje specifikacijoje nurodytas Eksperto paslaugų sritis</w:t>
      </w:r>
      <w:r w:rsidR="0008670D" w:rsidRPr="006971DD">
        <w:rPr>
          <w:rFonts w:ascii="Calibri" w:eastAsia="Times New Roman" w:hAnsi="Calibri" w:cs="Calibri"/>
          <w:sz w:val="24"/>
          <w:szCs w:val="24"/>
          <w:lang w:eastAsia="lt-LT"/>
          <w14:ligatures w14:val="none"/>
        </w:rPr>
        <w:t xml:space="preserve"> ir pateiks elektroniniu paštu</w:t>
      </w:r>
      <w:r w:rsidR="00531E39" w:rsidRPr="006971DD">
        <w:rPr>
          <w:rFonts w:ascii="Calibri" w:eastAsia="Times New Roman" w:hAnsi="Calibri" w:cs="Calibri"/>
          <w:sz w:val="24"/>
          <w:szCs w:val="24"/>
          <w:lang w:eastAsia="lt-LT"/>
          <w14:ligatures w14:val="none"/>
        </w:rPr>
        <w:t>.</w:t>
      </w:r>
    </w:p>
    <w:p w14:paraId="69382EE7" w14:textId="3FB949E0"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Tiekėjas susisiekia su užklausą pateikusiu asmeniu išsamiau išsiaiškinti situaciją. Jei įmanoma, iš karto, susisiekdamas, arba per vieną darbo dieną suteikia konsultaciją ar rekomendaciją. Jei konsultacijos ar rekomendacijos suteikti iš karto, susisiekimo metu ar per vieną darbo dieną neįmanoma, Tiekėjas informuoja užklausą pateikusį asmenį iki kada pateiks atsakymą</w:t>
      </w:r>
      <w:r w:rsidR="00531E39" w:rsidRPr="006971DD">
        <w:rPr>
          <w:rFonts w:ascii="Calibri" w:eastAsia="Times New Roman" w:hAnsi="Calibri" w:cs="Calibri"/>
          <w:sz w:val="24"/>
          <w:szCs w:val="24"/>
          <w:lang w:eastAsia="lt-LT"/>
          <w14:ligatures w14:val="none"/>
        </w:rPr>
        <w:t>.</w:t>
      </w:r>
    </w:p>
    <w:p w14:paraId="2B6C30FB" w14:textId="2758F4FE"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Tiekėjas, išsiaiškinęs užklausą pateikusio asmens situaciją suteikia konsultaciją ar pateikia rekomendaciją. Atsakymas teikiamas el. paštu kc@anta.lt</w:t>
      </w:r>
      <w:r w:rsidR="00C72230" w:rsidRPr="006971DD">
        <w:rPr>
          <w:rFonts w:ascii="Calibri" w:eastAsia="Times New Roman" w:hAnsi="Calibri" w:cs="Calibri"/>
          <w:sz w:val="24"/>
          <w:szCs w:val="24"/>
          <w:lang w:eastAsia="lt-LT"/>
          <w14:ligatures w14:val="none"/>
        </w:rPr>
        <w:t>.</w:t>
      </w:r>
      <w:r w:rsidRPr="006971DD">
        <w:rPr>
          <w:rFonts w:ascii="Calibri" w:eastAsia="Times New Roman" w:hAnsi="Calibri" w:cs="Calibri"/>
          <w:sz w:val="24"/>
          <w:szCs w:val="24"/>
          <w:lang w:eastAsia="lt-LT"/>
          <w14:ligatures w14:val="none"/>
        </w:rPr>
        <w:t xml:space="preserve"> Tiekėjas atsakymo tekstą persiunčia  </w:t>
      </w:r>
      <w:r w:rsidR="0008670D" w:rsidRPr="006971DD">
        <w:rPr>
          <w:rFonts w:ascii="Calibri" w:eastAsia="Times New Roman" w:hAnsi="Calibri" w:cs="Calibri"/>
          <w:sz w:val="24"/>
          <w:szCs w:val="24"/>
          <w:lang w:eastAsia="lt-LT"/>
          <w14:ligatures w14:val="none"/>
        </w:rPr>
        <w:t>P</w:t>
      </w:r>
      <w:r w:rsidRPr="006971DD">
        <w:rPr>
          <w:rFonts w:ascii="Calibri" w:eastAsia="Times New Roman" w:hAnsi="Calibri" w:cs="Calibri"/>
          <w:sz w:val="24"/>
          <w:szCs w:val="24"/>
          <w:lang w:eastAsia="lt-LT"/>
          <w14:ligatures w14:val="none"/>
        </w:rPr>
        <w:t>erkančiajai organizacijai</w:t>
      </w:r>
      <w:r w:rsidR="0008670D" w:rsidRPr="006971DD">
        <w:rPr>
          <w:rFonts w:ascii="Calibri" w:eastAsia="Times New Roman" w:hAnsi="Calibri" w:cs="Calibri"/>
          <w:sz w:val="24"/>
          <w:szCs w:val="24"/>
          <w:lang w:eastAsia="lt-LT"/>
          <w14:ligatures w14:val="none"/>
        </w:rPr>
        <w:t>, o ne užklausą pateikusiam asmeniui</w:t>
      </w:r>
      <w:r w:rsidR="00531E39" w:rsidRPr="006971DD">
        <w:rPr>
          <w:rFonts w:ascii="Calibri" w:eastAsia="Times New Roman" w:hAnsi="Calibri" w:cs="Calibri"/>
          <w:sz w:val="24"/>
          <w:szCs w:val="24"/>
          <w:lang w:eastAsia="lt-LT"/>
          <w14:ligatures w14:val="none"/>
        </w:rPr>
        <w:t>.</w:t>
      </w:r>
    </w:p>
    <w:p w14:paraId="5848EB34" w14:textId="3E862F6A" w:rsidR="00750E08" w:rsidRPr="001F3904" w:rsidRDefault="0008670D" w:rsidP="001F3904">
      <w:pPr>
        <w:pStyle w:val="Sraopastraipa"/>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Kilus neaiškumams, ar klausimams dėl pateiktos Perkančiosios organizacijos užklausos, Tiekėjas privalo išsiaiškinti neaiškumus su Perkančiosios organizacijos atstovu, o ne su užklausą pateikusiu asmeniu</w:t>
      </w:r>
      <w:r w:rsidR="001F3904">
        <w:rPr>
          <w:rFonts w:ascii="Calibri" w:eastAsia="Times New Roman" w:hAnsi="Calibri" w:cs="Calibri"/>
          <w:sz w:val="24"/>
          <w:szCs w:val="24"/>
          <w:lang w:eastAsia="lt-LT"/>
          <w14:ligatures w14:val="none"/>
        </w:rPr>
        <w:t>.</w:t>
      </w:r>
    </w:p>
    <w:p w14:paraId="6BE53A4C" w14:textId="2C0492C5" w:rsidR="00750E08" w:rsidRPr="001F3904" w:rsidRDefault="00750E08" w:rsidP="001F3904">
      <w:pPr>
        <w:pStyle w:val="Sraopastraipa"/>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sidRPr="001F3904">
        <w:rPr>
          <w:rFonts w:ascii="Calibri" w:eastAsia="Times New Roman" w:hAnsi="Calibri" w:cs="Calibri"/>
          <w:sz w:val="24"/>
          <w:szCs w:val="24"/>
          <w:lang w:eastAsia="lt-LT"/>
          <w14:ligatures w14:val="none"/>
        </w:rPr>
        <w:t>Perkančioji organizacija turi teisę prašyti patikslinti ar papildyti pateiktas rekomendacijas, jei jos nepakankamai pagrįstos.</w:t>
      </w:r>
    </w:p>
    <w:p w14:paraId="709FD796" w14:textId="252F999C" w:rsidR="00915B93" w:rsidRPr="006971DD" w:rsidRDefault="00624EB1" w:rsidP="00624EB1">
      <w:pPr>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 xml:space="preserve">Tiekėjas, teikdamas konsultacijas ir rekomendacijas, turi vadovautis „Negaliai jautrios kalbos gairėmis“ (https://anta.lrv.lt/public/canonical/1733739405/808/Negaliai%20jautrios%20kalbos%20gair%C4%97s_adaptuotos.pd.pdf ). </w:t>
      </w:r>
    </w:p>
    <w:p w14:paraId="1B51E630" w14:textId="10E4FE8E" w:rsidR="002E1D5F" w:rsidRPr="006971DD" w:rsidRDefault="00624EB1" w:rsidP="006971DD">
      <w:pPr>
        <w:pStyle w:val="Sraopastraipa"/>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2E1D5F" w:rsidRPr="006971DD">
        <w:rPr>
          <w:rFonts w:ascii="Calibri" w:eastAsia="Times New Roman" w:hAnsi="Calibri" w:cs="Calibri"/>
          <w:sz w:val="24"/>
          <w:szCs w:val="24"/>
          <w:lang w:eastAsia="lt-LT"/>
          <w14:ligatures w14:val="none"/>
        </w:rPr>
        <w:t>Tiekėjas konsultacijas ir rekomendacijas teikia taisyklinga lietuvių kalba.</w:t>
      </w:r>
    </w:p>
    <w:p w14:paraId="3F1E7D7E" w14:textId="71032B03" w:rsidR="00915B93" w:rsidRPr="006971DD" w:rsidRDefault="00624EB1" w:rsidP="00624EB1">
      <w:pPr>
        <w:widowControl w:val="0"/>
        <w:numPr>
          <w:ilvl w:val="1"/>
          <w:numId w:val="1"/>
        </w:numPr>
        <w:tabs>
          <w:tab w:val="left" w:pos="360"/>
          <w:tab w:val="left" w:pos="851"/>
        </w:tabs>
        <w:autoSpaceDE w:val="0"/>
        <w:autoSpaceDN w:val="0"/>
        <w:adjustRightInd w:val="0"/>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08670D" w:rsidRPr="006971DD">
        <w:rPr>
          <w:rFonts w:ascii="Calibri" w:eastAsia="Times New Roman" w:hAnsi="Calibri" w:cs="Calibri"/>
          <w:sz w:val="24"/>
          <w:szCs w:val="24"/>
          <w:lang w:eastAsia="lt-LT"/>
          <w14:ligatures w14:val="none"/>
        </w:rPr>
        <w:t xml:space="preserve">Paslaugos teikiamos </w:t>
      </w:r>
      <w:r w:rsidR="00915B93" w:rsidRPr="006971DD">
        <w:rPr>
          <w:rFonts w:ascii="Calibri" w:eastAsia="Times New Roman" w:hAnsi="Calibri" w:cs="Calibri"/>
          <w:sz w:val="24"/>
          <w:szCs w:val="24"/>
          <w:lang w:eastAsia="lt-LT"/>
          <w14:ligatures w14:val="none"/>
        </w:rPr>
        <w:t xml:space="preserve">Tiekėjo ir Perkančiosios organizacijos susitarimu dėl reikalingų atitinkamų Paslaugų, kuris bus įforminamas ir patvirtinamas elektroniniu paštu. Tiekėjas  privalo turėti galimybę suteikti reikiamas paslaugas per įmanomai trumpiausius terminus, </w:t>
      </w:r>
      <w:r w:rsidR="00915B93" w:rsidRPr="006971DD">
        <w:rPr>
          <w:rFonts w:ascii="Calibri" w:eastAsia="Times New Roman" w:hAnsi="Calibri" w:cs="Calibri"/>
          <w:sz w:val="24"/>
          <w:szCs w:val="24"/>
          <w:lang w:eastAsia="lt-LT"/>
          <w14:ligatures w14:val="none"/>
        </w:rPr>
        <w:lastRenderedPageBreak/>
        <w:t>kuriuos nurodys Perkančioji organizacija. Tiekėjas turi turėti galimybę atlikti pavestas užduotis skubos tvarka – per 1-3 darbo</w:t>
      </w:r>
      <w:r w:rsidR="00531E39" w:rsidRPr="006971DD">
        <w:rPr>
          <w:rFonts w:ascii="Calibri" w:eastAsia="Times New Roman" w:hAnsi="Calibri" w:cs="Calibri"/>
          <w:sz w:val="24"/>
          <w:szCs w:val="24"/>
          <w:lang w:eastAsia="lt-LT"/>
          <w14:ligatures w14:val="none"/>
        </w:rPr>
        <w:t xml:space="preserve"> dienų.</w:t>
      </w:r>
    </w:p>
    <w:p w14:paraId="256BD5D5" w14:textId="7184CCD3" w:rsidR="00531E39" w:rsidRPr="005414AA" w:rsidRDefault="00624EB1" w:rsidP="005414AA">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T</w:t>
      </w:r>
      <w:r w:rsidR="002E1D5F" w:rsidRPr="006971DD">
        <w:rPr>
          <w:rFonts w:ascii="Calibri" w:eastAsia="Times New Roman" w:hAnsi="Calibri" w:cs="Calibri"/>
          <w:sz w:val="24"/>
          <w:szCs w:val="24"/>
          <w:lang w:eastAsia="lt-LT"/>
          <w14:ligatures w14:val="none"/>
        </w:rPr>
        <w:t>ie</w:t>
      </w:r>
      <w:r w:rsidR="00915B93" w:rsidRPr="006971DD">
        <w:rPr>
          <w:rFonts w:ascii="Calibri" w:eastAsia="Times New Roman" w:hAnsi="Calibri" w:cs="Calibri"/>
          <w:sz w:val="24"/>
          <w:szCs w:val="24"/>
          <w:lang w:eastAsia="lt-LT"/>
          <w14:ligatures w14:val="none"/>
        </w:rPr>
        <w:t>kėjas fiksuoja užklausos gavimo ir suteikimo datas, informaciją apie užklausą pateikusį asmenį (kontaktinė informacija), Eksperto paslaugos suteikimo trukmę</w:t>
      </w:r>
      <w:r w:rsidR="00531E39" w:rsidRPr="006971DD">
        <w:rPr>
          <w:rFonts w:ascii="Calibri" w:eastAsia="Times New Roman" w:hAnsi="Calibri" w:cs="Calibri"/>
          <w:sz w:val="24"/>
          <w:szCs w:val="24"/>
          <w:lang w:eastAsia="lt-LT"/>
          <w14:ligatures w14:val="none"/>
        </w:rPr>
        <w:t>.</w:t>
      </w:r>
    </w:p>
    <w:p w14:paraId="1636D93F" w14:textId="230D2498" w:rsidR="004F2A17" w:rsidRPr="006971DD" w:rsidRDefault="00624EB1" w:rsidP="00624EB1">
      <w:pPr>
        <w:pStyle w:val="Sraopastraipa"/>
        <w:numPr>
          <w:ilvl w:val="1"/>
          <w:numId w:val="1"/>
        </w:numPr>
        <w:tabs>
          <w:tab w:val="left" w:pos="993"/>
        </w:tabs>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4F2A17" w:rsidRPr="006971DD">
        <w:rPr>
          <w:rFonts w:ascii="Calibri" w:eastAsia="Times New Roman" w:hAnsi="Calibri" w:cs="Calibri"/>
          <w:sz w:val="24"/>
          <w:szCs w:val="24"/>
          <w:lang w:eastAsia="lt-LT"/>
          <w14:ligatures w14:val="none"/>
        </w:rPr>
        <w:t>Tiekėjas, gavęs užklausą iš Perkančiosios organizacijos, privalo per 3 darbo dienas patvirtinti užklausos gavimą</w:t>
      </w:r>
      <w:r w:rsidR="00531E39" w:rsidRPr="006971DD">
        <w:rPr>
          <w:rFonts w:ascii="Calibri" w:eastAsia="Times New Roman" w:hAnsi="Calibri" w:cs="Calibri"/>
          <w:sz w:val="24"/>
          <w:szCs w:val="24"/>
          <w:lang w:eastAsia="lt-LT"/>
          <w14:ligatures w14:val="none"/>
        </w:rPr>
        <w:t>.</w:t>
      </w:r>
    </w:p>
    <w:p w14:paraId="292AAD69" w14:textId="4109CE47" w:rsidR="004F2A17" w:rsidRPr="006971DD" w:rsidRDefault="00624EB1" w:rsidP="00624EB1">
      <w:pPr>
        <w:pStyle w:val="Sraopastraipa"/>
        <w:numPr>
          <w:ilvl w:val="1"/>
          <w:numId w:val="1"/>
        </w:numPr>
        <w:tabs>
          <w:tab w:val="left" w:pos="993"/>
        </w:tabs>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4F2A17" w:rsidRPr="006971DD">
        <w:rPr>
          <w:rFonts w:ascii="Calibri" w:eastAsia="Times New Roman" w:hAnsi="Calibri" w:cs="Calibri"/>
          <w:sz w:val="24"/>
          <w:szCs w:val="24"/>
          <w:lang w:eastAsia="lt-LT"/>
          <w14:ligatures w14:val="none"/>
        </w:rPr>
        <w:t>Tiekėjas, gavęs užklausą iš Perkančiosios organizacijos dėl objekto vertinimo vietoje, privalo per 14 darbo dienų atvykti į objektą ir atlikti jo įvertinimą</w:t>
      </w:r>
      <w:r w:rsidR="0008670D" w:rsidRPr="006971DD">
        <w:rPr>
          <w:rFonts w:ascii="Calibri" w:eastAsia="Times New Roman" w:hAnsi="Calibri" w:cs="Calibri"/>
          <w:sz w:val="24"/>
          <w:szCs w:val="24"/>
          <w:lang w:eastAsia="lt-LT"/>
          <w14:ligatures w14:val="none"/>
        </w:rPr>
        <w:t>: apžiūrėjęs objektą fiziškai, pateikti rašytines rekomendacijas ir konsultacijas Perkančiajai organizacijai;</w:t>
      </w:r>
      <w:r w:rsidR="00531E39" w:rsidRPr="006971DD">
        <w:rPr>
          <w:rFonts w:ascii="Calibri" w:eastAsia="Times New Roman" w:hAnsi="Calibri" w:cs="Calibri"/>
          <w:sz w:val="24"/>
          <w:szCs w:val="24"/>
          <w:lang w:eastAsia="lt-LT"/>
          <w14:ligatures w14:val="none"/>
        </w:rPr>
        <w:t>.</w:t>
      </w:r>
    </w:p>
    <w:p w14:paraId="0052E4F4" w14:textId="0701A36A" w:rsidR="00915B93" w:rsidRPr="006971DD" w:rsidRDefault="00624EB1" w:rsidP="00624EB1">
      <w:pPr>
        <w:widowControl w:val="0"/>
        <w:numPr>
          <w:ilvl w:val="1"/>
          <w:numId w:val="1"/>
        </w:numPr>
        <w:tabs>
          <w:tab w:val="left" w:pos="360"/>
          <w:tab w:val="left" w:pos="993"/>
        </w:tabs>
        <w:autoSpaceDE w:val="0"/>
        <w:autoSpaceDN w:val="0"/>
        <w:adjustRightInd w:val="0"/>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4F2A17" w:rsidRPr="006971DD">
        <w:rPr>
          <w:rFonts w:ascii="Calibri" w:eastAsia="Times New Roman" w:hAnsi="Calibri" w:cs="Calibri"/>
          <w:sz w:val="24"/>
          <w:szCs w:val="24"/>
          <w:lang w:eastAsia="lt-LT"/>
          <w14:ligatures w14:val="none"/>
        </w:rPr>
        <w:t>Tiekėjas, gavęs užklausą iš Perkančiosios organizacijos ir žinodamas, kad negalės pateikti atsakymo per nustatytą terminą, privalo nedelsdamas, bet ne vėliau kaip per 3 darbo dienas, apie tai informuoti Perkančiąją organizaciją, nurodydamas vėlavimo priežastis ir numatomą atsakymo pateikimo terminą.</w:t>
      </w:r>
    </w:p>
    <w:p w14:paraId="58D766D5" w14:textId="5C4BB7C7" w:rsidR="00915B93" w:rsidRPr="006971DD" w:rsidRDefault="00624EB1" w:rsidP="00624EB1">
      <w:pPr>
        <w:widowControl w:val="0"/>
        <w:numPr>
          <w:ilvl w:val="1"/>
          <w:numId w:val="1"/>
        </w:numPr>
        <w:tabs>
          <w:tab w:val="left" w:pos="360"/>
          <w:tab w:val="left" w:pos="993"/>
        </w:tabs>
        <w:autoSpaceDE w:val="0"/>
        <w:autoSpaceDN w:val="0"/>
        <w:adjustRightInd w:val="0"/>
        <w:spacing w:after="0" w:line="360" w:lineRule="auto"/>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Konsultacijos ir rekomendacijos gali būti suteiktos naudojantis informacinėmis komunikacinėmis technologijomis – internetinėmis bendradarbiavimo ir komunikacijos programomis, el. paštu.</w:t>
      </w:r>
      <w:r w:rsidR="00C72230" w:rsidRPr="006971DD">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Teikiant konsultacijas ir rekomendacijas el. paštu, atsakymas persiunčiamas Perkančiajai organizacijai. Teikiant konsultacijas internetinėmis bendradarbiavimo ir komunikacijos programomis, atsakymas įrašomas ir pateikiamas Perkančiajai organizacijai</w:t>
      </w:r>
      <w:r w:rsidR="00531E39" w:rsidRPr="006971DD">
        <w:rPr>
          <w:rFonts w:ascii="Calibri" w:eastAsia="Times New Roman" w:hAnsi="Calibri" w:cs="Calibri"/>
          <w:sz w:val="24"/>
          <w:szCs w:val="24"/>
          <w:lang w:eastAsia="lt-LT"/>
          <w14:ligatures w14:val="none"/>
        </w:rPr>
        <w:t>.</w:t>
      </w:r>
    </w:p>
    <w:p w14:paraId="600FDCED" w14:textId="18CE63DD" w:rsidR="004F2A17" w:rsidRPr="006971DD" w:rsidRDefault="00624EB1" w:rsidP="00624EB1">
      <w:pPr>
        <w:widowControl w:val="0"/>
        <w:numPr>
          <w:ilvl w:val="1"/>
          <w:numId w:val="1"/>
        </w:numPr>
        <w:tabs>
          <w:tab w:val="left" w:pos="360"/>
          <w:tab w:val="left" w:pos="993"/>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 xml:space="preserve">Tiekėjas kas mėnesį per 10 dienų, pasibaigus ataskaitiniam kalendoriniam mėnesiui, per kurį buvo suteiktos Eksperto paslaugos, pateikia </w:t>
      </w:r>
      <w:r w:rsidR="00C72230" w:rsidRPr="006971DD">
        <w:rPr>
          <w:rFonts w:ascii="Calibri" w:eastAsia="Times New Roman" w:hAnsi="Calibri" w:cs="Calibri"/>
          <w:sz w:val="24"/>
          <w:szCs w:val="24"/>
          <w:lang w:eastAsia="lt-LT"/>
          <w14:ligatures w14:val="none"/>
        </w:rPr>
        <w:t>Perkančiajai organizacijai</w:t>
      </w:r>
      <w:r w:rsidR="00915B93" w:rsidRPr="006971DD">
        <w:rPr>
          <w:rFonts w:ascii="Calibri" w:eastAsia="Times New Roman" w:hAnsi="Calibri" w:cs="Calibri"/>
          <w:sz w:val="24"/>
          <w:szCs w:val="24"/>
          <w:lang w:eastAsia="lt-LT"/>
          <w14:ligatures w14:val="none"/>
        </w:rPr>
        <w:t xml:space="preserve"> per tą ataskaitinį mėnesį pilnai atsakytų užklausų ataskaitą (</w:t>
      </w:r>
      <w:r w:rsidR="0008670D" w:rsidRPr="006971DD">
        <w:rPr>
          <w:rFonts w:ascii="Calibri" w:eastAsia="Times New Roman" w:hAnsi="Calibri" w:cs="Calibri"/>
          <w:sz w:val="24"/>
          <w:szCs w:val="24"/>
          <w:lang w:eastAsia="lt-LT"/>
          <w14:ligatures w14:val="none"/>
        </w:rPr>
        <w:t>(su Perkančiąja organizacija suderintu formatu, pvz., Word, Excel dokumentu, lentele, sąrašu</w:t>
      </w:r>
      <w:r w:rsidR="00915B93" w:rsidRPr="006971DD">
        <w:rPr>
          <w:rFonts w:ascii="Calibri" w:eastAsia="Times New Roman" w:hAnsi="Calibri" w:cs="Calibri"/>
          <w:sz w:val="24"/>
          <w:szCs w:val="24"/>
          <w:lang w:eastAsia="lt-LT"/>
          <w14:ligatures w14:val="none"/>
        </w:rPr>
        <w:t>) kartu su Paslaugų perdavimo-priėmimo aktu</w:t>
      </w:r>
      <w:r w:rsidR="0008670D" w:rsidRPr="006971DD">
        <w:rPr>
          <w:rFonts w:ascii="Calibri" w:eastAsia="Times New Roman" w:hAnsi="Calibri" w:cs="Calibri"/>
          <w:sz w:val="24"/>
          <w:szCs w:val="24"/>
          <w:lang w:eastAsia="lt-LT"/>
          <w14:ligatures w14:val="none"/>
        </w:rPr>
        <w:t>, jame nurodant per ataskaitinį kalendorinį mėnesį suteiktą valandų skaičių bei nurodant suteiktas paslaugas.</w:t>
      </w:r>
    </w:p>
    <w:p w14:paraId="28E379D7" w14:textId="0EB2A760" w:rsidR="002E1D5F" w:rsidRPr="006971DD" w:rsidRDefault="00624EB1" w:rsidP="006971DD">
      <w:pPr>
        <w:pStyle w:val="Sraopastraipa"/>
        <w:widowControl w:val="0"/>
        <w:numPr>
          <w:ilvl w:val="1"/>
          <w:numId w:val="1"/>
        </w:numPr>
        <w:tabs>
          <w:tab w:val="left" w:pos="360"/>
          <w:tab w:val="left" w:pos="851"/>
          <w:tab w:val="left" w:pos="993"/>
          <w:tab w:val="left" w:pos="1276"/>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2E1D5F" w:rsidRPr="006971DD">
        <w:rPr>
          <w:rFonts w:ascii="Calibri" w:eastAsia="Times New Roman" w:hAnsi="Calibri" w:cs="Calibri"/>
          <w:sz w:val="24"/>
          <w:szCs w:val="24"/>
          <w:lang w:eastAsia="lt-LT"/>
          <w14:ligatures w14:val="none"/>
        </w:rPr>
        <w:t>Įgyvendinus paslaugas tiekėjas privalo pateikti Perkančiajai organizacijai 10.1</w:t>
      </w:r>
      <w:r w:rsidR="005414AA">
        <w:rPr>
          <w:rFonts w:ascii="Calibri" w:eastAsia="Times New Roman" w:hAnsi="Calibri" w:cs="Calibri"/>
          <w:sz w:val="24"/>
          <w:szCs w:val="24"/>
          <w:lang w:eastAsia="lt-LT"/>
          <w14:ligatures w14:val="none"/>
        </w:rPr>
        <w:t>4</w:t>
      </w:r>
      <w:r w:rsidR="002E1D5F" w:rsidRPr="006971DD">
        <w:rPr>
          <w:rFonts w:ascii="Calibri" w:eastAsia="Times New Roman" w:hAnsi="Calibri" w:cs="Calibri"/>
          <w:sz w:val="24"/>
          <w:szCs w:val="24"/>
          <w:lang w:eastAsia="lt-LT"/>
          <w14:ligatures w14:val="none"/>
        </w:rPr>
        <w:t xml:space="preserve">. punkte, numatytą Perdavimo – priėmimo aktą pasirašymui. Elektroninę sąskaitą už suteiktas Eksperto paslaugas tiekėjas privalo įkelti į SABIS sistemą, ne vėliau kaip per 10 dienų pasibaigus ataskaitiniam kalendoriniam mėnesiui. Perkančioji organizacija su Paslaugų tiekėju atsiskaito </w:t>
      </w:r>
      <w:r w:rsidR="002E1D5F" w:rsidRPr="006971DD">
        <w:rPr>
          <w:rFonts w:ascii="Calibri" w:eastAsia="Times New Roman" w:hAnsi="Calibri" w:cs="Calibri"/>
          <w:sz w:val="24"/>
          <w:szCs w:val="24"/>
          <w:lang w:eastAsia="lt-LT"/>
          <w14:ligatures w14:val="none"/>
        </w:rPr>
        <w:lastRenderedPageBreak/>
        <w:t>ne vėliau kaip per 30 (trisdešimt) kalendorinių dienų nuo sąskaitos gavimo SABIS sistemoje dienos.</w:t>
      </w:r>
    </w:p>
    <w:p w14:paraId="03E35FE6" w14:textId="77777777" w:rsidR="00915B93" w:rsidRPr="006971DD" w:rsidRDefault="00915B93" w:rsidP="006971DD">
      <w:pPr>
        <w:widowControl w:val="0"/>
        <w:numPr>
          <w:ilvl w:val="0"/>
          <w:numId w:val="1"/>
        </w:numPr>
        <w:tabs>
          <w:tab w:val="left" w:pos="360"/>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Perkančioji organizacija neįsipareigoja pateikti užklausų pagal visas šioje techninėje specifikacijoje nurodytas Eksperto paslaugų sritis. </w:t>
      </w:r>
    </w:p>
    <w:p w14:paraId="0865E58F" w14:textId="6BD37732" w:rsidR="002E1D5F" w:rsidRPr="006971DD" w:rsidRDefault="002E1D5F" w:rsidP="006971DD">
      <w:pPr>
        <w:widowControl w:val="0"/>
        <w:numPr>
          <w:ilvl w:val="0"/>
          <w:numId w:val="1"/>
        </w:numPr>
        <w:tabs>
          <w:tab w:val="left" w:pos="360"/>
          <w:tab w:val="left" w:pos="1418"/>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Tiekėjas, atsižvelgdamas į gautas užklausas ir preliminariai planuodamas, kad bus pasiektas šios techninės specifikacijos </w:t>
      </w:r>
      <w:r w:rsidR="00624B14" w:rsidRPr="006971DD">
        <w:rPr>
          <w:rFonts w:ascii="Calibri" w:eastAsia="Times New Roman" w:hAnsi="Calibri" w:cs="Calibri"/>
          <w:sz w:val="24"/>
          <w:szCs w:val="24"/>
          <w:lang w:eastAsia="lt-LT"/>
          <w14:ligatures w14:val="none"/>
        </w:rPr>
        <w:t>7</w:t>
      </w:r>
      <w:r w:rsidRPr="006971DD">
        <w:rPr>
          <w:rFonts w:ascii="Calibri" w:eastAsia="Times New Roman" w:hAnsi="Calibri" w:cs="Calibri"/>
          <w:sz w:val="24"/>
          <w:szCs w:val="24"/>
          <w:lang w:eastAsia="lt-LT"/>
          <w14:ligatures w14:val="none"/>
        </w:rPr>
        <w:t xml:space="preserve"> punkte nurodytas paslaugų skaičius (valandomis), įsipareigoja nedelsiant raštu ar el. paštu informuoti Perkančiąją organizaciją apie planuojamą pasiekti paslaugų apimtį.</w:t>
      </w:r>
    </w:p>
    <w:p w14:paraId="44E2BEAA" w14:textId="637869B8" w:rsidR="00915B93" w:rsidRPr="006971DD" w:rsidRDefault="00915B93" w:rsidP="006971DD">
      <w:pPr>
        <w:widowControl w:val="0"/>
        <w:numPr>
          <w:ilvl w:val="0"/>
          <w:numId w:val="1"/>
        </w:numPr>
        <w:tabs>
          <w:tab w:val="left" w:pos="360"/>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Eksperto paslaugos turės būti teikiamos vadovaujantis galiojančiais ES ir nacionaliniais teisės aktais, EK pozicija ir rekomendacijomis konkrečioje Eksperto paslaugų srityje, teismine praktika ir pan. Esant poreikiui Eksperto paslaugos </w:t>
      </w:r>
      <w:r w:rsidR="002E1D5F" w:rsidRPr="006971DD">
        <w:rPr>
          <w:rFonts w:ascii="Calibri" w:eastAsia="Times New Roman" w:hAnsi="Calibri" w:cs="Calibri"/>
          <w:sz w:val="24"/>
          <w:szCs w:val="24"/>
          <w:lang w:eastAsia="lt-LT"/>
          <w14:ligatures w14:val="none"/>
        </w:rPr>
        <w:t>Tie</w:t>
      </w:r>
      <w:r w:rsidRPr="006971DD">
        <w:rPr>
          <w:rFonts w:ascii="Calibri" w:eastAsia="Times New Roman" w:hAnsi="Calibri" w:cs="Calibri"/>
          <w:sz w:val="24"/>
          <w:szCs w:val="24"/>
          <w:lang w:eastAsia="lt-LT"/>
          <w14:ligatures w14:val="none"/>
        </w:rPr>
        <w:t>kėjo gali būti prašoma remtis gerąja kitų ES šalių patirtimi bei apibendrinti ES šalių narių patirtį konkrečioje srityje vadovaujantis moksliniais metodais.</w:t>
      </w:r>
    </w:p>
    <w:p w14:paraId="0F19F5A7" w14:textId="37E52B20" w:rsidR="002E1D5F" w:rsidRPr="006971DD" w:rsidRDefault="002E1D5F" w:rsidP="006971DD">
      <w:pPr>
        <w:widowControl w:val="0"/>
        <w:numPr>
          <w:ilvl w:val="0"/>
          <w:numId w:val="1"/>
        </w:numPr>
        <w:tabs>
          <w:tab w:val="left" w:pos="360"/>
          <w:tab w:val="left" w:pos="1418"/>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Tiekėjas, pastebėjęs teisės aktuose, kuriais remiantis teikiamos Paslaugos, netikslumų, neatitikimų ar dviprasmybių, privalo informuoti Perkančiąją organizaciją ir pateikti pagrįstus siūlymus dėl teisės aktų koregavimo inicijavimo. Tiekėjo teikiami siūlymai turi būti argumentuoti.</w:t>
      </w:r>
    </w:p>
    <w:p w14:paraId="49B95DDE" w14:textId="77777777" w:rsidR="00915B93" w:rsidRPr="006971DD" w:rsidRDefault="00915B93" w:rsidP="006971DD">
      <w:pPr>
        <w:widowControl w:val="0"/>
        <w:numPr>
          <w:ilvl w:val="0"/>
          <w:numId w:val="1"/>
        </w:numPr>
        <w:tabs>
          <w:tab w:val="left" w:pos="360"/>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Tiekėjo atskaitomybės reikalavimai:</w:t>
      </w:r>
    </w:p>
    <w:p w14:paraId="4D4EDB00" w14:textId="7B22EC36" w:rsidR="00750E08" w:rsidRPr="006971DD" w:rsidRDefault="00624EB1"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750E08" w:rsidRPr="006971DD">
        <w:rPr>
          <w:rFonts w:ascii="Calibri" w:eastAsia="Times New Roman" w:hAnsi="Calibri" w:cs="Calibri"/>
          <w:sz w:val="24"/>
          <w:szCs w:val="24"/>
          <w:lang w:eastAsia="lt-LT"/>
          <w14:ligatures w14:val="none"/>
        </w:rPr>
        <w:t>Tiekėjas privalo užtikrinti gautos informacijos konfidencialumą;</w:t>
      </w:r>
    </w:p>
    <w:p w14:paraId="6752ECE1" w14:textId="3FFBFE33" w:rsidR="00915B93" w:rsidRPr="006971DD" w:rsidRDefault="00915B93"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 Susitikimai. Perkančiosios organizacijos ir Tiekėjo susitikima</w:t>
      </w:r>
      <w:r w:rsidR="002E1D5F" w:rsidRPr="006971DD">
        <w:rPr>
          <w:rFonts w:ascii="Calibri" w:eastAsia="Times New Roman" w:hAnsi="Calibri" w:cs="Calibri"/>
          <w:sz w:val="24"/>
          <w:szCs w:val="24"/>
          <w:lang w:eastAsia="lt-LT"/>
          <w14:ligatures w14:val="none"/>
        </w:rPr>
        <w:t>i</w:t>
      </w:r>
      <w:r w:rsidRPr="006971DD">
        <w:rPr>
          <w:rFonts w:ascii="Calibri" w:eastAsia="Times New Roman" w:hAnsi="Calibri" w:cs="Calibri"/>
          <w:sz w:val="24"/>
          <w:szCs w:val="24"/>
          <w:lang w:eastAsia="lt-LT"/>
          <w14:ligatures w14:val="none"/>
        </w:rPr>
        <w:t xml:space="preserve"> dėl Eksperto paslaugų teikimo sutarties vykdymo organizuojamas pagal poreikį, pradedant nuo paslaugų teikimo sutarties įsigaliojimo dienos. Susitikimai vyksta fiziškai dalyvaujant Tiekėjui adresu Švitrigailos g. 1</w:t>
      </w:r>
      <w:r w:rsidR="004F2A17" w:rsidRPr="006971DD">
        <w:rPr>
          <w:rFonts w:ascii="Calibri" w:eastAsia="Times New Roman" w:hAnsi="Calibri" w:cs="Calibri"/>
          <w:sz w:val="24"/>
          <w:szCs w:val="24"/>
          <w:lang w:eastAsia="lt-LT"/>
          <w14:ligatures w14:val="none"/>
        </w:rPr>
        <w:t>1 E</w:t>
      </w:r>
      <w:r w:rsidRPr="006971DD">
        <w:rPr>
          <w:rFonts w:ascii="Calibri" w:eastAsia="Times New Roman" w:hAnsi="Calibri" w:cs="Calibri"/>
          <w:sz w:val="24"/>
          <w:szCs w:val="24"/>
          <w:lang w:eastAsia="lt-LT"/>
          <w14:ligatures w14:val="none"/>
        </w:rPr>
        <w:t>, Vilniuje</w:t>
      </w:r>
      <w:r w:rsidR="002E1D5F" w:rsidRPr="006971DD">
        <w:rPr>
          <w:rFonts w:ascii="Calibri" w:eastAsia="Times New Roman" w:hAnsi="Calibri" w:cs="Calibri"/>
          <w:sz w:val="24"/>
          <w:szCs w:val="24"/>
          <w:lang w:eastAsia="lt-LT"/>
          <w14:ligatures w14:val="none"/>
        </w:rPr>
        <w:t>, Kalvarijų g. 147, Vilniuje</w:t>
      </w:r>
      <w:r w:rsidRPr="006971DD">
        <w:rPr>
          <w:rFonts w:ascii="Calibri" w:eastAsia="Times New Roman" w:hAnsi="Calibri" w:cs="Calibri"/>
          <w:sz w:val="24"/>
          <w:szCs w:val="24"/>
          <w:lang w:eastAsia="lt-LT"/>
          <w14:ligatures w14:val="none"/>
        </w:rPr>
        <w:t xml:space="preserve"> arba  internetinėmis bendradarbiavimo ir komunikacijos programomis</w:t>
      </w:r>
      <w:r w:rsidR="00531E39" w:rsidRPr="006971DD">
        <w:rPr>
          <w:rFonts w:ascii="Calibri" w:eastAsia="Times New Roman" w:hAnsi="Calibri" w:cs="Calibri"/>
          <w:sz w:val="24"/>
          <w:szCs w:val="24"/>
          <w:lang w:eastAsia="lt-LT"/>
          <w14:ligatures w14:val="none"/>
        </w:rPr>
        <w:t>.</w:t>
      </w:r>
    </w:p>
    <w:p w14:paraId="73566EC5" w14:textId="71A4394F" w:rsidR="00915B93" w:rsidRPr="006971DD" w:rsidRDefault="00624EB1"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t xml:space="preserve"> </w:t>
      </w:r>
      <w:r w:rsidR="00915B93" w:rsidRPr="006971DD">
        <w:rPr>
          <w:rFonts w:ascii="Calibri" w:eastAsia="Times New Roman" w:hAnsi="Calibri" w:cs="Calibri"/>
          <w:sz w:val="24"/>
          <w:szCs w:val="24"/>
          <w:lang w:eastAsia="lt-LT"/>
          <w14:ligatures w14:val="none"/>
        </w:rPr>
        <w:t xml:space="preserve">Tarpinės sutarties vykdymo ataskaitos. Tiekėjas kas mėnesį per 10 dienų, pasibaigus ataskaitiniam kalendoriniam mėnesiui, per kurį buvo suteiktos Eksperto paslaugos, pateikia </w:t>
      </w:r>
      <w:r w:rsidR="002E1D5F" w:rsidRPr="006971DD">
        <w:rPr>
          <w:rFonts w:ascii="Calibri" w:eastAsia="Times New Roman" w:hAnsi="Calibri" w:cs="Calibri"/>
          <w:sz w:val="24"/>
          <w:szCs w:val="24"/>
          <w:lang w:eastAsia="lt-LT"/>
          <w14:ligatures w14:val="none"/>
        </w:rPr>
        <w:t xml:space="preserve">Perkančiajai organizacijai </w:t>
      </w:r>
      <w:r w:rsidR="00915B93" w:rsidRPr="006971DD">
        <w:rPr>
          <w:rFonts w:ascii="Calibri" w:eastAsia="Times New Roman" w:hAnsi="Calibri" w:cs="Calibri"/>
          <w:sz w:val="24"/>
          <w:szCs w:val="24"/>
          <w:lang w:eastAsia="lt-LT"/>
          <w14:ligatures w14:val="none"/>
        </w:rPr>
        <w:t>per tą ataskaitinį mėnesį pilnai atsakytų užklausų ataskaitą kartu su Paslaugų perdavimo-priėmimo aktu (valandomis, gautų konsultacijų žodžiu, gautų konsultacijų žodžiu skaičius). Reikalavimai atsakytų užklausų ataskaitai pateikiami 10.</w:t>
      </w:r>
      <w:r w:rsidR="002E1D5F" w:rsidRPr="006971DD">
        <w:rPr>
          <w:rFonts w:ascii="Calibri" w:eastAsia="Times New Roman" w:hAnsi="Calibri" w:cs="Calibri"/>
          <w:sz w:val="24"/>
          <w:szCs w:val="24"/>
          <w:lang w:eastAsia="lt-LT"/>
          <w14:ligatures w14:val="none"/>
        </w:rPr>
        <w:t>13</w:t>
      </w:r>
      <w:r w:rsidR="00915B93" w:rsidRPr="006971DD">
        <w:rPr>
          <w:rFonts w:ascii="Calibri" w:eastAsia="Times New Roman" w:hAnsi="Calibri" w:cs="Calibri"/>
          <w:sz w:val="24"/>
          <w:szCs w:val="24"/>
          <w:lang w:eastAsia="lt-LT"/>
          <w14:ligatures w14:val="none"/>
        </w:rPr>
        <w:t>. papunktyje</w:t>
      </w:r>
      <w:r w:rsidR="00531E39" w:rsidRPr="006971DD">
        <w:rPr>
          <w:rFonts w:ascii="Calibri" w:eastAsia="Times New Roman" w:hAnsi="Calibri" w:cs="Calibri"/>
          <w:sz w:val="24"/>
          <w:szCs w:val="24"/>
          <w:lang w:eastAsia="lt-LT"/>
          <w14:ligatures w14:val="none"/>
        </w:rPr>
        <w:t>.</w:t>
      </w:r>
    </w:p>
    <w:p w14:paraId="55E45F25" w14:textId="3EDB622A" w:rsidR="00915B93" w:rsidRPr="006971DD" w:rsidRDefault="00624EB1" w:rsidP="00624EB1">
      <w:pPr>
        <w:widowControl w:val="0"/>
        <w:numPr>
          <w:ilvl w:val="1"/>
          <w:numId w:val="1"/>
        </w:numPr>
        <w:tabs>
          <w:tab w:val="left" w:pos="360"/>
          <w:tab w:val="left" w:pos="851"/>
        </w:tabs>
        <w:autoSpaceDE w:val="0"/>
        <w:autoSpaceDN w:val="0"/>
        <w:adjustRightInd w:val="0"/>
        <w:spacing w:after="0" w:line="360" w:lineRule="auto"/>
        <w:ind w:left="714" w:hanging="357"/>
        <w:rPr>
          <w:rFonts w:ascii="Calibri" w:eastAsia="Times New Roman" w:hAnsi="Calibri" w:cs="Calibri"/>
          <w:sz w:val="24"/>
          <w:szCs w:val="24"/>
          <w:lang w:eastAsia="lt-LT"/>
          <w14:ligatures w14:val="none"/>
        </w:rPr>
      </w:pPr>
      <w:r>
        <w:rPr>
          <w:rFonts w:ascii="Calibri" w:eastAsia="Times New Roman" w:hAnsi="Calibri" w:cs="Calibri"/>
          <w:sz w:val="24"/>
          <w:szCs w:val="24"/>
          <w:lang w:eastAsia="lt-LT"/>
          <w14:ligatures w14:val="none"/>
        </w:rPr>
        <w:lastRenderedPageBreak/>
        <w:t xml:space="preserve"> </w:t>
      </w:r>
      <w:r w:rsidR="00915B93" w:rsidRPr="006971DD">
        <w:rPr>
          <w:rFonts w:ascii="Calibri" w:eastAsia="Times New Roman" w:hAnsi="Calibri" w:cs="Calibri"/>
          <w:sz w:val="24"/>
          <w:szCs w:val="24"/>
          <w:lang w:eastAsia="lt-LT"/>
          <w14:ligatures w14:val="none"/>
        </w:rPr>
        <w:t xml:space="preserve">Galutinė sutarties vykdymo ataskaita. Sutarties vykdymo pabaigoje Tiekėjas parengia galutinę sutarties vykdymo ataskaitą. Galutinės sutarties vykdymo ataskaitos projektas pateikiamas  </w:t>
      </w:r>
      <w:r w:rsidR="00C72230" w:rsidRPr="006971DD">
        <w:rPr>
          <w:rFonts w:ascii="Calibri" w:eastAsia="Times New Roman" w:hAnsi="Calibri" w:cs="Calibri"/>
          <w:sz w:val="24"/>
          <w:szCs w:val="24"/>
          <w:lang w:eastAsia="lt-LT"/>
          <w14:ligatures w14:val="none"/>
        </w:rPr>
        <w:t xml:space="preserve">Perkančiajai organizacijai </w:t>
      </w:r>
      <w:r w:rsidR="00915B93" w:rsidRPr="006971DD">
        <w:rPr>
          <w:rFonts w:ascii="Calibri" w:eastAsia="Times New Roman" w:hAnsi="Calibri" w:cs="Calibri"/>
          <w:sz w:val="24"/>
          <w:szCs w:val="24"/>
          <w:lang w:eastAsia="lt-LT"/>
          <w14:ligatures w14:val="none"/>
        </w:rPr>
        <w:t>tvirtinti likus ne mažiau kaip 5 kalendorines dienas iki paslaugų teikimo sutarties galiojimo termino pabaigos. Galutinėje sutarties vykdymo ataskaitoje apibendrinami atliktų paslaugų rezultatai ir atsiskaitoma už visas suformuotas ir pateiktas užduotis, pateikiant informaciją apie ekspertų suteiktas paslaugas (valandomis, gautų konsultacijų raštu, gautų konsultacijų žodžiu skaičius)</w:t>
      </w:r>
      <w:r w:rsidR="00531E39" w:rsidRPr="006971DD">
        <w:rPr>
          <w:rFonts w:ascii="Calibri" w:eastAsia="Times New Roman" w:hAnsi="Calibri" w:cs="Calibri"/>
          <w:sz w:val="24"/>
          <w:szCs w:val="24"/>
          <w:lang w:eastAsia="lt-LT"/>
          <w14:ligatures w14:val="none"/>
        </w:rPr>
        <w:t>.</w:t>
      </w:r>
    </w:p>
    <w:p w14:paraId="461B4AE2" w14:textId="260D6E4A" w:rsidR="00915B93" w:rsidRPr="006971DD" w:rsidRDefault="00915B93" w:rsidP="00915B93">
      <w:pPr>
        <w:keepNext/>
        <w:widowControl w:val="0"/>
        <w:autoSpaceDE w:val="0"/>
        <w:autoSpaceDN w:val="0"/>
        <w:adjustRightInd w:val="0"/>
        <w:spacing w:before="240" w:after="240" w:line="240" w:lineRule="auto"/>
        <w:ind w:left="1440" w:hanging="720"/>
        <w:outlineLvl w:val="1"/>
        <w:rPr>
          <w:rFonts w:ascii="Calibri" w:eastAsia="Times New Roman" w:hAnsi="Calibri" w:cs="Calibri"/>
          <w:b/>
          <w:bCs/>
          <w:iCs/>
          <w:caps/>
          <w:kern w:val="2"/>
          <w:sz w:val="24"/>
          <w:szCs w:val="24"/>
          <w:lang w:eastAsia="lt-LT"/>
        </w:rPr>
      </w:pPr>
      <w:r w:rsidRPr="006971DD">
        <w:rPr>
          <w:rFonts w:ascii="Calibri" w:eastAsia="Times New Roman" w:hAnsi="Calibri" w:cs="Calibri"/>
          <w:b/>
          <w:bCs/>
          <w:iCs/>
          <w:caps/>
          <w:kern w:val="2"/>
          <w:sz w:val="24"/>
          <w:szCs w:val="24"/>
          <w:lang w:eastAsia="lt-LT"/>
        </w:rPr>
        <w:t>APLINKOSAUGINIAI REIKALAVIMAI</w:t>
      </w:r>
    </w:p>
    <w:p w14:paraId="20148EC7" w14:textId="022475F0" w:rsidR="00915B93" w:rsidRPr="006971DD" w:rsidRDefault="00915B93" w:rsidP="00E82953">
      <w:pPr>
        <w:pStyle w:val="Sraopastraipa"/>
        <w:widowControl w:val="0"/>
        <w:numPr>
          <w:ilvl w:val="0"/>
          <w:numId w:val="1"/>
        </w:numPr>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 </w:t>
      </w:r>
      <w:r w:rsidR="004F2A17" w:rsidRPr="006971DD">
        <w:rPr>
          <w:rFonts w:ascii="Calibri" w:eastAsia="Times New Roman" w:hAnsi="Calibri" w:cs="Calibri"/>
          <w:sz w:val="24"/>
          <w:szCs w:val="24"/>
          <w:lang w:eastAsia="lt-LT"/>
          <w14:ligatures w14:val="none"/>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FB6377E" w14:textId="77777777" w:rsidR="00915B93" w:rsidRPr="006971DD" w:rsidRDefault="00915B93" w:rsidP="00915B93">
      <w:pPr>
        <w:widowControl w:val="0"/>
        <w:autoSpaceDE w:val="0"/>
        <w:autoSpaceDN w:val="0"/>
        <w:adjustRightInd w:val="0"/>
        <w:spacing w:after="0" w:line="360" w:lineRule="auto"/>
        <w:ind w:firstLine="720"/>
        <w:rPr>
          <w:rFonts w:ascii="Calibri" w:eastAsia="Times New Roman" w:hAnsi="Calibri" w:cs="Calibri"/>
          <w:b/>
          <w:bCs/>
          <w:sz w:val="24"/>
          <w:szCs w:val="24"/>
          <w:lang w:eastAsia="lt-LT"/>
          <w14:ligatures w14:val="none"/>
        </w:rPr>
      </w:pPr>
    </w:p>
    <w:p w14:paraId="1C7BB664" w14:textId="76CBD6ED" w:rsidR="00915B93" w:rsidRPr="006971DD" w:rsidRDefault="00915B93" w:rsidP="005414AA">
      <w:pPr>
        <w:widowControl w:val="0"/>
        <w:autoSpaceDE w:val="0"/>
        <w:autoSpaceDN w:val="0"/>
        <w:adjustRightInd w:val="0"/>
        <w:spacing w:before="240" w:after="240" w:line="360" w:lineRule="auto"/>
        <w:ind w:firstLine="720"/>
        <w:rPr>
          <w:rFonts w:ascii="Calibri" w:eastAsia="Times New Roman" w:hAnsi="Calibri" w:cs="Calibri"/>
          <w:b/>
          <w:bCs/>
          <w:sz w:val="24"/>
          <w:szCs w:val="24"/>
          <w:lang w:eastAsia="lt-LT"/>
          <w14:ligatures w14:val="none"/>
        </w:rPr>
      </w:pPr>
      <w:r w:rsidRPr="006971DD">
        <w:rPr>
          <w:rFonts w:ascii="Calibri" w:eastAsia="Times New Roman" w:hAnsi="Calibri" w:cs="Calibri"/>
          <w:b/>
          <w:bCs/>
          <w:sz w:val="24"/>
          <w:szCs w:val="24"/>
          <w:lang w:eastAsia="lt-LT"/>
          <w14:ligatures w14:val="none"/>
        </w:rPr>
        <w:t>SPECIALIEJI REIKALAVIMAI</w:t>
      </w:r>
    </w:p>
    <w:p w14:paraId="5110D718" w14:textId="4BCD2153" w:rsidR="00915B93" w:rsidRPr="006971DD" w:rsidRDefault="00915B93" w:rsidP="00E82953">
      <w:pPr>
        <w:pStyle w:val="Sraopastraipa"/>
        <w:widowControl w:val="0"/>
        <w:numPr>
          <w:ilvl w:val="0"/>
          <w:numId w:val="1"/>
        </w:numPr>
        <w:autoSpaceDE w:val="0"/>
        <w:autoSpaceDN w:val="0"/>
        <w:adjustRightInd w:val="0"/>
        <w:spacing w:after="0" w:line="360" w:lineRule="auto"/>
        <w:rPr>
          <w:rFonts w:ascii="Calibri" w:eastAsia="Times New Roman" w:hAnsi="Calibri" w:cs="Calibri"/>
          <w:sz w:val="24"/>
          <w:szCs w:val="24"/>
          <w:lang w:eastAsia="lt-LT"/>
          <w14:ligatures w14:val="none"/>
        </w:rPr>
      </w:pPr>
      <w:r w:rsidRPr="006971DD">
        <w:rPr>
          <w:rFonts w:ascii="Calibri" w:eastAsia="Times New Roman" w:hAnsi="Calibri" w:cs="Calibri"/>
          <w:sz w:val="24"/>
          <w:szCs w:val="24"/>
          <w:lang w:eastAsia="lt-LT"/>
          <w14:ligatures w14:val="none"/>
        </w:rPr>
        <w:t xml:space="preserve"> Visus Paslaugų atlikimo sprendinių projektus Ti</w:t>
      </w:r>
      <w:r w:rsidR="002E1D5F" w:rsidRPr="006971DD">
        <w:rPr>
          <w:rFonts w:ascii="Calibri" w:eastAsia="Times New Roman" w:hAnsi="Calibri" w:cs="Calibri"/>
          <w:sz w:val="24"/>
          <w:szCs w:val="24"/>
          <w:lang w:eastAsia="lt-LT"/>
          <w14:ligatures w14:val="none"/>
        </w:rPr>
        <w:t>e</w:t>
      </w:r>
      <w:r w:rsidRPr="006971DD">
        <w:rPr>
          <w:rFonts w:ascii="Calibri" w:eastAsia="Times New Roman" w:hAnsi="Calibri" w:cs="Calibri"/>
          <w:sz w:val="24"/>
          <w:szCs w:val="24"/>
          <w:lang w:eastAsia="lt-LT"/>
          <w14:ligatures w14:val="none"/>
        </w:rPr>
        <w:t>kėjas turi suderinti su Perkančiąja organizacija ir juos įgyvendinti, tik gavęs Perkančiosios organizacijos sutikimą (leidimą) raštu. Paslaugos, atliktos Ti</w:t>
      </w:r>
      <w:r w:rsidR="002E1D5F" w:rsidRPr="006971DD">
        <w:rPr>
          <w:rFonts w:ascii="Calibri" w:eastAsia="Times New Roman" w:hAnsi="Calibri" w:cs="Calibri"/>
          <w:sz w:val="24"/>
          <w:szCs w:val="24"/>
          <w:lang w:eastAsia="lt-LT"/>
          <w14:ligatures w14:val="none"/>
        </w:rPr>
        <w:t>e</w:t>
      </w:r>
      <w:r w:rsidRPr="006971DD">
        <w:rPr>
          <w:rFonts w:ascii="Calibri" w:eastAsia="Times New Roman" w:hAnsi="Calibri" w:cs="Calibri"/>
          <w:sz w:val="24"/>
          <w:szCs w:val="24"/>
          <w:lang w:eastAsia="lt-LT"/>
          <w14:ligatures w14:val="none"/>
        </w:rPr>
        <w:t>kėjo iniciatyva, negavus rašytinio Perkančiosios organizacijos leidimo, taip pat nesuderintos su Perkančiąja organizacija Paslaugos, nelaikomos sutarties objektu, nebus apmokamos ir tai nebus laikoma sutarties sąlygų pažeidimu.</w:t>
      </w:r>
    </w:p>
    <w:p w14:paraId="0E18997A" w14:textId="77777777" w:rsidR="00915B93" w:rsidRPr="006971DD" w:rsidRDefault="00915B93" w:rsidP="00915B93">
      <w:pPr>
        <w:widowControl w:val="0"/>
        <w:tabs>
          <w:tab w:val="left" w:pos="2552"/>
          <w:tab w:val="left" w:pos="2694"/>
        </w:tabs>
        <w:autoSpaceDE w:val="0"/>
        <w:autoSpaceDN w:val="0"/>
        <w:adjustRightInd w:val="0"/>
        <w:spacing w:before="120" w:after="120" w:line="360" w:lineRule="auto"/>
        <w:rPr>
          <w:rFonts w:ascii="Calibri" w:eastAsia="Times New Roman" w:hAnsi="Calibri" w:cs="Calibri"/>
          <w:b/>
          <w:color w:val="000000"/>
          <w:sz w:val="24"/>
          <w:szCs w:val="24"/>
          <w:lang w:eastAsia="lt-LT"/>
          <w14:ligatures w14:val="none"/>
        </w:rPr>
      </w:pPr>
      <w:r w:rsidRPr="006971DD">
        <w:rPr>
          <w:rFonts w:ascii="Calibri" w:eastAsia="Times New Roman" w:hAnsi="Calibri" w:cs="Calibri"/>
          <w:b/>
          <w:bCs/>
          <w:color w:val="000000"/>
          <w:sz w:val="24"/>
          <w:szCs w:val="24"/>
          <w:lang w:eastAsia="lt-LT"/>
          <w14:ligatures w14:val="none"/>
        </w:rPr>
        <w:lastRenderedPageBreak/>
        <w:t>___________________________</w:t>
      </w:r>
    </w:p>
    <w:p w14:paraId="60C4840E" w14:textId="77777777" w:rsidR="00915B93" w:rsidRPr="006971DD" w:rsidRDefault="00915B93" w:rsidP="00915B93">
      <w:pPr>
        <w:widowControl w:val="0"/>
        <w:autoSpaceDE w:val="0"/>
        <w:autoSpaceDN w:val="0"/>
        <w:adjustRightInd w:val="0"/>
        <w:spacing w:after="0" w:line="240" w:lineRule="auto"/>
        <w:ind w:firstLine="720"/>
        <w:rPr>
          <w:rFonts w:ascii="Calibri" w:eastAsia="Times New Roman" w:hAnsi="Calibri" w:cs="Calibri"/>
          <w:sz w:val="24"/>
          <w:szCs w:val="24"/>
          <w:lang w:eastAsia="lt-LT"/>
          <w14:ligatures w14:val="none"/>
        </w:rPr>
      </w:pPr>
    </w:p>
    <w:p w14:paraId="4EA4752F" w14:textId="77777777" w:rsidR="00831F2E" w:rsidRPr="006971DD" w:rsidRDefault="00831F2E">
      <w:pPr>
        <w:rPr>
          <w:rFonts w:ascii="Calibri" w:hAnsi="Calibri" w:cs="Calibri"/>
          <w:sz w:val="24"/>
          <w:szCs w:val="24"/>
        </w:rPr>
      </w:pPr>
    </w:p>
    <w:sectPr w:rsidR="00831F2E" w:rsidRPr="006971DD" w:rsidSect="00915B93">
      <w:footerReference w:type="even" r:id="rId11"/>
      <w:footerReference w:type="default" r:id="rId12"/>
      <w:footerReference w:type="first" r:id="rId13"/>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843B1" w14:textId="77777777" w:rsidR="00BD4441" w:rsidRDefault="00BD4441" w:rsidP="004F2A17">
      <w:pPr>
        <w:spacing w:after="0" w:line="240" w:lineRule="auto"/>
      </w:pPr>
      <w:r>
        <w:separator/>
      </w:r>
    </w:p>
  </w:endnote>
  <w:endnote w:type="continuationSeparator" w:id="0">
    <w:p w14:paraId="744C4D1C" w14:textId="77777777" w:rsidR="00BD4441" w:rsidRDefault="00BD4441" w:rsidP="004F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DFE4" w14:textId="5C3962C1" w:rsidR="004F2A17" w:rsidRDefault="004F2A17">
    <w:pPr>
      <w:pStyle w:val="Porat"/>
    </w:pPr>
    <w:r>
      <w:rPr>
        <w:noProof/>
      </w:rPr>
      <mc:AlternateContent>
        <mc:Choice Requires="wps">
          <w:drawing>
            <wp:anchor distT="0" distB="0" distL="0" distR="0" simplePos="0" relativeHeight="251659264" behindDoc="0" locked="0" layoutInCell="1" allowOverlap="1" wp14:anchorId="208E7FB9" wp14:editId="00AAE8CD">
              <wp:simplePos x="635" y="635"/>
              <wp:positionH relativeFrom="page">
                <wp:align>left</wp:align>
              </wp:positionH>
              <wp:positionV relativeFrom="page">
                <wp:align>bottom</wp:align>
              </wp:positionV>
              <wp:extent cx="4638040" cy="357505"/>
              <wp:effectExtent l="0" t="0" r="10160" b="0"/>
              <wp:wrapNone/>
              <wp:docPr id="878445882"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306C9157" w14:textId="5010855B"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E7FB9"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1DwIAABsEAAAOAAAAZHJzL2Uyb0RvYy54bWysU8Fu2zAMvQ/YPwi6L3bSpOu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" filled="f" stroked="f">
              <v:textbox style="mso-fit-shape-to-text:t" inset="20pt,0,0,15pt">
                <w:txbxContent>
                  <w:p w14:paraId="306C9157" w14:textId="5010855B"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82323" w14:textId="360F5170" w:rsidR="004F2A17" w:rsidRDefault="004F2A17">
    <w:pPr>
      <w:pStyle w:val="Porat"/>
    </w:pPr>
    <w:r>
      <w:rPr>
        <w:noProof/>
      </w:rPr>
      <mc:AlternateContent>
        <mc:Choice Requires="wps">
          <w:drawing>
            <wp:anchor distT="0" distB="0" distL="0" distR="0" simplePos="0" relativeHeight="251660288" behindDoc="0" locked="0" layoutInCell="1" allowOverlap="1" wp14:anchorId="04B3F561" wp14:editId="7D627710">
              <wp:simplePos x="1082040" y="9433560"/>
              <wp:positionH relativeFrom="page">
                <wp:align>left</wp:align>
              </wp:positionH>
              <wp:positionV relativeFrom="page">
                <wp:align>bottom</wp:align>
              </wp:positionV>
              <wp:extent cx="4638040" cy="357505"/>
              <wp:effectExtent l="0" t="0" r="10160" b="0"/>
              <wp:wrapNone/>
              <wp:docPr id="76213838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3B0EAA79" w14:textId="3CAEB122"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B3F561"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7FEgIAACIEAAAOAAAAZHJzL2Uyb0RvYy54bWysU99v2jAQfp+0/8Hy+0ig0HU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" filled="f" stroked="f">
              <v:textbox style="mso-fit-shape-to-text:t" inset="20pt,0,0,15pt">
                <w:txbxContent>
                  <w:p w14:paraId="3B0EAA79" w14:textId="3CAEB122"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82656" w14:textId="090BE17C" w:rsidR="004F2A17" w:rsidRDefault="004F2A17">
    <w:pPr>
      <w:pStyle w:val="Porat"/>
    </w:pPr>
    <w:r>
      <w:rPr>
        <w:noProof/>
      </w:rPr>
      <mc:AlternateContent>
        <mc:Choice Requires="wps">
          <w:drawing>
            <wp:anchor distT="0" distB="0" distL="0" distR="0" simplePos="0" relativeHeight="251658240" behindDoc="0" locked="0" layoutInCell="1" allowOverlap="1" wp14:anchorId="27D60320" wp14:editId="13105AD8">
              <wp:simplePos x="635" y="635"/>
              <wp:positionH relativeFrom="page">
                <wp:align>left</wp:align>
              </wp:positionH>
              <wp:positionV relativeFrom="page">
                <wp:align>bottom</wp:align>
              </wp:positionV>
              <wp:extent cx="4638040" cy="357505"/>
              <wp:effectExtent l="0" t="0" r="10160" b="0"/>
              <wp:wrapNone/>
              <wp:docPr id="1991749903"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3D9400BB" w14:textId="71ECCF49"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60320"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v2HFAIAACI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" filled="f" stroked="f">
              <v:textbox style="mso-fit-shape-to-text:t" inset="20pt,0,0,15pt">
                <w:txbxContent>
                  <w:p w14:paraId="3D9400BB" w14:textId="71ECCF49" w:rsidR="004F2A17" w:rsidRPr="004F2A17" w:rsidRDefault="004F2A17" w:rsidP="004F2A17">
                    <w:pPr>
                      <w:spacing w:after="0"/>
                      <w:rPr>
                        <w:rFonts w:ascii="Calibri" w:eastAsia="Calibri" w:hAnsi="Calibri" w:cs="Calibri"/>
                        <w:noProof/>
                        <w:color w:val="000000"/>
                        <w:sz w:val="20"/>
                        <w:szCs w:val="20"/>
                      </w:rPr>
                    </w:pPr>
                    <w:r w:rsidRPr="004F2A17">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94E4E" w14:textId="77777777" w:rsidR="00BD4441" w:rsidRDefault="00BD4441" w:rsidP="004F2A17">
      <w:pPr>
        <w:spacing w:after="0" w:line="240" w:lineRule="auto"/>
      </w:pPr>
      <w:r>
        <w:separator/>
      </w:r>
    </w:p>
  </w:footnote>
  <w:footnote w:type="continuationSeparator" w:id="0">
    <w:p w14:paraId="00158653" w14:textId="77777777" w:rsidR="00BD4441" w:rsidRDefault="00BD4441" w:rsidP="004F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D4912"/>
    <w:multiLevelType w:val="multilevel"/>
    <w:tmpl w:val="65BAF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CB31E5"/>
    <w:multiLevelType w:val="hybridMultilevel"/>
    <w:tmpl w:val="D070EB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6B7446C"/>
    <w:multiLevelType w:val="hybridMultilevel"/>
    <w:tmpl w:val="5E8C8B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129155206">
    <w:abstractNumId w:val="0"/>
  </w:num>
  <w:num w:numId="2" w16cid:durableId="936594374">
    <w:abstractNumId w:val="1"/>
  </w:num>
  <w:num w:numId="3" w16cid:durableId="256594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5F"/>
    <w:rsid w:val="000341F7"/>
    <w:rsid w:val="0008670D"/>
    <w:rsid w:val="001F3904"/>
    <w:rsid w:val="0022228A"/>
    <w:rsid w:val="002613C9"/>
    <w:rsid w:val="002E1D5F"/>
    <w:rsid w:val="002F0E75"/>
    <w:rsid w:val="00305B5F"/>
    <w:rsid w:val="003952EA"/>
    <w:rsid w:val="0041706F"/>
    <w:rsid w:val="004E6799"/>
    <w:rsid w:val="004F2A17"/>
    <w:rsid w:val="00505910"/>
    <w:rsid w:val="00531E39"/>
    <w:rsid w:val="005414AA"/>
    <w:rsid w:val="00547D76"/>
    <w:rsid w:val="00561C79"/>
    <w:rsid w:val="005B3C6F"/>
    <w:rsid w:val="0061347B"/>
    <w:rsid w:val="00624B14"/>
    <w:rsid w:val="00624EB1"/>
    <w:rsid w:val="006971DD"/>
    <w:rsid w:val="00750E08"/>
    <w:rsid w:val="007A6AAE"/>
    <w:rsid w:val="00814656"/>
    <w:rsid w:val="00831F2E"/>
    <w:rsid w:val="00834196"/>
    <w:rsid w:val="00915B93"/>
    <w:rsid w:val="009507D8"/>
    <w:rsid w:val="009D3FA1"/>
    <w:rsid w:val="00A906E9"/>
    <w:rsid w:val="00B27882"/>
    <w:rsid w:val="00BD4441"/>
    <w:rsid w:val="00C709FE"/>
    <w:rsid w:val="00C72230"/>
    <w:rsid w:val="00E07A44"/>
    <w:rsid w:val="00E763F5"/>
    <w:rsid w:val="00E82953"/>
    <w:rsid w:val="00EB216F"/>
    <w:rsid w:val="00F13D3F"/>
    <w:rsid w:val="00F95BFE"/>
    <w:rsid w:val="00FB2997"/>
    <w:rsid w:val="00FC13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63C5"/>
  <w15:chartTrackingRefBased/>
  <w15:docId w15:val="{9788EB7E-93E3-44A6-B9B1-859449EB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05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B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B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B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B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B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B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B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B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B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B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B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B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B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B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B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B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B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B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B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B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B5F"/>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link w:val="SraopastraipaDiagrama"/>
    <w:uiPriority w:val="34"/>
    <w:qFormat/>
    <w:rsid w:val="00305B5F"/>
    <w:pPr>
      <w:ind w:left="720"/>
      <w:contextualSpacing/>
    </w:pPr>
  </w:style>
  <w:style w:type="character" w:styleId="Rykuspabraukimas">
    <w:name w:val="Intense Emphasis"/>
    <w:basedOn w:val="Numatytasispastraiposriftas"/>
    <w:uiPriority w:val="21"/>
    <w:qFormat/>
    <w:rsid w:val="00305B5F"/>
    <w:rPr>
      <w:i/>
      <w:iCs/>
      <w:color w:val="0F4761" w:themeColor="accent1" w:themeShade="BF"/>
    </w:rPr>
  </w:style>
  <w:style w:type="paragraph" w:styleId="Iskirtacitata">
    <w:name w:val="Intense Quote"/>
    <w:basedOn w:val="prastasis"/>
    <w:next w:val="prastasis"/>
    <w:link w:val="IskirtacitataDiagrama"/>
    <w:uiPriority w:val="30"/>
    <w:qFormat/>
    <w:rsid w:val="00305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B5F"/>
    <w:rPr>
      <w:i/>
      <w:iCs/>
      <w:color w:val="0F4761" w:themeColor="accent1" w:themeShade="BF"/>
    </w:rPr>
  </w:style>
  <w:style w:type="character" w:styleId="Rykinuoroda">
    <w:name w:val="Intense Reference"/>
    <w:basedOn w:val="Numatytasispastraiposriftas"/>
    <w:uiPriority w:val="32"/>
    <w:qFormat/>
    <w:rsid w:val="00305B5F"/>
    <w:rPr>
      <w:b/>
      <w:bCs/>
      <w:smallCaps/>
      <w:color w:val="0F4761" w:themeColor="accent1" w:themeShade="BF"/>
      <w:spacing w:val="5"/>
    </w:rPr>
  </w:style>
  <w:style w:type="paragraph" w:styleId="Porat">
    <w:name w:val="footer"/>
    <w:basedOn w:val="prastasis"/>
    <w:link w:val="PoratDiagrama"/>
    <w:uiPriority w:val="99"/>
    <w:unhideWhenUsed/>
    <w:rsid w:val="004F2A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A17"/>
  </w:style>
  <w:style w:type="paragraph" w:styleId="Pataisymai">
    <w:name w:val="Revision"/>
    <w:hidden/>
    <w:uiPriority w:val="99"/>
    <w:semiHidden/>
    <w:rsid w:val="00814656"/>
    <w:pPr>
      <w:spacing w:after="0" w:line="240" w:lineRule="auto"/>
    </w:pPr>
  </w:style>
  <w:style w:type="character" w:styleId="Komentaronuoroda">
    <w:name w:val="annotation reference"/>
    <w:basedOn w:val="Numatytasispastraiposriftas"/>
    <w:uiPriority w:val="99"/>
    <w:semiHidden/>
    <w:unhideWhenUsed/>
    <w:rsid w:val="0008670D"/>
    <w:rPr>
      <w:sz w:val="16"/>
      <w:szCs w:val="16"/>
    </w:rPr>
  </w:style>
  <w:style w:type="paragraph" w:styleId="Komentarotekstas">
    <w:name w:val="annotation text"/>
    <w:basedOn w:val="prastasis"/>
    <w:link w:val="KomentarotekstasDiagrama"/>
    <w:uiPriority w:val="99"/>
    <w:unhideWhenUsed/>
    <w:rsid w:val="000867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670D"/>
    <w:rPr>
      <w:sz w:val="20"/>
      <w:szCs w:val="20"/>
    </w:rPr>
  </w:style>
  <w:style w:type="paragraph" w:styleId="Komentarotema">
    <w:name w:val="annotation subject"/>
    <w:basedOn w:val="Komentarotekstas"/>
    <w:next w:val="Komentarotekstas"/>
    <w:link w:val="KomentarotemaDiagrama"/>
    <w:uiPriority w:val="99"/>
    <w:semiHidden/>
    <w:unhideWhenUsed/>
    <w:rsid w:val="0008670D"/>
    <w:rPr>
      <w:b/>
      <w:bCs/>
    </w:rPr>
  </w:style>
  <w:style w:type="character" w:customStyle="1" w:styleId="KomentarotemaDiagrama">
    <w:name w:val="Komentaro tema Diagrama"/>
    <w:basedOn w:val="KomentarotekstasDiagrama"/>
    <w:link w:val="Komentarotema"/>
    <w:uiPriority w:val="99"/>
    <w:semiHidden/>
    <w:rsid w:val="0008670D"/>
    <w:rPr>
      <w:b/>
      <w:bCs/>
      <w:sz w:val="20"/>
      <w:szCs w:val="20"/>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08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dcb43cb3ffaf11e990d5d63c859a8aa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lrs.lt/pls/inter2/dokpaieska.rezult_l?p_nr=&amp;p_nuo=&amp;p_iki=&amp;p_org=&amp;p_drus=&amp;p_kalb_id=1&amp;p_title=Gyvenamieji%20pastatai&amp;p_text=&amp;p_pub=&amp;p_met=&amp;p_lnr=&amp;p_denr=&amp;p_es=0&amp;p_rus=1&amp;p_tid=&amp;p_tkid=&amp;p_t=0&amp;p_tr1=2&amp;p_tr2=2&amp;p_gal=" TargetMode="External"/><Relationship Id="rId4" Type="http://schemas.openxmlformats.org/officeDocument/2006/relationships/settings" Target="settings.xml"/><Relationship Id="rId9" Type="http://schemas.openxmlformats.org/officeDocument/2006/relationships/hyperlink" Target="https://www3.lrs.lt/pls/inter2/dokpaieska.rezult_l?p_nr=&amp;p_nuo=&amp;p_iki=&amp;p_org=&amp;p_drus=&amp;p_kalb_id=1&amp;p_title=Visuomenin%EBs%20paskirties%20statiniai&amp;p_text=&amp;p_pub=&amp;p_met=&amp;p_lnr=&amp;p_denr=&amp;p_es=0&amp;p_rus=1&amp;p_tid=&amp;p_tkid=&amp;p_t=0&amp;p_tr1=2&amp;p_tr2=2&amp;p_g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184B-3F40-4DB4-ADC6-F0DF38C27A09}">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8640</Words>
  <Characters>4925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Buklienė</dc:creator>
  <cp:lastModifiedBy>Jūratė Morkvėnaitė-Paulauskienė</cp:lastModifiedBy>
  <cp:revision>2</cp:revision>
  <dcterms:created xsi:type="dcterms:W3CDTF">2026-02-13T07:55:00Z</dcterms:created>
  <dcterms:modified xsi:type="dcterms:W3CDTF">2026-02-13T07:55:00Z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76b7b10f,345c053a,2d6d4f14</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