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1ED1EF87" w:rsidR="005A5832" w:rsidRPr="003E1BF7" w:rsidRDefault="00C020F9" w:rsidP="00BC23E4">
            <w:pPr>
              <w:pStyle w:val="Body2"/>
              <w:jc w:val="center"/>
              <w:rPr>
                <w:b/>
                <w:bCs/>
                <w:kern w:val="2"/>
                <w:lang w:val="pt-BR"/>
              </w:rPr>
            </w:pPr>
            <w:r w:rsidRPr="00C020F9">
              <w:rPr>
                <w:rFonts w:eastAsia="TimesNewRomanPS-BoldMT" w:cs="Times New Roman"/>
                <w:lang w:val="pt-BR"/>
              </w:rPr>
              <w:t>Vaistinio preparato Koncizumabas 60mg inj. pirkimas pagal 2026-01-27 VLK garantinį raštą Nr. 4K- 2386 (11887)</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061ACD" w:rsidRPr="00333420" w14:paraId="7311A8BA" w14:textId="77777777" w:rsidTr="00236446">
        <w:tc>
          <w:tcPr>
            <w:tcW w:w="2977" w:type="dxa"/>
            <w:gridSpan w:val="2"/>
            <w:vMerge w:val="restart"/>
          </w:tcPr>
          <w:p w14:paraId="4D8F6C47" w14:textId="77777777" w:rsidR="00061ACD" w:rsidRPr="00333420" w:rsidRDefault="00061ACD" w:rsidP="00061ACD">
            <w:pPr>
              <w:rPr>
                <w:b/>
                <w:bCs/>
                <w:kern w:val="2"/>
                <w:sz w:val="22"/>
                <w:szCs w:val="22"/>
              </w:rPr>
            </w:pPr>
          </w:p>
          <w:p w14:paraId="1239C8FF" w14:textId="77777777" w:rsidR="00061ACD" w:rsidRPr="00333420" w:rsidRDefault="00061ACD" w:rsidP="00061ACD">
            <w:pPr>
              <w:rPr>
                <w:b/>
                <w:bCs/>
                <w:kern w:val="2"/>
                <w:sz w:val="22"/>
                <w:szCs w:val="22"/>
              </w:rPr>
            </w:pPr>
          </w:p>
          <w:p w14:paraId="4DE09303" w14:textId="77777777" w:rsidR="00061ACD" w:rsidRPr="00333420" w:rsidRDefault="00061ACD" w:rsidP="00061ACD">
            <w:pPr>
              <w:rPr>
                <w:b/>
                <w:bCs/>
                <w:kern w:val="2"/>
                <w:sz w:val="22"/>
                <w:szCs w:val="22"/>
              </w:rPr>
            </w:pPr>
          </w:p>
          <w:p w14:paraId="3B74B2A8" w14:textId="77777777" w:rsidR="00061ACD" w:rsidRPr="00333420" w:rsidRDefault="00061ACD" w:rsidP="00061ACD">
            <w:pPr>
              <w:rPr>
                <w:b/>
                <w:bCs/>
                <w:kern w:val="2"/>
                <w:sz w:val="22"/>
                <w:szCs w:val="22"/>
              </w:rPr>
            </w:pPr>
            <w:r w:rsidRPr="00333420">
              <w:rPr>
                <w:b/>
                <w:bCs/>
                <w:kern w:val="2"/>
                <w:sz w:val="22"/>
                <w:szCs w:val="22"/>
              </w:rPr>
              <w:t>1.2. Tiekėjas</w:t>
            </w:r>
          </w:p>
          <w:p w14:paraId="06F6A556" w14:textId="77777777" w:rsidR="00061ACD" w:rsidRPr="00333420" w:rsidRDefault="00061ACD" w:rsidP="00061ACD">
            <w:pPr>
              <w:rPr>
                <w:b/>
                <w:bCs/>
                <w:kern w:val="2"/>
                <w:sz w:val="22"/>
                <w:szCs w:val="22"/>
              </w:rPr>
            </w:pPr>
          </w:p>
        </w:tc>
        <w:tc>
          <w:tcPr>
            <w:tcW w:w="3119" w:type="dxa"/>
            <w:gridSpan w:val="2"/>
          </w:tcPr>
          <w:p w14:paraId="3F31809A" w14:textId="77777777" w:rsidR="00061ACD" w:rsidRPr="00333420" w:rsidRDefault="00061ACD" w:rsidP="00061ACD">
            <w:pPr>
              <w:rPr>
                <w:kern w:val="2"/>
                <w:sz w:val="22"/>
                <w:szCs w:val="22"/>
              </w:rPr>
            </w:pPr>
            <w:r w:rsidRPr="00333420">
              <w:rPr>
                <w:kern w:val="2"/>
                <w:sz w:val="22"/>
                <w:szCs w:val="22"/>
              </w:rPr>
              <w:t>1.2.1. Pavadinimas</w:t>
            </w:r>
          </w:p>
        </w:tc>
        <w:tc>
          <w:tcPr>
            <w:tcW w:w="4536" w:type="dxa"/>
          </w:tcPr>
          <w:p w14:paraId="691F5BCD" w14:textId="55EBF999" w:rsidR="00061ACD" w:rsidRPr="00333420" w:rsidRDefault="00061ACD" w:rsidP="00061ACD">
            <w:pPr>
              <w:jc w:val="center"/>
              <w:rPr>
                <w:kern w:val="2"/>
                <w:sz w:val="22"/>
                <w:szCs w:val="22"/>
              </w:rPr>
            </w:pPr>
            <w:r w:rsidRPr="00BD656E">
              <w:rPr>
                <w:color w:val="000000" w:themeColor="text1"/>
                <w:sz w:val="22"/>
                <w:szCs w:val="22"/>
              </w:rPr>
              <w:t>UAB „Armila“</w:t>
            </w:r>
          </w:p>
        </w:tc>
      </w:tr>
      <w:tr w:rsidR="00061ACD" w:rsidRPr="00333420" w14:paraId="7A19E46E" w14:textId="77777777" w:rsidTr="00236446">
        <w:tc>
          <w:tcPr>
            <w:tcW w:w="2977" w:type="dxa"/>
            <w:gridSpan w:val="2"/>
            <w:vMerge/>
          </w:tcPr>
          <w:p w14:paraId="0782DEEF" w14:textId="77777777" w:rsidR="00061ACD" w:rsidRPr="00333420" w:rsidRDefault="00061ACD" w:rsidP="00061ACD">
            <w:pPr>
              <w:rPr>
                <w:b/>
                <w:bCs/>
                <w:kern w:val="2"/>
                <w:sz w:val="22"/>
                <w:szCs w:val="22"/>
              </w:rPr>
            </w:pPr>
          </w:p>
        </w:tc>
        <w:tc>
          <w:tcPr>
            <w:tcW w:w="3119" w:type="dxa"/>
            <w:gridSpan w:val="2"/>
          </w:tcPr>
          <w:p w14:paraId="42AF37F0" w14:textId="77777777" w:rsidR="00061ACD" w:rsidRPr="00333420" w:rsidRDefault="00061ACD" w:rsidP="00061ACD">
            <w:pPr>
              <w:rPr>
                <w:kern w:val="2"/>
                <w:sz w:val="22"/>
                <w:szCs w:val="22"/>
              </w:rPr>
            </w:pPr>
            <w:r w:rsidRPr="00333420">
              <w:rPr>
                <w:kern w:val="2"/>
                <w:sz w:val="22"/>
                <w:szCs w:val="22"/>
              </w:rPr>
              <w:t>1.2.2. Juridinio asmens kodas</w:t>
            </w:r>
          </w:p>
        </w:tc>
        <w:tc>
          <w:tcPr>
            <w:tcW w:w="4536" w:type="dxa"/>
          </w:tcPr>
          <w:p w14:paraId="5701C61B" w14:textId="3B6B6547" w:rsidR="00061ACD" w:rsidRPr="00333420" w:rsidRDefault="00061ACD" w:rsidP="00061ACD">
            <w:pPr>
              <w:jc w:val="center"/>
              <w:rPr>
                <w:kern w:val="2"/>
                <w:sz w:val="22"/>
                <w:szCs w:val="22"/>
              </w:rPr>
            </w:pPr>
            <w:r w:rsidRPr="00BD656E">
              <w:rPr>
                <w:color w:val="000000" w:themeColor="text1"/>
                <w:sz w:val="22"/>
                <w:szCs w:val="22"/>
              </w:rPr>
              <w:t>123813957</w:t>
            </w:r>
          </w:p>
        </w:tc>
      </w:tr>
      <w:tr w:rsidR="00061ACD" w:rsidRPr="00333420" w14:paraId="349B29A9" w14:textId="77777777" w:rsidTr="00236446">
        <w:tc>
          <w:tcPr>
            <w:tcW w:w="2977" w:type="dxa"/>
            <w:gridSpan w:val="2"/>
            <w:vMerge/>
          </w:tcPr>
          <w:p w14:paraId="4E5D3C02" w14:textId="77777777" w:rsidR="00061ACD" w:rsidRPr="00333420" w:rsidRDefault="00061ACD" w:rsidP="00061ACD">
            <w:pPr>
              <w:rPr>
                <w:b/>
                <w:bCs/>
                <w:kern w:val="2"/>
                <w:sz w:val="22"/>
                <w:szCs w:val="22"/>
              </w:rPr>
            </w:pPr>
          </w:p>
        </w:tc>
        <w:tc>
          <w:tcPr>
            <w:tcW w:w="3119" w:type="dxa"/>
            <w:gridSpan w:val="2"/>
          </w:tcPr>
          <w:p w14:paraId="69D3EFDE" w14:textId="77777777" w:rsidR="00061ACD" w:rsidRPr="00333420" w:rsidRDefault="00061ACD" w:rsidP="00061ACD">
            <w:pPr>
              <w:rPr>
                <w:kern w:val="2"/>
                <w:sz w:val="22"/>
                <w:szCs w:val="22"/>
              </w:rPr>
            </w:pPr>
            <w:r w:rsidRPr="00333420">
              <w:rPr>
                <w:kern w:val="2"/>
                <w:sz w:val="22"/>
                <w:szCs w:val="22"/>
              </w:rPr>
              <w:t>1.2.3. Adresas</w:t>
            </w:r>
          </w:p>
        </w:tc>
        <w:tc>
          <w:tcPr>
            <w:tcW w:w="4536" w:type="dxa"/>
          </w:tcPr>
          <w:p w14:paraId="02A5FB02" w14:textId="391C45AC" w:rsidR="00061ACD" w:rsidRPr="00333420" w:rsidRDefault="00061ACD" w:rsidP="00061ACD">
            <w:pPr>
              <w:jc w:val="center"/>
              <w:rPr>
                <w:kern w:val="2"/>
                <w:sz w:val="22"/>
                <w:szCs w:val="22"/>
              </w:rPr>
            </w:pPr>
            <w:r w:rsidRPr="00BD656E">
              <w:rPr>
                <w:color w:val="000000" w:themeColor="text1"/>
                <w:sz w:val="22"/>
                <w:szCs w:val="22"/>
              </w:rPr>
              <w:t>Molėtų pl. 75, LT-14259 Vilnius</w:t>
            </w:r>
          </w:p>
        </w:tc>
      </w:tr>
      <w:tr w:rsidR="00061ACD" w:rsidRPr="00333420" w14:paraId="37767F48" w14:textId="77777777" w:rsidTr="00236446">
        <w:tc>
          <w:tcPr>
            <w:tcW w:w="2977" w:type="dxa"/>
            <w:gridSpan w:val="2"/>
            <w:vMerge/>
          </w:tcPr>
          <w:p w14:paraId="3F99F923" w14:textId="77777777" w:rsidR="00061ACD" w:rsidRPr="00333420" w:rsidRDefault="00061ACD" w:rsidP="00061ACD">
            <w:pPr>
              <w:rPr>
                <w:b/>
                <w:bCs/>
                <w:kern w:val="2"/>
                <w:sz w:val="22"/>
                <w:szCs w:val="22"/>
              </w:rPr>
            </w:pPr>
          </w:p>
        </w:tc>
        <w:tc>
          <w:tcPr>
            <w:tcW w:w="3119" w:type="dxa"/>
            <w:gridSpan w:val="2"/>
          </w:tcPr>
          <w:p w14:paraId="10F77BCD" w14:textId="77777777" w:rsidR="00061ACD" w:rsidRPr="00333420" w:rsidRDefault="00061ACD" w:rsidP="00061ACD">
            <w:pPr>
              <w:rPr>
                <w:kern w:val="2"/>
                <w:sz w:val="22"/>
                <w:szCs w:val="22"/>
              </w:rPr>
            </w:pPr>
            <w:r w:rsidRPr="00333420">
              <w:rPr>
                <w:kern w:val="2"/>
                <w:sz w:val="22"/>
                <w:szCs w:val="22"/>
              </w:rPr>
              <w:t>1.2.4. PVM mokėtojo kodas</w:t>
            </w:r>
          </w:p>
        </w:tc>
        <w:tc>
          <w:tcPr>
            <w:tcW w:w="4536" w:type="dxa"/>
          </w:tcPr>
          <w:p w14:paraId="015510EA" w14:textId="6643A078" w:rsidR="00061ACD" w:rsidRPr="00333420" w:rsidRDefault="00061ACD" w:rsidP="00061ACD">
            <w:pPr>
              <w:jc w:val="center"/>
              <w:rPr>
                <w:kern w:val="2"/>
                <w:sz w:val="22"/>
                <w:szCs w:val="22"/>
              </w:rPr>
            </w:pPr>
            <w:r w:rsidRPr="00BD656E">
              <w:rPr>
                <w:color w:val="000000" w:themeColor="text1"/>
                <w:sz w:val="22"/>
                <w:szCs w:val="22"/>
              </w:rPr>
              <w:t>LT238139515</w:t>
            </w:r>
          </w:p>
        </w:tc>
      </w:tr>
      <w:tr w:rsidR="00061ACD" w:rsidRPr="00333420" w14:paraId="1FA89FC8" w14:textId="77777777" w:rsidTr="00236446">
        <w:tc>
          <w:tcPr>
            <w:tcW w:w="2977" w:type="dxa"/>
            <w:gridSpan w:val="2"/>
            <w:vMerge/>
          </w:tcPr>
          <w:p w14:paraId="57FDAF51" w14:textId="77777777" w:rsidR="00061ACD" w:rsidRPr="00333420" w:rsidRDefault="00061ACD" w:rsidP="00061ACD">
            <w:pPr>
              <w:rPr>
                <w:b/>
                <w:bCs/>
                <w:kern w:val="2"/>
                <w:sz w:val="22"/>
                <w:szCs w:val="22"/>
              </w:rPr>
            </w:pPr>
          </w:p>
        </w:tc>
        <w:tc>
          <w:tcPr>
            <w:tcW w:w="3119" w:type="dxa"/>
            <w:gridSpan w:val="2"/>
          </w:tcPr>
          <w:p w14:paraId="3A3BAAA4" w14:textId="77777777" w:rsidR="00061ACD" w:rsidRPr="00333420" w:rsidRDefault="00061ACD" w:rsidP="00061ACD">
            <w:pPr>
              <w:rPr>
                <w:kern w:val="2"/>
                <w:sz w:val="22"/>
                <w:szCs w:val="22"/>
              </w:rPr>
            </w:pPr>
            <w:r w:rsidRPr="00333420">
              <w:rPr>
                <w:kern w:val="2"/>
                <w:sz w:val="22"/>
                <w:szCs w:val="22"/>
              </w:rPr>
              <w:t>1.2.5. Atsiskaitomoji sąskaita</w:t>
            </w:r>
          </w:p>
        </w:tc>
        <w:tc>
          <w:tcPr>
            <w:tcW w:w="4536" w:type="dxa"/>
          </w:tcPr>
          <w:p w14:paraId="1E0E24DB" w14:textId="218650BB" w:rsidR="00061ACD" w:rsidRPr="00333420" w:rsidRDefault="00061ACD" w:rsidP="00061ACD">
            <w:pPr>
              <w:jc w:val="center"/>
              <w:rPr>
                <w:kern w:val="2"/>
                <w:sz w:val="22"/>
                <w:szCs w:val="22"/>
              </w:rPr>
            </w:pPr>
            <w:r w:rsidRPr="00BD656E">
              <w:rPr>
                <w:sz w:val="22"/>
                <w:szCs w:val="22"/>
              </w:rPr>
              <w:t>A.s. LT454010042400030802</w:t>
            </w:r>
          </w:p>
        </w:tc>
      </w:tr>
      <w:tr w:rsidR="00061ACD" w:rsidRPr="00333420" w14:paraId="20B79542" w14:textId="77777777" w:rsidTr="00236446">
        <w:tc>
          <w:tcPr>
            <w:tcW w:w="2977" w:type="dxa"/>
            <w:gridSpan w:val="2"/>
            <w:vMerge/>
          </w:tcPr>
          <w:p w14:paraId="2306744E" w14:textId="77777777" w:rsidR="00061ACD" w:rsidRPr="00333420" w:rsidRDefault="00061ACD" w:rsidP="00061ACD">
            <w:pPr>
              <w:rPr>
                <w:b/>
                <w:bCs/>
                <w:kern w:val="2"/>
                <w:sz w:val="22"/>
                <w:szCs w:val="22"/>
              </w:rPr>
            </w:pPr>
          </w:p>
        </w:tc>
        <w:tc>
          <w:tcPr>
            <w:tcW w:w="3119" w:type="dxa"/>
            <w:gridSpan w:val="2"/>
          </w:tcPr>
          <w:p w14:paraId="49A8941A" w14:textId="77777777" w:rsidR="00061ACD" w:rsidRPr="00333420" w:rsidRDefault="00061ACD" w:rsidP="00061ACD">
            <w:pPr>
              <w:rPr>
                <w:kern w:val="2"/>
                <w:sz w:val="22"/>
                <w:szCs w:val="22"/>
              </w:rPr>
            </w:pPr>
            <w:r w:rsidRPr="00333420">
              <w:rPr>
                <w:kern w:val="2"/>
                <w:sz w:val="22"/>
                <w:szCs w:val="22"/>
              </w:rPr>
              <w:t>1.2.6. Bankas, banko kodas</w:t>
            </w:r>
          </w:p>
        </w:tc>
        <w:tc>
          <w:tcPr>
            <w:tcW w:w="4536" w:type="dxa"/>
          </w:tcPr>
          <w:p w14:paraId="63467306" w14:textId="326F1576" w:rsidR="00061ACD" w:rsidRPr="00333420" w:rsidRDefault="00061ACD" w:rsidP="00061ACD">
            <w:pPr>
              <w:jc w:val="center"/>
              <w:rPr>
                <w:kern w:val="2"/>
                <w:sz w:val="22"/>
                <w:szCs w:val="22"/>
              </w:rPr>
            </w:pPr>
            <w:r w:rsidRPr="00BD656E">
              <w:rPr>
                <w:color w:val="000000" w:themeColor="text1"/>
                <w:sz w:val="22"/>
                <w:szCs w:val="22"/>
              </w:rPr>
              <w:t>LUMINOR bankas AB</w:t>
            </w:r>
          </w:p>
        </w:tc>
      </w:tr>
      <w:tr w:rsidR="00061ACD" w:rsidRPr="00333420" w14:paraId="73FC64E3" w14:textId="77777777" w:rsidTr="00236446">
        <w:tc>
          <w:tcPr>
            <w:tcW w:w="2977" w:type="dxa"/>
            <w:gridSpan w:val="2"/>
            <w:vMerge/>
          </w:tcPr>
          <w:p w14:paraId="3DE5C3EB" w14:textId="77777777" w:rsidR="00061ACD" w:rsidRPr="00333420" w:rsidRDefault="00061ACD" w:rsidP="00061ACD">
            <w:pPr>
              <w:rPr>
                <w:b/>
                <w:bCs/>
                <w:kern w:val="2"/>
                <w:sz w:val="22"/>
                <w:szCs w:val="22"/>
              </w:rPr>
            </w:pPr>
          </w:p>
        </w:tc>
        <w:tc>
          <w:tcPr>
            <w:tcW w:w="3119" w:type="dxa"/>
            <w:gridSpan w:val="2"/>
          </w:tcPr>
          <w:p w14:paraId="3299D807" w14:textId="77777777" w:rsidR="00061ACD" w:rsidRPr="00333420" w:rsidRDefault="00061ACD" w:rsidP="00061ACD">
            <w:pPr>
              <w:rPr>
                <w:kern w:val="2"/>
                <w:sz w:val="22"/>
                <w:szCs w:val="22"/>
              </w:rPr>
            </w:pPr>
            <w:r w:rsidRPr="00333420">
              <w:rPr>
                <w:kern w:val="2"/>
                <w:sz w:val="22"/>
                <w:szCs w:val="22"/>
              </w:rPr>
              <w:t>1.2.7. Telefonas</w:t>
            </w:r>
          </w:p>
        </w:tc>
        <w:tc>
          <w:tcPr>
            <w:tcW w:w="4536" w:type="dxa"/>
          </w:tcPr>
          <w:p w14:paraId="53014D39" w14:textId="41E050AE" w:rsidR="00061ACD" w:rsidRPr="00333420" w:rsidRDefault="00061ACD" w:rsidP="00061ACD">
            <w:pPr>
              <w:jc w:val="center"/>
              <w:rPr>
                <w:kern w:val="2"/>
                <w:sz w:val="22"/>
                <w:szCs w:val="22"/>
              </w:rPr>
            </w:pPr>
            <w:r w:rsidRPr="00BD656E">
              <w:rPr>
                <w:color w:val="000000" w:themeColor="text1"/>
                <w:sz w:val="22"/>
                <w:szCs w:val="22"/>
              </w:rPr>
              <w:t>+37052777596</w:t>
            </w:r>
          </w:p>
        </w:tc>
      </w:tr>
      <w:tr w:rsidR="00061ACD" w:rsidRPr="00333420" w14:paraId="7C12744E" w14:textId="77777777" w:rsidTr="00236446">
        <w:tc>
          <w:tcPr>
            <w:tcW w:w="2977" w:type="dxa"/>
            <w:gridSpan w:val="2"/>
            <w:vMerge/>
          </w:tcPr>
          <w:p w14:paraId="34B748DC" w14:textId="77777777" w:rsidR="00061ACD" w:rsidRPr="00333420" w:rsidRDefault="00061ACD" w:rsidP="00061ACD">
            <w:pPr>
              <w:rPr>
                <w:b/>
                <w:bCs/>
                <w:kern w:val="2"/>
                <w:sz w:val="22"/>
                <w:szCs w:val="22"/>
              </w:rPr>
            </w:pPr>
          </w:p>
        </w:tc>
        <w:tc>
          <w:tcPr>
            <w:tcW w:w="3119" w:type="dxa"/>
            <w:gridSpan w:val="2"/>
          </w:tcPr>
          <w:p w14:paraId="7672E514" w14:textId="77777777" w:rsidR="00061ACD" w:rsidRPr="00333420" w:rsidRDefault="00061ACD" w:rsidP="00061ACD">
            <w:pPr>
              <w:rPr>
                <w:kern w:val="2"/>
                <w:sz w:val="22"/>
                <w:szCs w:val="22"/>
              </w:rPr>
            </w:pPr>
            <w:r w:rsidRPr="00333420">
              <w:rPr>
                <w:kern w:val="2"/>
                <w:sz w:val="22"/>
                <w:szCs w:val="22"/>
              </w:rPr>
              <w:t>1.2.8. El. paštas</w:t>
            </w:r>
          </w:p>
        </w:tc>
        <w:tc>
          <w:tcPr>
            <w:tcW w:w="4536" w:type="dxa"/>
          </w:tcPr>
          <w:p w14:paraId="30CB2335" w14:textId="4261DAF9" w:rsidR="00061ACD" w:rsidRPr="00333420" w:rsidRDefault="00061ACD" w:rsidP="00061ACD">
            <w:pPr>
              <w:jc w:val="center"/>
              <w:rPr>
                <w:kern w:val="2"/>
                <w:sz w:val="22"/>
                <w:szCs w:val="22"/>
              </w:rPr>
            </w:pPr>
            <w:hyperlink r:id="rId10" w:history="1">
              <w:r w:rsidRPr="003B18B4">
                <w:rPr>
                  <w:rStyle w:val="Hyperlink"/>
                  <w:sz w:val="22"/>
                  <w:szCs w:val="22"/>
                </w:rPr>
                <w:t>info@armila.com</w:t>
              </w:r>
            </w:hyperlink>
            <w:r>
              <w:rPr>
                <w:color w:val="000000" w:themeColor="text1"/>
                <w:sz w:val="22"/>
                <w:szCs w:val="22"/>
              </w:rPr>
              <w:t xml:space="preserve"> </w:t>
            </w:r>
          </w:p>
        </w:tc>
      </w:tr>
      <w:tr w:rsidR="00061ACD" w:rsidRPr="00333420" w14:paraId="05BD140D" w14:textId="77777777" w:rsidTr="00236446">
        <w:tc>
          <w:tcPr>
            <w:tcW w:w="2977" w:type="dxa"/>
            <w:gridSpan w:val="2"/>
            <w:vMerge/>
          </w:tcPr>
          <w:p w14:paraId="6B04BC2F" w14:textId="77777777" w:rsidR="00061ACD" w:rsidRPr="00333420" w:rsidRDefault="00061ACD" w:rsidP="00061ACD">
            <w:pPr>
              <w:rPr>
                <w:b/>
                <w:bCs/>
                <w:kern w:val="2"/>
                <w:sz w:val="22"/>
                <w:szCs w:val="22"/>
              </w:rPr>
            </w:pPr>
          </w:p>
        </w:tc>
        <w:tc>
          <w:tcPr>
            <w:tcW w:w="3119" w:type="dxa"/>
            <w:gridSpan w:val="2"/>
          </w:tcPr>
          <w:p w14:paraId="2FB44DFD" w14:textId="77777777" w:rsidR="00061ACD" w:rsidRPr="00333420" w:rsidRDefault="00061ACD" w:rsidP="00061ACD">
            <w:pPr>
              <w:rPr>
                <w:kern w:val="2"/>
                <w:sz w:val="22"/>
                <w:szCs w:val="22"/>
              </w:rPr>
            </w:pPr>
            <w:r w:rsidRPr="00333420">
              <w:rPr>
                <w:kern w:val="2"/>
                <w:sz w:val="22"/>
                <w:szCs w:val="22"/>
              </w:rPr>
              <w:t>1.2.9. Šalies atstovas</w:t>
            </w:r>
          </w:p>
        </w:tc>
        <w:tc>
          <w:tcPr>
            <w:tcW w:w="4536" w:type="dxa"/>
          </w:tcPr>
          <w:p w14:paraId="3320A094" w14:textId="72DD6F90" w:rsidR="00061ACD" w:rsidRPr="00333420" w:rsidRDefault="00061ACD" w:rsidP="00061ACD">
            <w:pPr>
              <w:jc w:val="center"/>
              <w:rPr>
                <w:kern w:val="2"/>
                <w:sz w:val="22"/>
                <w:szCs w:val="22"/>
              </w:rPr>
            </w:pPr>
            <w:r w:rsidRPr="00BD656E">
              <w:rPr>
                <w:color w:val="000000" w:themeColor="text1"/>
                <w:sz w:val="22"/>
                <w:szCs w:val="22"/>
              </w:rPr>
              <w:t>Direktorius Remigijus Mielinis</w:t>
            </w:r>
          </w:p>
        </w:tc>
      </w:tr>
      <w:tr w:rsidR="00061ACD" w:rsidRPr="00333420" w14:paraId="71956DEE" w14:textId="77777777" w:rsidTr="00236446">
        <w:tc>
          <w:tcPr>
            <w:tcW w:w="2977" w:type="dxa"/>
            <w:gridSpan w:val="2"/>
            <w:vMerge/>
          </w:tcPr>
          <w:p w14:paraId="41B6F8BC" w14:textId="77777777" w:rsidR="00061ACD" w:rsidRPr="00333420" w:rsidRDefault="00061ACD" w:rsidP="00061ACD">
            <w:pPr>
              <w:rPr>
                <w:b/>
                <w:bCs/>
                <w:kern w:val="2"/>
                <w:sz w:val="22"/>
                <w:szCs w:val="22"/>
              </w:rPr>
            </w:pPr>
          </w:p>
        </w:tc>
        <w:tc>
          <w:tcPr>
            <w:tcW w:w="3119" w:type="dxa"/>
            <w:gridSpan w:val="2"/>
          </w:tcPr>
          <w:p w14:paraId="23711F1D" w14:textId="77777777" w:rsidR="00061ACD" w:rsidRPr="00333420" w:rsidRDefault="00061ACD" w:rsidP="00061ACD">
            <w:pPr>
              <w:rPr>
                <w:kern w:val="2"/>
                <w:sz w:val="22"/>
                <w:szCs w:val="22"/>
              </w:rPr>
            </w:pPr>
            <w:r w:rsidRPr="00333420">
              <w:rPr>
                <w:kern w:val="2"/>
                <w:sz w:val="22"/>
                <w:szCs w:val="22"/>
              </w:rPr>
              <w:t>1.2.10. Atstovavimo pagrindas</w:t>
            </w:r>
          </w:p>
        </w:tc>
        <w:tc>
          <w:tcPr>
            <w:tcW w:w="4536" w:type="dxa"/>
          </w:tcPr>
          <w:p w14:paraId="45C354B5" w14:textId="10475504" w:rsidR="00061ACD" w:rsidRPr="00333420" w:rsidRDefault="00061ACD" w:rsidP="00061ACD">
            <w:pPr>
              <w:jc w:val="center"/>
              <w:rPr>
                <w:kern w:val="2"/>
                <w:sz w:val="22"/>
                <w:szCs w:val="22"/>
              </w:rPr>
            </w:pPr>
            <w:r w:rsidRPr="00BD656E">
              <w:rPr>
                <w:color w:val="000000" w:themeColor="text1"/>
                <w:sz w:val="22"/>
                <w:szCs w:val="22"/>
              </w:rPr>
              <w:t>Įstaigos įstatai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281C256E" w14:textId="2F67D4C1" w:rsidR="005A5832" w:rsidRPr="00CE438A" w:rsidRDefault="003020F5" w:rsidP="00E76A67">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754C5350" w:rsidR="005A5832" w:rsidRPr="00333420" w:rsidRDefault="003020F5" w:rsidP="003020F5">
            <w:pPr>
              <w:tabs>
                <w:tab w:val="left" w:pos="1125"/>
              </w:tabs>
              <w:rPr>
                <w:color w:val="4472C4"/>
                <w:kern w:val="2"/>
                <w:sz w:val="22"/>
                <w:szCs w:val="22"/>
              </w:rPr>
            </w:pPr>
            <w:r>
              <w:rPr>
                <w:color w:val="4472C4"/>
                <w:kern w:val="2"/>
                <w:sz w:val="22"/>
                <w:szCs w:val="22"/>
              </w:rPr>
              <w:t>xxx</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3671090F"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C46D66">
              <w:rPr>
                <w:kern w:val="2"/>
                <w:lang w:val="lt-LT"/>
              </w:rPr>
              <w:t>vaistinį preparatą</w:t>
            </w:r>
            <w:r w:rsidR="00876ABD" w:rsidRPr="00D1688A">
              <w:rPr>
                <w:kern w:val="2"/>
                <w:lang w:val="lt-LT"/>
              </w:rPr>
              <w:t xml:space="preserve"> </w:t>
            </w:r>
            <w:r w:rsidR="002452C0">
              <w:rPr>
                <w:kern w:val="2"/>
                <w:lang w:val="lt-LT"/>
              </w:rPr>
              <w:t>K</w:t>
            </w:r>
            <w:r w:rsidR="00D9615D" w:rsidRPr="002452C0">
              <w:rPr>
                <w:rFonts w:eastAsia="TimesNewRomanPS-BoldMT" w:cs="Times New Roman"/>
                <w:lang w:val="lt-LT"/>
              </w:rPr>
              <w:t>oncizumab</w:t>
            </w:r>
            <w:r w:rsidR="00D9615D">
              <w:rPr>
                <w:rFonts w:eastAsia="TimesNewRomanPS-BoldMT" w:cs="Times New Roman"/>
                <w:lang w:val="lt-LT"/>
              </w:rPr>
              <w:t>ą</w:t>
            </w:r>
            <w:r w:rsidR="00D9615D" w:rsidRPr="00D1688A">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721C088F" w:rsidR="005A5832" w:rsidRPr="003E1BF7" w:rsidRDefault="009024DE" w:rsidP="00333420">
            <w:pPr>
              <w:rPr>
                <w:kern w:val="2"/>
                <w:sz w:val="22"/>
                <w:szCs w:val="22"/>
              </w:rPr>
            </w:pPr>
            <w:r w:rsidRPr="009024DE">
              <w:rPr>
                <w:rFonts w:eastAsia="TimesNewRomanPS-BoldMT"/>
                <w:sz w:val="22"/>
                <w:szCs w:val="22"/>
              </w:rPr>
              <w:t>Vaistinio preparato Koncizumabas 60mg inj. pirkimas pagal 2026-01-27 VLK garantinį raštą Nr. 4K- 2386 (11887)</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lastRenderedPageBreak/>
              <w:t>4.1. Prekių pristatymo terminai, kai Prekės pristatomos dalimis</w:t>
            </w:r>
          </w:p>
        </w:tc>
        <w:tc>
          <w:tcPr>
            <w:tcW w:w="7675" w:type="dxa"/>
            <w:gridSpan w:val="4"/>
          </w:tcPr>
          <w:p w14:paraId="4FC70B27" w14:textId="193406F6" w:rsidR="005A5832" w:rsidRPr="00332109" w:rsidRDefault="00BB0D5A" w:rsidP="001012E5">
            <w:pPr>
              <w:autoSpaceDE w:val="0"/>
              <w:autoSpaceDN w:val="0"/>
              <w:adjustRightInd w:val="0"/>
              <w:jc w:val="both"/>
              <w:rPr>
                <w:kern w:val="2"/>
                <w:sz w:val="22"/>
                <w:szCs w:val="22"/>
              </w:rPr>
            </w:pPr>
            <w:r w:rsidRPr="00332109">
              <w:rPr>
                <w:color w:val="000000" w:themeColor="text1"/>
                <w:kern w:val="2"/>
                <w:sz w:val="22"/>
                <w:szCs w:val="22"/>
              </w:rPr>
              <w:t xml:space="preserve">Tiekėjas pagal atskirą užsakymą įsipareigoja pristatyti Prekes ne vėliau kaip per </w:t>
            </w:r>
            <w:r w:rsidR="002731EF">
              <w:rPr>
                <w:color w:val="000000" w:themeColor="text1"/>
                <w:kern w:val="2"/>
                <w:sz w:val="22"/>
                <w:szCs w:val="22"/>
              </w:rPr>
              <w:t>14</w:t>
            </w:r>
            <w:r w:rsidR="009C138D" w:rsidRPr="00332109">
              <w:rPr>
                <w:color w:val="000000" w:themeColor="text1"/>
                <w:kern w:val="2"/>
                <w:sz w:val="22"/>
                <w:szCs w:val="22"/>
              </w:rPr>
              <w:t xml:space="preserve"> </w:t>
            </w:r>
            <w:r w:rsidRPr="00332109">
              <w:rPr>
                <w:sz w:val="22"/>
                <w:szCs w:val="22"/>
              </w:rPr>
              <w:t>(</w:t>
            </w:r>
            <w:r w:rsidR="002731EF">
              <w:rPr>
                <w:sz w:val="22"/>
                <w:szCs w:val="22"/>
              </w:rPr>
              <w:t>keturiolika</w:t>
            </w:r>
            <w:r w:rsidRPr="00332109">
              <w:rPr>
                <w:sz w:val="22"/>
                <w:szCs w:val="22"/>
              </w:rPr>
              <w:t>) dien</w:t>
            </w:r>
            <w:r w:rsidR="002731EF">
              <w:rPr>
                <w:sz w:val="22"/>
                <w:szCs w:val="22"/>
              </w:rPr>
              <w:t>ų</w:t>
            </w:r>
            <w:r w:rsidRPr="00332109">
              <w:rPr>
                <w:sz w:val="22"/>
                <w:szCs w:val="22"/>
              </w:rPr>
              <w:t xml:space="preserve"> nuo Pirkėjo užsakymo pateikimo dienos adresu: </w:t>
            </w:r>
            <w:r w:rsidRPr="00332109">
              <w:rPr>
                <w:kern w:val="2"/>
                <w:sz w:val="22"/>
                <w:szCs w:val="22"/>
              </w:rPr>
              <w:t xml:space="preserve">VšĮ Vilniaus universiteto ligoninė Santaros klinikos, Santariškių g. </w:t>
            </w:r>
            <w:r w:rsidR="00AA1293">
              <w:rPr>
                <w:kern w:val="2"/>
                <w:sz w:val="22"/>
                <w:szCs w:val="22"/>
              </w:rPr>
              <w:t>7</w:t>
            </w:r>
            <w:r w:rsidRPr="00332109">
              <w:rPr>
                <w:kern w:val="2"/>
                <w:sz w:val="22"/>
                <w:szCs w:val="22"/>
              </w:rPr>
              <w:t>,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72A34F78" w:rsidR="005A5832" w:rsidRPr="00783247" w:rsidRDefault="002B1836" w:rsidP="005850D7">
            <w:pPr>
              <w:jc w:val="both"/>
              <w:rPr>
                <w:color w:val="000000" w:themeColor="text1"/>
                <w:kern w:val="2"/>
                <w:sz w:val="22"/>
                <w:szCs w:val="22"/>
              </w:rPr>
            </w:pPr>
            <w:r>
              <w:rPr>
                <w:sz w:val="22"/>
                <w:szCs w:val="22"/>
              </w:rPr>
              <w:t>Netaikoma</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0C0251B9" w:rsidR="007A69A9" w:rsidRPr="00061ACD" w:rsidRDefault="00474FE5" w:rsidP="005850D7">
            <w:pPr>
              <w:jc w:val="both"/>
              <w:rPr>
                <w:color w:val="000000" w:themeColor="text1"/>
                <w:kern w:val="2"/>
                <w:sz w:val="22"/>
                <w:szCs w:val="22"/>
                <w:lang w:val="en-US"/>
              </w:rPr>
            </w:pPr>
            <w:r w:rsidRPr="00002A0E">
              <w:rPr>
                <w:color w:val="000000" w:themeColor="text1"/>
                <w:kern w:val="2"/>
                <w:sz w:val="22"/>
                <w:szCs w:val="22"/>
              </w:rPr>
              <w:t>El. paštas užsakymams:</w:t>
            </w:r>
            <w:r w:rsidR="00061ACD">
              <w:rPr>
                <w:color w:val="000000" w:themeColor="text1"/>
                <w:kern w:val="2"/>
                <w:sz w:val="22"/>
                <w:szCs w:val="22"/>
              </w:rPr>
              <w:t xml:space="preserve"> </w:t>
            </w:r>
            <w:hyperlink r:id="rId11" w:history="1">
              <w:r w:rsidR="00061ACD" w:rsidRPr="006B51E8">
                <w:rPr>
                  <w:rStyle w:val="Hyperlink"/>
                  <w:kern w:val="2"/>
                  <w:sz w:val="22"/>
                  <w:szCs w:val="22"/>
                </w:rPr>
                <w:t>vilnius</w:t>
              </w:r>
              <w:r w:rsidR="00061ACD" w:rsidRPr="006B51E8">
                <w:rPr>
                  <w:rStyle w:val="Hyperlink"/>
                  <w:kern w:val="2"/>
                  <w:sz w:val="22"/>
                  <w:szCs w:val="22"/>
                  <w:lang w:val="en-US"/>
                </w:rPr>
                <w:t>@armila.com</w:t>
              </w:r>
            </w:hyperlink>
            <w:r w:rsidR="00061ACD">
              <w:rPr>
                <w:color w:val="000000" w:themeColor="text1"/>
                <w:kern w:val="2"/>
                <w:sz w:val="22"/>
                <w:szCs w:val="22"/>
                <w:lang w:val="en-US"/>
              </w:rPr>
              <w:t xml:space="preserve">. </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770A5B8E" w14:textId="77777777" w:rsidR="00480772" w:rsidRPr="004D6BF7" w:rsidRDefault="00480772" w:rsidP="00480772">
            <w:pPr>
              <w:jc w:val="both"/>
              <w:rPr>
                <w:color w:val="000000" w:themeColor="text1"/>
                <w:kern w:val="2"/>
                <w:sz w:val="22"/>
                <w:szCs w:val="22"/>
              </w:rPr>
            </w:pPr>
            <w:r w:rsidRPr="004D6BF7">
              <w:rPr>
                <w:color w:val="000000" w:themeColor="text1"/>
                <w:kern w:val="2"/>
                <w:sz w:val="22"/>
                <w:szCs w:val="22"/>
              </w:rPr>
              <w:t>4.5.1. Prekių perdavimo-priėmimo aktas ar kitas Prekių pristatymą patvirtinantis dokumentas (krovinio važtaraštis, sąskaita faktūra, pakavimo lapas);</w:t>
            </w:r>
          </w:p>
          <w:p w14:paraId="63674B19" w14:textId="5874CEBC" w:rsidR="00480772" w:rsidRPr="004D6BF7" w:rsidRDefault="00480772" w:rsidP="00480772">
            <w:pPr>
              <w:jc w:val="both"/>
              <w:rPr>
                <w:sz w:val="22"/>
                <w:szCs w:val="22"/>
              </w:rPr>
            </w:pPr>
            <w:r w:rsidRPr="004D6BF7">
              <w:rPr>
                <w:sz w:val="22"/>
                <w:szCs w:val="22"/>
              </w:rPr>
              <w:t>4.5.</w:t>
            </w:r>
            <w:r>
              <w:rPr>
                <w:sz w:val="22"/>
                <w:szCs w:val="22"/>
              </w:rPr>
              <w:t>2</w:t>
            </w:r>
            <w:r w:rsidRPr="004D6BF7">
              <w:rPr>
                <w:sz w:val="22"/>
                <w:szCs w:val="22"/>
              </w:rPr>
              <w:t>. Sutarties 1</w:t>
            </w:r>
            <w:r>
              <w:rPr>
                <w:sz w:val="22"/>
                <w:szCs w:val="22"/>
              </w:rPr>
              <w:t>3</w:t>
            </w:r>
            <w:r w:rsidRPr="004D6BF7">
              <w:rPr>
                <w:sz w:val="22"/>
                <w:szCs w:val="22"/>
              </w:rPr>
              <w:t>.</w:t>
            </w:r>
            <w:r w:rsidR="002731EF">
              <w:rPr>
                <w:sz w:val="22"/>
                <w:szCs w:val="22"/>
              </w:rPr>
              <w:t>1</w:t>
            </w:r>
            <w:r w:rsidRPr="004D6BF7">
              <w:rPr>
                <w:sz w:val="22"/>
                <w:szCs w:val="22"/>
              </w:rPr>
              <w:t>. punkte nurodytus dokumentus;</w:t>
            </w:r>
          </w:p>
          <w:p w14:paraId="0DC9A733" w14:textId="0CB8E94F" w:rsidR="005A5832" w:rsidRPr="005E1EBF" w:rsidRDefault="00480772" w:rsidP="00480772">
            <w:pPr>
              <w:jc w:val="both"/>
              <w:rPr>
                <w:color w:val="000000" w:themeColor="text1"/>
                <w:kern w:val="2"/>
                <w:sz w:val="22"/>
                <w:szCs w:val="22"/>
              </w:rPr>
            </w:pPr>
            <w:r w:rsidRPr="004D6BF7">
              <w:rPr>
                <w:color w:val="000000" w:themeColor="text1"/>
                <w:kern w:val="2"/>
                <w:sz w:val="22"/>
                <w:szCs w:val="22"/>
              </w:rPr>
              <w:t>4.5.</w:t>
            </w:r>
            <w:r>
              <w:rPr>
                <w:color w:val="000000" w:themeColor="text1"/>
                <w:kern w:val="2"/>
                <w:sz w:val="22"/>
                <w:szCs w:val="22"/>
              </w:rPr>
              <w:t>3</w:t>
            </w:r>
            <w:r w:rsidRPr="004D6BF7">
              <w:rPr>
                <w:color w:val="000000" w:themeColor="text1"/>
                <w:kern w:val="2"/>
                <w:sz w:val="22"/>
                <w:szCs w:val="22"/>
              </w:rPr>
              <w:t>. 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47063A2D" w:rsidR="005A5832" w:rsidRPr="00AA3736" w:rsidRDefault="00A10867" w:rsidP="005850D7">
            <w:pPr>
              <w:jc w:val="both"/>
              <w:rPr>
                <w:color w:val="FF0000"/>
                <w:kern w:val="2"/>
                <w:sz w:val="22"/>
                <w:szCs w:val="22"/>
              </w:rPr>
            </w:pPr>
            <w:r w:rsidRPr="00333420">
              <w:rPr>
                <w:kern w:val="2"/>
                <w:sz w:val="22"/>
                <w:szCs w:val="22"/>
              </w:rPr>
              <w:t>Fiksuoto</w:t>
            </w:r>
            <w:r w:rsidR="00B77F6D">
              <w:rPr>
                <w:kern w:val="2"/>
                <w:sz w:val="22"/>
                <w:szCs w:val="22"/>
              </w:rPr>
              <w:t>s kainos</w:t>
            </w:r>
            <w:r w:rsidRPr="00333420">
              <w:rPr>
                <w:kern w:val="2"/>
                <w:sz w:val="22"/>
                <w:szCs w:val="22"/>
              </w:rPr>
              <w:t xml:space="preserve"> kainodara</w:t>
            </w:r>
          </w:p>
        </w:tc>
      </w:tr>
      <w:tr w:rsidR="00F2288E" w:rsidRPr="00333420" w14:paraId="6F6EA56F" w14:textId="77777777" w:rsidTr="00236446">
        <w:trPr>
          <w:trHeight w:val="274"/>
        </w:trPr>
        <w:tc>
          <w:tcPr>
            <w:tcW w:w="2957" w:type="dxa"/>
          </w:tcPr>
          <w:p w14:paraId="4FF50CE9" w14:textId="77777777" w:rsidR="00F2288E" w:rsidRPr="00CD4B3F" w:rsidRDefault="00F2288E" w:rsidP="00F2288E">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Pr>
                <w:b/>
                <w:bCs/>
                <w:kern w:val="2"/>
                <w:sz w:val="22"/>
                <w:szCs w:val="22"/>
                <w:u w:val="single"/>
              </w:rPr>
              <w:t>s</w:t>
            </w:r>
            <w:r w:rsidRPr="00CD4B3F">
              <w:rPr>
                <w:b/>
                <w:bCs/>
                <w:kern w:val="2"/>
                <w:sz w:val="22"/>
                <w:szCs w:val="22"/>
                <w:u w:val="single"/>
              </w:rPr>
              <w:t xml:space="preserve"> kain</w:t>
            </w:r>
            <w:r>
              <w:rPr>
                <w:b/>
                <w:bCs/>
                <w:kern w:val="2"/>
                <w:sz w:val="22"/>
                <w:szCs w:val="22"/>
                <w:u w:val="single"/>
              </w:rPr>
              <w:t>os</w:t>
            </w:r>
            <w:r w:rsidRPr="00CD4B3F">
              <w:rPr>
                <w:b/>
                <w:bCs/>
                <w:kern w:val="2"/>
                <w:sz w:val="22"/>
                <w:szCs w:val="22"/>
              </w:rPr>
              <w:t xml:space="preserve"> kainodara</w:t>
            </w:r>
          </w:p>
          <w:p w14:paraId="06FD16E6" w14:textId="77777777" w:rsidR="00F2288E" w:rsidRPr="00CD4B3F" w:rsidRDefault="00F2288E" w:rsidP="00F2288E">
            <w:pPr>
              <w:rPr>
                <w:b/>
                <w:bCs/>
                <w:kern w:val="2"/>
                <w:sz w:val="22"/>
                <w:szCs w:val="22"/>
              </w:rPr>
            </w:pPr>
          </w:p>
          <w:p w14:paraId="36641746" w14:textId="77777777" w:rsidR="00F2288E" w:rsidRPr="00CD4B3F" w:rsidRDefault="00F2288E" w:rsidP="00F2288E">
            <w:pPr>
              <w:rPr>
                <w:b/>
                <w:bCs/>
                <w:kern w:val="2"/>
                <w:sz w:val="22"/>
                <w:szCs w:val="22"/>
              </w:rPr>
            </w:pPr>
          </w:p>
          <w:p w14:paraId="38DDA83B" w14:textId="77777777" w:rsidR="00F2288E" w:rsidRPr="00CD4B3F" w:rsidRDefault="00F2288E" w:rsidP="00F2288E">
            <w:pPr>
              <w:rPr>
                <w:b/>
                <w:bCs/>
                <w:kern w:val="2"/>
                <w:sz w:val="22"/>
                <w:szCs w:val="22"/>
              </w:rPr>
            </w:pPr>
          </w:p>
          <w:p w14:paraId="2A8BA412" w14:textId="77777777" w:rsidR="00F2288E" w:rsidRPr="00CD4B3F" w:rsidRDefault="00F2288E" w:rsidP="00F2288E">
            <w:pPr>
              <w:rPr>
                <w:b/>
                <w:bCs/>
                <w:kern w:val="2"/>
                <w:sz w:val="22"/>
                <w:szCs w:val="22"/>
              </w:rPr>
            </w:pPr>
          </w:p>
          <w:p w14:paraId="4A2208B3" w14:textId="77777777" w:rsidR="00F2288E" w:rsidRPr="00CD4B3F" w:rsidRDefault="00F2288E" w:rsidP="00F2288E">
            <w:pPr>
              <w:rPr>
                <w:b/>
                <w:bCs/>
                <w:kern w:val="2"/>
                <w:sz w:val="22"/>
                <w:szCs w:val="22"/>
              </w:rPr>
            </w:pPr>
          </w:p>
          <w:p w14:paraId="16B4A3C8" w14:textId="77777777" w:rsidR="00F2288E" w:rsidRPr="00CD4B3F" w:rsidRDefault="00F2288E" w:rsidP="00F2288E">
            <w:pPr>
              <w:rPr>
                <w:b/>
                <w:bCs/>
                <w:kern w:val="2"/>
                <w:sz w:val="22"/>
                <w:szCs w:val="22"/>
              </w:rPr>
            </w:pPr>
          </w:p>
          <w:p w14:paraId="2AFBE096" w14:textId="77777777" w:rsidR="00F2288E" w:rsidRPr="00CD4B3F" w:rsidRDefault="00F2288E" w:rsidP="00F2288E">
            <w:pPr>
              <w:rPr>
                <w:b/>
                <w:bCs/>
                <w:kern w:val="2"/>
                <w:sz w:val="22"/>
                <w:szCs w:val="22"/>
              </w:rPr>
            </w:pPr>
          </w:p>
          <w:p w14:paraId="1BE3A56C" w14:textId="77777777" w:rsidR="00F2288E" w:rsidRPr="00CD4B3F" w:rsidRDefault="00F2288E" w:rsidP="00F2288E">
            <w:pPr>
              <w:rPr>
                <w:b/>
                <w:bCs/>
                <w:kern w:val="2"/>
                <w:sz w:val="22"/>
                <w:szCs w:val="22"/>
              </w:rPr>
            </w:pPr>
          </w:p>
          <w:p w14:paraId="0AE61C63" w14:textId="77777777" w:rsidR="00F2288E" w:rsidRPr="00A6170C" w:rsidRDefault="00F2288E" w:rsidP="00F2288E">
            <w:pPr>
              <w:jc w:val="both"/>
              <w:rPr>
                <w:b/>
                <w:bCs/>
                <w:color w:val="FF0000"/>
                <w:kern w:val="2"/>
                <w:sz w:val="22"/>
                <w:szCs w:val="22"/>
              </w:rPr>
            </w:pPr>
          </w:p>
        </w:tc>
        <w:tc>
          <w:tcPr>
            <w:tcW w:w="7675" w:type="dxa"/>
            <w:gridSpan w:val="4"/>
          </w:tcPr>
          <w:p w14:paraId="536E945F" w14:textId="444A5272" w:rsidR="00F2288E" w:rsidRPr="00CD4B3F" w:rsidRDefault="00F2288E" w:rsidP="00F2288E">
            <w:pPr>
              <w:jc w:val="both"/>
              <w:rPr>
                <w:sz w:val="22"/>
                <w:szCs w:val="22"/>
              </w:rPr>
            </w:pPr>
            <w:r w:rsidRPr="00CD4B3F">
              <w:rPr>
                <w:sz w:val="22"/>
                <w:szCs w:val="22"/>
              </w:rPr>
              <w:t>5.2.1. Pradinės Sutarties vertė yra</w:t>
            </w:r>
            <w:r w:rsidR="00061ACD">
              <w:rPr>
                <w:sz w:val="22"/>
                <w:szCs w:val="22"/>
              </w:rPr>
              <w:t xml:space="preserve"> 54 450,00 </w:t>
            </w:r>
            <w:r w:rsidRPr="00CD4B3F">
              <w:rPr>
                <w:sz w:val="22"/>
                <w:szCs w:val="22"/>
              </w:rPr>
              <w:t xml:space="preserve">Eur, </w:t>
            </w:r>
            <w:r w:rsidR="00061ACD">
              <w:rPr>
                <w:sz w:val="22"/>
                <w:szCs w:val="22"/>
              </w:rPr>
              <w:t xml:space="preserve">(penkiasdešimt keturi tūkstančiai keturi šimtai penkiasdešimt Eur 00 ct) </w:t>
            </w:r>
            <w:r w:rsidRPr="00CD4B3F">
              <w:rPr>
                <w:sz w:val="22"/>
                <w:szCs w:val="22"/>
              </w:rPr>
              <w:t xml:space="preserve">be PVM. </w:t>
            </w:r>
          </w:p>
          <w:p w14:paraId="543ED0E9" w14:textId="430BCEB5" w:rsidR="00F2288E" w:rsidRPr="00CD4B3F" w:rsidRDefault="00F2288E" w:rsidP="00F2288E">
            <w:pPr>
              <w:jc w:val="both"/>
              <w:rPr>
                <w:sz w:val="22"/>
                <w:szCs w:val="22"/>
              </w:rPr>
            </w:pPr>
            <w:r w:rsidRPr="00CD4B3F">
              <w:rPr>
                <w:sz w:val="22"/>
                <w:szCs w:val="22"/>
              </w:rPr>
              <w:t>PVM sudaro</w:t>
            </w:r>
            <w:r w:rsidR="00061ACD">
              <w:rPr>
                <w:sz w:val="22"/>
                <w:szCs w:val="22"/>
              </w:rPr>
              <w:t xml:space="preserve"> 2 722,50 </w:t>
            </w:r>
            <w:r w:rsidRPr="00CD4B3F">
              <w:rPr>
                <w:sz w:val="22"/>
                <w:szCs w:val="22"/>
              </w:rPr>
              <w:t xml:space="preserve">Eur, </w:t>
            </w:r>
            <w:r w:rsidR="00061ACD">
              <w:rPr>
                <w:sz w:val="22"/>
                <w:szCs w:val="22"/>
              </w:rPr>
              <w:t>(du tūkstančiai septyni šimtai dvidešimt du Eur 50 ct</w:t>
            </w:r>
            <w:r w:rsidR="00770FB7">
              <w:rPr>
                <w:sz w:val="22"/>
                <w:szCs w:val="22"/>
              </w:rPr>
              <w:t>)</w:t>
            </w:r>
            <w:r w:rsidR="00061ACD">
              <w:rPr>
                <w:sz w:val="22"/>
                <w:szCs w:val="22"/>
              </w:rPr>
              <w:t>.</w:t>
            </w:r>
          </w:p>
          <w:p w14:paraId="08E150AA" w14:textId="04B704E5" w:rsidR="00F2288E" w:rsidRPr="00CD4B3F" w:rsidRDefault="00F2288E" w:rsidP="00F2288E">
            <w:pPr>
              <w:jc w:val="both"/>
              <w:rPr>
                <w:sz w:val="22"/>
                <w:szCs w:val="22"/>
              </w:rPr>
            </w:pPr>
            <w:r w:rsidRPr="00CD4B3F">
              <w:rPr>
                <w:sz w:val="22"/>
                <w:szCs w:val="22"/>
              </w:rPr>
              <w:t>Sutarties kaina yra</w:t>
            </w:r>
            <w:r w:rsidR="00061ACD">
              <w:rPr>
                <w:sz w:val="22"/>
                <w:szCs w:val="22"/>
              </w:rPr>
              <w:t xml:space="preserve"> 57 172,50 </w:t>
            </w:r>
            <w:r w:rsidRPr="00CD4B3F">
              <w:rPr>
                <w:sz w:val="22"/>
                <w:szCs w:val="22"/>
              </w:rPr>
              <w:t>Eur,</w:t>
            </w:r>
            <w:r w:rsidR="00061ACD">
              <w:rPr>
                <w:sz w:val="22"/>
                <w:szCs w:val="22"/>
              </w:rPr>
              <w:t xml:space="preserve"> (penkiasdešimt septyni tūkstančiai šimtas septyniasdešimt du Eur 50 ct)</w:t>
            </w:r>
            <w:r w:rsidRPr="00CD4B3F">
              <w:rPr>
                <w:sz w:val="22"/>
                <w:szCs w:val="22"/>
              </w:rPr>
              <w:t xml:space="preserve"> su PVM.</w:t>
            </w:r>
          </w:p>
          <w:p w14:paraId="46E05150" w14:textId="77777777" w:rsidR="00F2288E" w:rsidRDefault="00F2288E" w:rsidP="00F2288E">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269C55D0" w:rsidR="00F2288E" w:rsidRPr="00723B09" w:rsidRDefault="00F2288E" w:rsidP="00F2288E">
            <w:pPr>
              <w:jc w:val="both"/>
              <w:rPr>
                <w:kern w:val="2"/>
                <w:sz w:val="22"/>
                <w:szCs w:val="22"/>
              </w:rPr>
            </w:pPr>
            <w:r w:rsidRPr="00CD4B3F">
              <w:rPr>
                <w:sz w:val="22"/>
                <w:szCs w:val="22"/>
              </w:rPr>
              <w:t>5.2.</w:t>
            </w:r>
            <w:r>
              <w:rPr>
                <w:sz w:val="22"/>
                <w:szCs w:val="22"/>
              </w:rPr>
              <w:t>3</w:t>
            </w:r>
            <w:r w:rsidRPr="00CD4B3F">
              <w:rPr>
                <w:sz w:val="22"/>
                <w:szCs w:val="22"/>
              </w:rPr>
              <w:t xml:space="preserve">. </w:t>
            </w:r>
            <w:r w:rsidRPr="00CD4B3F">
              <w:rPr>
                <w:color w:val="000000"/>
                <w:kern w:val="2"/>
                <w:sz w:val="22"/>
                <w:szCs w:val="22"/>
              </w:rPr>
              <w:t>Į Prekių kain</w:t>
            </w:r>
            <w:r>
              <w:rPr>
                <w:color w:val="000000"/>
                <w:kern w:val="2"/>
                <w:sz w:val="22"/>
                <w:szCs w:val="22"/>
              </w:rPr>
              <w:t>ą</w:t>
            </w:r>
            <w:r w:rsidRPr="00CD4B3F">
              <w:rPr>
                <w:color w:val="000000"/>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560FB8AB" w:rsidR="005A5832" w:rsidRPr="00245BC4" w:rsidRDefault="00856EF6" w:rsidP="00333420">
            <w:pPr>
              <w:rPr>
                <w:b/>
                <w:bCs/>
                <w:kern w:val="2"/>
                <w:sz w:val="22"/>
                <w:szCs w:val="22"/>
              </w:rPr>
            </w:pPr>
            <w:r w:rsidRPr="00856EF6">
              <w:rPr>
                <w:b/>
                <w:bCs/>
                <w:kern w:val="2"/>
                <w:sz w:val="22"/>
                <w:szCs w:val="22"/>
              </w:rPr>
              <w:t>5.3. Sutarties kainos / įkainių perskaičiavimas taikant peržiūros taisykles</w:t>
            </w:r>
          </w:p>
        </w:tc>
        <w:tc>
          <w:tcPr>
            <w:tcW w:w="7675" w:type="dxa"/>
            <w:gridSpan w:val="4"/>
            <w:vAlign w:val="center"/>
          </w:tcPr>
          <w:p w14:paraId="227F20EE" w14:textId="6E760600" w:rsidR="005A5832" w:rsidRPr="00333420" w:rsidRDefault="00A10867" w:rsidP="00333420">
            <w:pPr>
              <w:rPr>
                <w:kern w:val="2"/>
                <w:sz w:val="22"/>
                <w:szCs w:val="22"/>
              </w:rPr>
            </w:pPr>
            <w:r w:rsidRPr="00245BC4">
              <w:rPr>
                <w:kern w:val="2"/>
                <w:sz w:val="22"/>
                <w:szCs w:val="22"/>
              </w:rPr>
              <w:t>Sutarties kain</w:t>
            </w:r>
            <w:r w:rsidR="00F2288E">
              <w:rPr>
                <w:kern w:val="2"/>
                <w:sz w:val="22"/>
                <w:szCs w:val="22"/>
              </w:rPr>
              <w:t>a</w:t>
            </w:r>
            <w:r w:rsidRPr="00245BC4">
              <w:rPr>
                <w:kern w:val="2"/>
                <w:sz w:val="22"/>
                <w:szCs w:val="22"/>
              </w:rPr>
              <w:t xml:space="preserve"> </w:t>
            </w:r>
            <w:r w:rsidRPr="00333420">
              <w:rPr>
                <w:kern w:val="2"/>
                <w:sz w:val="22"/>
                <w:szCs w:val="22"/>
              </w:rPr>
              <w:t>bus perskaičiuojam</w:t>
            </w:r>
            <w:r w:rsidR="00D55A48">
              <w:rPr>
                <w:kern w:val="2"/>
                <w:sz w:val="22"/>
                <w:szCs w:val="22"/>
              </w:rPr>
              <w:t>a</w:t>
            </w:r>
            <w:r w:rsidRPr="00333420">
              <w:rPr>
                <w:kern w:val="2"/>
                <w:sz w:val="22"/>
                <w:szCs w:val="22"/>
              </w:rPr>
              <w:t>:</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5706EECB" w:rsidR="00C95150" w:rsidRPr="00333420" w:rsidRDefault="004937C6" w:rsidP="00333420">
            <w:pPr>
              <w:rPr>
                <w:color w:val="FF0000"/>
                <w:kern w:val="2"/>
                <w:sz w:val="22"/>
                <w:szCs w:val="22"/>
              </w:rPr>
            </w:pPr>
            <w:r w:rsidRPr="00AF4207">
              <w:rPr>
                <w:kern w:val="2"/>
                <w:sz w:val="22"/>
                <w:szCs w:val="22"/>
              </w:rPr>
              <w:t>5.3.2. dėl kainų lygio pokyčio</w:t>
            </w:r>
            <w:r>
              <w:rPr>
                <w:kern w:val="2"/>
                <w:sz w:val="22"/>
                <w:szCs w:val="22"/>
              </w:rPr>
              <w:t>.</w:t>
            </w:r>
          </w:p>
        </w:tc>
      </w:tr>
      <w:tr w:rsidR="0027149A" w:rsidRPr="00333420" w14:paraId="095C8F1F" w14:textId="77777777" w:rsidTr="00236446">
        <w:trPr>
          <w:trHeight w:val="300"/>
        </w:trPr>
        <w:tc>
          <w:tcPr>
            <w:tcW w:w="2957" w:type="dxa"/>
          </w:tcPr>
          <w:p w14:paraId="697B3159" w14:textId="5578CE8C" w:rsidR="0027149A" w:rsidRPr="00333420" w:rsidRDefault="0027149A" w:rsidP="0027149A">
            <w:pPr>
              <w:rPr>
                <w:b/>
                <w:bCs/>
                <w:kern w:val="2"/>
                <w:sz w:val="22"/>
                <w:szCs w:val="22"/>
              </w:rPr>
            </w:pPr>
            <w:r w:rsidRPr="00624BE1">
              <w:rPr>
                <w:b/>
                <w:bCs/>
                <w:kern w:val="2"/>
                <w:sz w:val="22"/>
                <w:szCs w:val="22"/>
              </w:rPr>
              <w:t>5.3.1. Sutarties kainos / įkainių peržiūra dėl PVM tarifo pasikeitimo</w:t>
            </w:r>
          </w:p>
        </w:tc>
        <w:tc>
          <w:tcPr>
            <w:tcW w:w="7675" w:type="dxa"/>
            <w:gridSpan w:val="4"/>
          </w:tcPr>
          <w:p w14:paraId="3621099C" w14:textId="77777777" w:rsidR="0027149A" w:rsidRPr="00333420" w:rsidRDefault="0027149A" w:rsidP="0027149A">
            <w:pPr>
              <w:jc w:val="both"/>
              <w:rPr>
                <w:kern w:val="2"/>
                <w:sz w:val="22"/>
                <w:szCs w:val="22"/>
              </w:rPr>
            </w:pPr>
            <w:r w:rsidRPr="00333420">
              <w:rPr>
                <w:kern w:val="2"/>
                <w:sz w:val="22"/>
                <w:szCs w:val="22"/>
              </w:rPr>
              <w:t>Jeigu Sutarties vykdymo metu pasikeičia PVM mokėjimą</w:t>
            </w:r>
            <w:r>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27149A" w:rsidRPr="00993D23" w:rsidRDefault="0027149A" w:rsidP="0027149A">
            <w:pPr>
              <w:rPr>
                <w:kern w:val="2"/>
                <w:sz w:val="10"/>
                <w:szCs w:val="10"/>
              </w:rPr>
            </w:pPr>
          </w:p>
          <w:p w14:paraId="72217A45" w14:textId="251F6B51" w:rsidR="0027149A" w:rsidRPr="00333420" w:rsidRDefault="0027149A" w:rsidP="0027149A">
            <w:pPr>
              <w:jc w:val="both"/>
              <w:rPr>
                <w:kern w:val="2"/>
                <w:sz w:val="22"/>
                <w:szCs w:val="22"/>
              </w:rPr>
            </w:pPr>
            <w:r w:rsidRPr="00333420">
              <w:rPr>
                <w:kern w:val="2"/>
                <w:sz w:val="22"/>
                <w:szCs w:val="22"/>
              </w:rPr>
              <w:t>Perskaičiuot</w:t>
            </w:r>
            <w:r>
              <w:rPr>
                <w:kern w:val="2"/>
                <w:sz w:val="22"/>
                <w:szCs w:val="22"/>
              </w:rPr>
              <w:t>i</w:t>
            </w:r>
            <w:r w:rsidRPr="00333420">
              <w:rPr>
                <w:kern w:val="2"/>
                <w:sz w:val="22"/>
                <w:szCs w:val="22"/>
              </w:rPr>
              <w:t xml:space="preserve"> </w:t>
            </w:r>
            <w:r>
              <w:rPr>
                <w:kern w:val="2"/>
                <w:sz w:val="22"/>
                <w:szCs w:val="22"/>
              </w:rPr>
              <w:t xml:space="preserve">Sutarties </w:t>
            </w:r>
            <w:r w:rsidRPr="00333420">
              <w:rPr>
                <w:kern w:val="2"/>
                <w:sz w:val="22"/>
                <w:szCs w:val="22"/>
              </w:rPr>
              <w:t>Prekių įkainiai įforminami Susitarimu</w:t>
            </w:r>
            <w:r>
              <w:rPr>
                <w:kern w:val="2"/>
                <w:sz w:val="22"/>
                <w:szCs w:val="22"/>
              </w:rPr>
              <w:t xml:space="preserve"> ne vėliau kaip per 20 (dvidešimt) darbo dienų nuo PVM mokėjimą reglamentuojančių teisės aktų pasikeitimo, kuris tampa neatskiriama Sutarties dalimi. </w:t>
            </w:r>
            <w:r w:rsidRPr="00D31BD3">
              <w:rPr>
                <w:kern w:val="2"/>
                <w:sz w:val="22"/>
                <w:szCs w:val="22"/>
              </w:rPr>
              <w:t>Perskaičiuotas Sutarties įkainis taikomas nuo Susitarime nurodytos dienos.</w:t>
            </w:r>
          </w:p>
        </w:tc>
      </w:tr>
      <w:tr w:rsidR="0027149A" w:rsidRPr="00333420" w14:paraId="069CEEF8" w14:textId="77777777" w:rsidTr="00236446">
        <w:trPr>
          <w:trHeight w:val="300"/>
        </w:trPr>
        <w:tc>
          <w:tcPr>
            <w:tcW w:w="2957" w:type="dxa"/>
          </w:tcPr>
          <w:p w14:paraId="3EEB5B06" w14:textId="7CE74385" w:rsidR="0027149A" w:rsidRPr="00333420" w:rsidRDefault="0027149A" w:rsidP="0027149A">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75" w:type="dxa"/>
            <w:gridSpan w:val="4"/>
            <w:vAlign w:val="center"/>
          </w:tcPr>
          <w:p w14:paraId="660FC8F3" w14:textId="77777777" w:rsidR="0027149A" w:rsidRPr="00333420" w:rsidRDefault="0027149A" w:rsidP="0027149A">
            <w:pPr>
              <w:rPr>
                <w:kern w:val="2"/>
                <w:sz w:val="22"/>
                <w:szCs w:val="22"/>
              </w:rPr>
            </w:pPr>
            <w:r w:rsidRPr="00333420">
              <w:rPr>
                <w:kern w:val="2"/>
                <w:sz w:val="22"/>
                <w:szCs w:val="22"/>
              </w:rPr>
              <w:t>Netaikoma</w:t>
            </w:r>
          </w:p>
        </w:tc>
      </w:tr>
      <w:tr w:rsidR="00A64F7D" w:rsidRPr="00333420" w14:paraId="1D5DEE5D" w14:textId="77777777" w:rsidTr="00236446">
        <w:trPr>
          <w:trHeight w:val="300"/>
        </w:trPr>
        <w:tc>
          <w:tcPr>
            <w:tcW w:w="2957" w:type="dxa"/>
          </w:tcPr>
          <w:p w14:paraId="4F163CAD" w14:textId="77777777" w:rsidR="00A64F7D" w:rsidRPr="00624BE1" w:rsidRDefault="00A64F7D" w:rsidP="00A64F7D">
            <w:pPr>
              <w:rPr>
                <w:b/>
                <w:bCs/>
                <w:kern w:val="2"/>
                <w:sz w:val="22"/>
                <w:szCs w:val="22"/>
              </w:rPr>
            </w:pPr>
            <w:r w:rsidRPr="00624BE1">
              <w:rPr>
                <w:b/>
                <w:bCs/>
                <w:kern w:val="2"/>
                <w:sz w:val="22"/>
                <w:szCs w:val="22"/>
              </w:rPr>
              <w:t>5.3.3. Sutarties kainos / įkainių peržiūra dėl kainų lygio pokyčio</w:t>
            </w:r>
          </w:p>
          <w:p w14:paraId="2322A053" w14:textId="77777777" w:rsidR="00A64F7D" w:rsidRPr="00624BE1" w:rsidRDefault="00A64F7D" w:rsidP="00A64F7D">
            <w:pPr>
              <w:rPr>
                <w:color w:val="4472C4"/>
                <w:kern w:val="2"/>
                <w:sz w:val="22"/>
                <w:szCs w:val="22"/>
              </w:rPr>
            </w:pPr>
          </w:p>
          <w:p w14:paraId="0031CE47" w14:textId="77777777" w:rsidR="00A64F7D" w:rsidRPr="00482F96" w:rsidRDefault="00A64F7D" w:rsidP="00A64F7D">
            <w:pPr>
              <w:rPr>
                <w:b/>
                <w:bCs/>
                <w:kern w:val="2"/>
                <w:sz w:val="22"/>
                <w:szCs w:val="22"/>
              </w:rPr>
            </w:pPr>
          </w:p>
        </w:tc>
        <w:tc>
          <w:tcPr>
            <w:tcW w:w="7675" w:type="dxa"/>
            <w:gridSpan w:val="4"/>
          </w:tcPr>
          <w:p w14:paraId="67214E4D"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viršija 5 procentus. </w:t>
            </w:r>
          </w:p>
          <w:p w14:paraId="03C5DC6F"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58A6367C"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5.3.3.3. Jeigu Prekių tiekimas vėluoja dėl Tiekėjo kaltės, uždelstų pristatyti Prekių įkainiai nėra perskaičiuojami dėl kainų lygio kilimo (negali būti didinami).</w:t>
            </w:r>
          </w:p>
          <w:p w14:paraId="7B851AAB"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C5D1A57"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AC85E23"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5.3.3.6. Nauja Sutarties įkainiai apskaičiuojami pagal žemiau pateiktą formulę:</w:t>
            </w:r>
          </w:p>
          <w:p w14:paraId="53D03915"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 xml:space="preserve">a_1=a+(k/100×a), kur a –įkainis (Eur be PVM)) (jei peržiūra jau buvo atlikta, tai po paskutinio perskaičiavimo) </w:t>
            </w:r>
          </w:p>
          <w:p w14:paraId="762AC8B2"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 xml:space="preserve">a1 – perskaičiuota (pakeista) įkainis (Eur be PVM) </w:t>
            </w:r>
          </w:p>
          <w:p w14:paraId="62624E59"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k – pagal vartotojų kainų indeksą (06 SVEIKATA) apskaičiuotas Vartojimo prekių ir paslaugų kainų pokytis (padidėjimas arba sumažėjimas) (%). „k“ reikšmė skaičiuojama pagal formulę:</w:t>
            </w:r>
          </w:p>
          <w:p w14:paraId="70648592"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k =Ind_naujausias/Ind_pradžia ×100-100, (proc.) kur</w:t>
            </w:r>
          </w:p>
          <w:p w14:paraId="5B6518B1"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Indnaujausias – kreipimosi dėl įkainių peržiūros išsiuntimo kitai šaliai dieną paskelbtas naujausias vartojimo prekių ir paslaugų indeksas (06 SVEIKATA).</w:t>
            </w:r>
          </w:p>
          <w:p w14:paraId="50711272"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Indpradžia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DD7895"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767A572" w14:textId="77777777"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E4304E4" w14:textId="27F83905" w:rsidR="00DD1CA0" w:rsidRPr="00DD1CA0"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 xml:space="preserve">5.3.3.9. Susitarimas turi būti sudarytas per 14 </w:t>
            </w:r>
            <w:r w:rsidR="00D9615D">
              <w:rPr>
                <w:color w:val="000000"/>
                <w:kern w:val="2"/>
                <w:sz w:val="22"/>
                <w:szCs w:val="22"/>
                <w:bdr w:val="none" w:sz="0" w:space="0" w:color="auto" w:frame="1"/>
              </w:rPr>
              <w:t xml:space="preserve">(keturiolika) </w:t>
            </w:r>
            <w:r w:rsidRPr="00DD1CA0">
              <w:rPr>
                <w:color w:val="000000"/>
                <w:kern w:val="2"/>
                <w:sz w:val="22"/>
                <w:szCs w:val="22"/>
                <w:bdr w:val="none" w:sz="0" w:space="0" w:color="auto" w:frame="1"/>
              </w:rPr>
              <w:t>dienų nuo Šalies pateikto tinkamo prašymo perskaičiuoti Sutarties įkainius gavimo dienos.</w:t>
            </w:r>
          </w:p>
          <w:p w14:paraId="1BC2DB25" w14:textId="4C1F900B" w:rsidR="00A64F7D" w:rsidRPr="009F5E98" w:rsidRDefault="00DD1CA0" w:rsidP="00DD1CA0">
            <w:pPr>
              <w:jc w:val="both"/>
              <w:rPr>
                <w:color w:val="000000"/>
                <w:kern w:val="2"/>
                <w:sz w:val="22"/>
                <w:szCs w:val="22"/>
                <w:bdr w:val="none" w:sz="0" w:space="0" w:color="auto" w:frame="1"/>
              </w:rPr>
            </w:pPr>
            <w:r w:rsidRPr="00DD1CA0">
              <w:rPr>
                <w:color w:val="000000"/>
                <w:kern w:val="2"/>
                <w:sz w:val="22"/>
                <w:szCs w:val="22"/>
                <w:bdr w:val="none" w:sz="0" w:space="0" w:color="auto" w:frame="1"/>
              </w:rPr>
              <w:t>5.3.3.10. Susitarimu Šalys neturi teisės keisti procedūroje nurodytos tvarkos ar kitų Sutarties nuostatų, išskyrus, jei keitimas atliekamas pagal VPĮ nuostatas.</w:t>
            </w:r>
          </w:p>
        </w:tc>
      </w:tr>
      <w:tr w:rsidR="00A64F7D" w:rsidRPr="00333420" w14:paraId="02A680FE" w14:textId="77777777" w:rsidTr="00236446">
        <w:trPr>
          <w:trHeight w:val="300"/>
        </w:trPr>
        <w:tc>
          <w:tcPr>
            <w:tcW w:w="2957" w:type="dxa"/>
          </w:tcPr>
          <w:p w14:paraId="378E2A0C" w14:textId="6F85D56D" w:rsidR="00A64F7D" w:rsidRPr="00333420" w:rsidRDefault="00A64F7D" w:rsidP="00A64F7D">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75" w:type="dxa"/>
            <w:gridSpan w:val="4"/>
            <w:vAlign w:val="center"/>
          </w:tcPr>
          <w:p w14:paraId="63EFD40A" w14:textId="77777777" w:rsidR="00A64F7D" w:rsidRPr="00333420" w:rsidRDefault="00A64F7D" w:rsidP="00A64F7D">
            <w:pPr>
              <w:rPr>
                <w:kern w:val="2"/>
                <w:sz w:val="22"/>
                <w:szCs w:val="22"/>
              </w:rPr>
            </w:pPr>
            <w:r w:rsidRPr="00333420">
              <w:rPr>
                <w:kern w:val="2"/>
                <w:sz w:val="22"/>
                <w:szCs w:val="22"/>
              </w:rPr>
              <w:t>Netaikoma</w:t>
            </w:r>
          </w:p>
        </w:tc>
      </w:tr>
      <w:tr w:rsidR="00A64F7D" w:rsidRPr="00333420" w14:paraId="2E7B2E14" w14:textId="77777777" w:rsidTr="00236446">
        <w:trPr>
          <w:trHeight w:val="300"/>
        </w:trPr>
        <w:tc>
          <w:tcPr>
            <w:tcW w:w="2957" w:type="dxa"/>
          </w:tcPr>
          <w:p w14:paraId="48AF3F54" w14:textId="19A11E65" w:rsidR="00A64F7D" w:rsidRPr="00333420" w:rsidRDefault="00A64F7D" w:rsidP="00A64F7D">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75" w:type="dxa"/>
            <w:gridSpan w:val="4"/>
          </w:tcPr>
          <w:p w14:paraId="061D560F" w14:textId="79ADA4C2" w:rsidR="00A64F7D" w:rsidRPr="00962E9B" w:rsidRDefault="00A64F7D" w:rsidP="00A64F7D">
            <w:pPr>
              <w:jc w:val="both"/>
              <w:rPr>
                <w:kern w:val="2"/>
                <w:sz w:val="22"/>
                <w:szCs w:val="22"/>
              </w:rPr>
            </w:pPr>
            <w:r>
              <w:rPr>
                <w:color w:val="000000" w:themeColor="text1"/>
                <w:kern w:val="2"/>
                <w:sz w:val="22"/>
                <w:szCs w:val="22"/>
              </w:rPr>
              <w:t>Netaikoma</w:t>
            </w:r>
          </w:p>
        </w:tc>
      </w:tr>
      <w:tr w:rsidR="00A64F7D" w:rsidRPr="00333420" w14:paraId="6399F287" w14:textId="77777777" w:rsidTr="00236446">
        <w:trPr>
          <w:trHeight w:val="300"/>
        </w:trPr>
        <w:tc>
          <w:tcPr>
            <w:tcW w:w="2957" w:type="dxa"/>
          </w:tcPr>
          <w:p w14:paraId="46A38AAF" w14:textId="77777777" w:rsidR="00A64F7D" w:rsidRPr="00333420" w:rsidRDefault="00A64F7D" w:rsidP="00A64F7D">
            <w:pPr>
              <w:rPr>
                <w:b/>
                <w:bCs/>
                <w:kern w:val="2"/>
                <w:sz w:val="22"/>
                <w:szCs w:val="22"/>
              </w:rPr>
            </w:pPr>
            <w:r w:rsidRPr="00333420">
              <w:rPr>
                <w:b/>
                <w:bCs/>
                <w:kern w:val="2"/>
                <w:sz w:val="22"/>
                <w:szCs w:val="22"/>
              </w:rPr>
              <w:lastRenderedPageBreak/>
              <w:t>5.5. Atsiskaitymo su Tiekėju terminas ir tvarka</w:t>
            </w:r>
          </w:p>
        </w:tc>
        <w:tc>
          <w:tcPr>
            <w:tcW w:w="7675" w:type="dxa"/>
            <w:gridSpan w:val="4"/>
          </w:tcPr>
          <w:p w14:paraId="4FAAB977" w14:textId="1F229AEB" w:rsidR="00A64F7D" w:rsidRPr="006E586B" w:rsidRDefault="00A64F7D" w:rsidP="00A64F7D">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A64F7D" w:rsidRPr="00333420" w14:paraId="51BB3716" w14:textId="77777777" w:rsidTr="00236446">
        <w:trPr>
          <w:trHeight w:val="300"/>
        </w:trPr>
        <w:tc>
          <w:tcPr>
            <w:tcW w:w="2957" w:type="dxa"/>
          </w:tcPr>
          <w:p w14:paraId="23FA1F41" w14:textId="77777777" w:rsidR="00A64F7D" w:rsidRPr="00333420" w:rsidRDefault="00A64F7D" w:rsidP="00A64F7D">
            <w:pPr>
              <w:rPr>
                <w:b/>
                <w:bCs/>
                <w:kern w:val="2"/>
                <w:sz w:val="22"/>
                <w:szCs w:val="22"/>
              </w:rPr>
            </w:pPr>
            <w:r w:rsidRPr="00333420">
              <w:rPr>
                <w:b/>
                <w:bCs/>
                <w:kern w:val="2"/>
                <w:sz w:val="22"/>
                <w:szCs w:val="22"/>
              </w:rPr>
              <w:t>5.6. Avansas</w:t>
            </w:r>
          </w:p>
        </w:tc>
        <w:tc>
          <w:tcPr>
            <w:tcW w:w="7675" w:type="dxa"/>
            <w:gridSpan w:val="4"/>
          </w:tcPr>
          <w:p w14:paraId="4D8DBDE7" w14:textId="77777777" w:rsidR="00A64F7D" w:rsidRPr="009F5E98" w:rsidRDefault="00A64F7D" w:rsidP="00A64F7D">
            <w:pPr>
              <w:jc w:val="both"/>
              <w:rPr>
                <w:kern w:val="2"/>
                <w:sz w:val="22"/>
                <w:szCs w:val="22"/>
              </w:rPr>
            </w:pPr>
            <w:r w:rsidRPr="00333420">
              <w:rPr>
                <w:kern w:val="2"/>
                <w:sz w:val="22"/>
                <w:szCs w:val="22"/>
              </w:rPr>
              <w:t>Netaikoma</w:t>
            </w:r>
          </w:p>
        </w:tc>
      </w:tr>
      <w:tr w:rsidR="00A64F7D" w:rsidRPr="00333420" w14:paraId="0F27CBD1" w14:textId="77777777" w:rsidTr="00236446">
        <w:trPr>
          <w:trHeight w:val="300"/>
        </w:trPr>
        <w:tc>
          <w:tcPr>
            <w:tcW w:w="2957" w:type="dxa"/>
          </w:tcPr>
          <w:p w14:paraId="163D1D9D" w14:textId="77777777" w:rsidR="00A64F7D" w:rsidRPr="00333420" w:rsidRDefault="00A64F7D" w:rsidP="00A64F7D">
            <w:pPr>
              <w:rPr>
                <w:b/>
                <w:bCs/>
                <w:kern w:val="2"/>
                <w:sz w:val="22"/>
                <w:szCs w:val="22"/>
              </w:rPr>
            </w:pPr>
            <w:r w:rsidRPr="00333420">
              <w:rPr>
                <w:b/>
                <w:bCs/>
                <w:kern w:val="2"/>
                <w:sz w:val="22"/>
                <w:szCs w:val="22"/>
              </w:rPr>
              <w:t>5.7. Avanso užtikrinimas</w:t>
            </w:r>
          </w:p>
        </w:tc>
        <w:tc>
          <w:tcPr>
            <w:tcW w:w="7675" w:type="dxa"/>
            <w:gridSpan w:val="4"/>
          </w:tcPr>
          <w:p w14:paraId="41A5C29D" w14:textId="77777777" w:rsidR="00A64F7D" w:rsidRPr="00333420" w:rsidRDefault="00A64F7D" w:rsidP="00A64F7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A64F7D" w:rsidRPr="00333420" w14:paraId="408DA2BA" w14:textId="77777777" w:rsidTr="00236446">
        <w:trPr>
          <w:trHeight w:val="300"/>
        </w:trPr>
        <w:tc>
          <w:tcPr>
            <w:tcW w:w="10632" w:type="dxa"/>
            <w:gridSpan w:val="5"/>
          </w:tcPr>
          <w:p w14:paraId="04C2CF0C" w14:textId="77777777" w:rsidR="00A64F7D" w:rsidRPr="00333420" w:rsidRDefault="00A64F7D" w:rsidP="00A64F7D">
            <w:pPr>
              <w:jc w:val="center"/>
              <w:rPr>
                <w:b/>
                <w:bCs/>
                <w:kern w:val="2"/>
                <w:sz w:val="22"/>
                <w:szCs w:val="22"/>
              </w:rPr>
            </w:pPr>
            <w:r w:rsidRPr="00333420">
              <w:rPr>
                <w:b/>
                <w:bCs/>
                <w:kern w:val="2"/>
                <w:sz w:val="22"/>
                <w:szCs w:val="22"/>
              </w:rPr>
              <w:t>6. PREKIŲ KOKYBĖ IR GARANTINIAI ĮSIPAREIGOJIMAI</w:t>
            </w:r>
          </w:p>
        </w:tc>
      </w:tr>
      <w:tr w:rsidR="00A64F7D" w:rsidRPr="00333420" w14:paraId="75F38E2F" w14:textId="77777777" w:rsidTr="00236446">
        <w:trPr>
          <w:trHeight w:val="300"/>
        </w:trPr>
        <w:tc>
          <w:tcPr>
            <w:tcW w:w="2957" w:type="dxa"/>
          </w:tcPr>
          <w:p w14:paraId="14A88939" w14:textId="77777777" w:rsidR="00A64F7D" w:rsidRPr="00333420" w:rsidRDefault="00A64F7D" w:rsidP="00A64F7D">
            <w:pPr>
              <w:rPr>
                <w:b/>
                <w:bCs/>
                <w:kern w:val="2"/>
                <w:sz w:val="22"/>
                <w:szCs w:val="22"/>
              </w:rPr>
            </w:pPr>
            <w:r w:rsidRPr="00333420">
              <w:rPr>
                <w:b/>
                <w:bCs/>
                <w:kern w:val="2"/>
                <w:sz w:val="22"/>
                <w:szCs w:val="22"/>
              </w:rPr>
              <w:t>6.1. Garantinis terminas</w:t>
            </w:r>
          </w:p>
        </w:tc>
        <w:tc>
          <w:tcPr>
            <w:tcW w:w="7675" w:type="dxa"/>
            <w:gridSpan w:val="4"/>
          </w:tcPr>
          <w:p w14:paraId="20A50668" w14:textId="506B4F4A" w:rsidR="00A64F7D" w:rsidRPr="00952D7A" w:rsidRDefault="00A64F7D" w:rsidP="00A64F7D">
            <w:pPr>
              <w:jc w:val="both"/>
              <w:rPr>
                <w:kern w:val="2"/>
                <w:sz w:val="22"/>
                <w:szCs w:val="22"/>
              </w:rPr>
            </w:pPr>
            <w:r w:rsidRPr="00952D7A">
              <w:rPr>
                <w:sz w:val="22"/>
                <w:szCs w:val="22"/>
              </w:rPr>
              <w:t xml:space="preserve">Prekėms nustatomas  garantinis terminas, kuris yra Galiojimo laikas pristatymo metų tūri būti ne trumpesnis kaip </w:t>
            </w:r>
            <w:r w:rsidR="00854FED">
              <w:rPr>
                <w:sz w:val="22"/>
                <w:szCs w:val="22"/>
              </w:rPr>
              <w:t>7 (septyni)</w:t>
            </w:r>
            <w:r w:rsidR="00CC55F1">
              <w:rPr>
                <w:sz w:val="22"/>
                <w:szCs w:val="22"/>
              </w:rPr>
              <w:t xml:space="preserve"> mėnesiai</w:t>
            </w:r>
            <w:r w:rsidRPr="00952D7A">
              <w:rPr>
                <w:sz w:val="22"/>
                <w:szCs w:val="22"/>
              </w:rPr>
              <w:t>. Garantinis terminas, skaičiuojamas nuo Prekių perdavimo-priėmimo akto ar Sąskaitos (kai Prekių perdavimo-priėmimo aktas nėra pasirašomas) pasirašymo dienos.</w:t>
            </w:r>
          </w:p>
        </w:tc>
      </w:tr>
      <w:tr w:rsidR="00A64F7D" w:rsidRPr="00333420" w14:paraId="2DB7FDF0" w14:textId="77777777" w:rsidTr="00236446">
        <w:trPr>
          <w:trHeight w:val="300"/>
        </w:trPr>
        <w:tc>
          <w:tcPr>
            <w:tcW w:w="2957" w:type="dxa"/>
          </w:tcPr>
          <w:p w14:paraId="1BA28914" w14:textId="77777777" w:rsidR="00A64F7D" w:rsidRPr="00333420" w:rsidRDefault="00A64F7D" w:rsidP="00A64F7D">
            <w:pPr>
              <w:rPr>
                <w:b/>
                <w:bCs/>
                <w:kern w:val="2"/>
                <w:sz w:val="22"/>
                <w:szCs w:val="22"/>
              </w:rPr>
            </w:pPr>
            <w:r w:rsidRPr="00333420">
              <w:rPr>
                <w:b/>
                <w:bCs/>
                <w:kern w:val="2"/>
                <w:sz w:val="22"/>
                <w:szCs w:val="22"/>
              </w:rPr>
              <w:t>6.2. Garantinė priežiūra</w:t>
            </w:r>
          </w:p>
        </w:tc>
        <w:tc>
          <w:tcPr>
            <w:tcW w:w="7675" w:type="dxa"/>
            <w:gridSpan w:val="4"/>
          </w:tcPr>
          <w:p w14:paraId="7A783EE2" w14:textId="097C0DD7" w:rsidR="00A64F7D" w:rsidRPr="00F9703A" w:rsidRDefault="00A64F7D" w:rsidP="00A64F7D">
            <w:pPr>
              <w:rPr>
                <w:kern w:val="2"/>
                <w:sz w:val="22"/>
                <w:szCs w:val="22"/>
              </w:rPr>
            </w:pPr>
            <w:r w:rsidRPr="00F9703A">
              <w:rPr>
                <w:kern w:val="2"/>
                <w:sz w:val="22"/>
                <w:szCs w:val="22"/>
              </w:rPr>
              <w:t xml:space="preserve">Tiekėjas privalo pašalinti Prekių trūkumus ne vėliau kaip per 5 </w:t>
            </w:r>
            <w:r>
              <w:rPr>
                <w:kern w:val="2"/>
                <w:sz w:val="22"/>
                <w:szCs w:val="22"/>
              </w:rPr>
              <w:t xml:space="preserve">(penkias) </w:t>
            </w:r>
            <w:r w:rsidRPr="00F9703A">
              <w:rPr>
                <w:kern w:val="2"/>
                <w:sz w:val="22"/>
                <w:szCs w:val="22"/>
              </w:rPr>
              <w:t>darbo dienas.</w:t>
            </w:r>
          </w:p>
          <w:p w14:paraId="45717C3D" w14:textId="7211510B" w:rsidR="00A64F7D" w:rsidRPr="00333420" w:rsidRDefault="00A64F7D" w:rsidP="00A64F7D">
            <w:pPr>
              <w:rPr>
                <w:kern w:val="2"/>
                <w:sz w:val="22"/>
                <w:szCs w:val="22"/>
              </w:rPr>
            </w:pPr>
            <w:r w:rsidRPr="00F9703A">
              <w:rPr>
                <w:kern w:val="2"/>
                <w:sz w:val="22"/>
                <w:szCs w:val="22"/>
              </w:rPr>
              <w:t>Prekių trūkumų nustatymo bei šalinimo tvarka nustatyta Bendrųjų sąlygų 7 skyriuje.</w:t>
            </w:r>
          </w:p>
        </w:tc>
      </w:tr>
      <w:tr w:rsidR="00A64F7D" w:rsidRPr="00333420" w14:paraId="366DCE7A" w14:textId="77777777" w:rsidTr="00236446">
        <w:trPr>
          <w:trHeight w:val="300"/>
        </w:trPr>
        <w:tc>
          <w:tcPr>
            <w:tcW w:w="10632" w:type="dxa"/>
            <w:gridSpan w:val="5"/>
          </w:tcPr>
          <w:p w14:paraId="0695A87F" w14:textId="77777777" w:rsidR="00A64F7D" w:rsidRPr="00333420" w:rsidRDefault="00A64F7D" w:rsidP="00A64F7D">
            <w:pPr>
              <w:jc w:val="center"/>
              <w:rPr>
                <w:b/>
                <w:bCs/>
                <w:kern w:val="2"/>
                <w:sz w:val="22"/>
                <w:szCs w:val="22"/>
              </w:rPr>
            </w:pPr>
            <w:r w:rsidRPr="00333420">
              <w:rPr>
                <w:b/>
                <w:bCs/>
                <w:kern w:val="2"/>
                <w:sz w:val="22"/>
                <w:szCs w:val="22"/>
              </w:rPr>
              <w:t>7. SUTARTIES VYKDYMUI PASITELKIAMI SUBTIEKĖJAI</w:t>
            </w:r>
          </w:p>
        </w:tc>
      </w:tr>
      <w:tr w:rsidR="00A64F7D" w:rsidRPr="00333420" w14:paraId="1BC52312" w14:textId="77777777" w:rsidTr="00236446">
        <w:trPr>
          <w:trHeight w:val="300"/>
        </w:trPr>
        <w:tc>
          <w:tcPr>
            <w:tcW w:w="2957" w:type="dxa"/>
          </w:tcPr>
          <w:p w14:paraId="2D96FCF5" w14:textId="77777777" w:rsidR="00A64F7D" w:rsidRPr="00333420" w:rsidRDefault="00A64F7D" w:rsidP="00A64F7D">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A64F7D" w:rsidRDefault="00A64F7D" w:rsidP="00A64F7D">
            <w:pPr>
              <w:rPr>
                <w:kern w:val="2"/>
                <w:sz w:val="22"/>
                <w:szCs w:val="22"/>
              </w:rPr>
            </w:pPr>
            <w:r w:rsidRPr="00333420">
              <w:rPr>
                <w:kern w:val="2"/>
                <w:sz w:val="22"/>
                <w:szCs w:val="22"/>
              </w:rPr>
              <w:t>Sutarties vykdymui subtiekėjai ir (ar) specialistai nepasitelkiami.</w:t>
            </w:r>
          </w:p>
          <w:p w14:paraId="1473064B" w14:textId="6AA9C7F9" w:rsidR="00A64F7D" w:rsidRPr="00F020F2" w:rsidRDefault="00A64F7D" w:rsidP="00A64F7D">
            <w:pPr>
              <w:rPr>
                <w:kern w:val="2"/>
                <w:sz w:val="22"/>
                <w:szCs w:val="22"/>
              </w:rPr>
            </w:pPr>
          </w:p>
        </w:tc>
      </w:tr>
      <w:tr w:rsidR="00A64F7D" w:rsidRPr="00F60AE3" w14:paraId="20ACA752" w14:textId="77777777" w:rsidTr="00236446">
        <w:trPr>
          <w:trHeight w:val="300"/>
        </w:trPr>
        <w:tc>
          <w:tcPr>
            <w:tcW w:w="10632" w:type="dxa"/>
            <w:gridSpan w:val="5"/>
          </w:tcPr>
          <w:p w14:paraId="12DF6EDC" w14:textId="77777777" w:rsidR="00A64F7D" w:rsidRPr="00624BE1" w:rsidRDefault="00A64F7D" w:rsidP="00A64F7D">
            <w:pPr>
              <w:jc w:val="center"/>
              <w:rPr>
                <w:b/>
                <w:bCs/>
                <w:kern w:val="2"/>
                <w:sz w:val="22"/>
                <w:szCs w:val="22"/>
              </w:rPr>
            </w:pPr>
            <w:r w:rsidRPr="00624BE1">
              <w:rPr>
                <w:b/>
                <w:bCs/>
                <w:kern w:val="2"/>
                <w:sz w:val="22"/>
                <w:szCs w:val="22"/>
              </w:rPr>
              <w:t>8. PRIEVOLIŲ PAGAL SUTARTĮ ĮVYKDYMO UŽTIKRINIMAS</w:t>
            </w:r>
          </w:p>
        </w:tc>
      </w:tr>
      <w:tr w:rsidR="00A64F7D" w:rsidRPr="00F60AE3" w14:paraId="5496EE0B" w14:textId="77777777" w:rsidTr="00AD08E5">
        <w:trPr>
          <w:trHeight w:val="300"/>
        </w:trPr>
        <w:tc>
          <w:tcPr>
            <w:tcW w:w="2977" w:type="dxa"/>
            <w:gridSpan w:val="2"/>
          </w:tcPr>
          <w:p w14:paraId="1A9BAD83" w14:textId="77777777" w:rsidR="00A64F7D" w:rsidRPr="00624BE1" w:rsidRDefault="00A64F7D" w:rsidP="00A64F7D">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A64F7D" w:rsidRPr="00624BE1" w:rsidRDefault="00A64F7D" w:rsidP="00A64F7D">
            <w:pPr>
              <w:rPr>
                <w:kern w:val="2"/>
                <w:sz w:val="22"/>
                <w:szCs w:val="22"/>
              </w:rPr>
            </w:pPr>
            <w:r w:rsidRPr="00624BE1">
              <w:rPr>
                <w:kern w:val="2"/>
                <w:sz w:val="22"/>
                <w:szCs w:val="22"/>
              </w:rPr>
              <w:t>Prievolių pagal Sutartį įvykdymas užtikrinamas:</w:t>
            </w:r>
          </w:p>
          <w:p w14:paraId="2B42D29D" w14:textId="77777777" w:rsidR="00A64F7D" w:rsidRPr="00624BE1" w:rsidRDefault="00A64F7D" w:rsidP="00A64F7D">
            <w:pPr>
              <w:rPr>
                <w:kern w:val="2"/>
                <w:sz w:val="22"/>
                <w:szCs w:val="22"/>
              </w:rPr>
            </w:pPr>
            <w:r w:rsidRPr="00624BE1">
              <w:rPr>
                <w:kern w:val="2"/>
                <w:sz w:val="22"/>
                <w:szCs w:val="22"/>
              </w:rPr>
              <w:t>Netesybomis (delspinigiais, bauda)</w:t>
            </w:r>
          </w:p>
          <w:p w14:paraId="3D96931F" w14:textId="77777777" w:rsidR="00A64F7D" w:rsidRPr="00624BE1" w:rsidRDefault="00A64F7D" w:rsidP="00A64F7D">
            <w:pPr>
              <w:rPr>
                <w:kern w:val="2"/>
                <w:sz w:val="22"/>
                <w:szCs w:val="22"/>
              </w:rPr>
            </w:pPr>
          </w:p>
        </w:tc>
      </w:tr>
      <w:tr w:rsidR="00A64F7D" w:rsidRPr="00F60AE3" w14:paraId="1DEB3F9B" w14:textId="77777777" w:rsidTr="00AD08E5">
        <w:trPr>
          <w:trHeight w:val="300"/>
        </w:trPr>
        <w:tc>
          <w:tcPr>
            <w:tcW w:w="2977" w:type="dxa"/>
            <w:gridSpan w:val="2"/>
          </w:tcPr>
          <w:p w14:paraId="3D36F769" w14:textId="77777777" w:rsidR="00A64F7D" w:rsidRPr="00800BEF" w:rsidRDefault="00A64F7D" w:rsidP="00A64F7D">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A64F7D" w:rsidRPr="00624BE1" w:rsidRDefault="00A64F7D" w:rsidP="00A64F7D">
            <w:pPr>
              <w:rPr>
                <w:kern w:val="2"/>
                <w:sz w:val="22"/>
                <w:szCs w:val="22"/>
              </w:rPr>
            </w:pPr>
            <w:r>
              <w:rPr>
                <w:kern w:val="2"/>
                <w:sz w:val="22"/>
                <w:szCs w:val="22"/>
              </w:rPr>
              <w:t>Netaikoma</w:t>
            </w:r>
          </w:p>
        </w:tc>
      </w:tr>
      <w:tr w:rsidR="00A64F7D" w:rsidRPr="00F60AE3" w14:paraId="4607BBD2" w14:textId="77777777" w:rsidTr="00AD08E5">
        <w:trPr>
          <w:trHeight w:val="300"/>
        </w:trPr>
        <w:tc>
          <w:tcPr>
            <w:tcW w:w="2977" w:type="dxa"/>
            <w:gridSpan w:val="2"/>
          </w:tcPr>
          <w:p w14:paraId="64F3CD0A" w14:textId="77777777" w:rsidR="00A64F7D" w:rsidRPr="00624BE1" w:rsidRDefault="00A64F7D" w:rsidP="00A64F7D">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A64F7D" w:rsidRPr="00624BE1" w:rsidRDefault="00A64F7D" w:rsidP="00A64F7D">
            <w:pPr>
              <w:rPr>
                <w:kern w:val="2"/>
                <w:sz w:val="22"/>
                <w:szCs w:val="22"/>
              </w:rPr>
            </w:pPr>
            <w:r w:rsidRPr="00624BE1">
              <w:rPr>
                <w:kern w:val="2"/>
                <w:sz w:val="22"/>
                <w:szCs w:val="22"/>
              </w:rPr>
              <w:t>Netaikoma</w:t>
            </w:r>
          </w:p>
          <w:p w14:paraId="45576D45" w14:textId="77777777" w:rsidR="00A64F7D" w:rsidRPr="00624BE1" w:rsidRDefault="00A64F7D" w:rsidP="00A64F7D">
            <w:pPr>
              <w:rPr>
                <w:kern w:val="2"/>
                <w:sz w:val="22"/>
                <w:szCs w:val="22"/>
              </w:rPr>
            </w:pPr>
          </w:p>
        </w:tc>
      </w:tr>
      <w:tr w:rsidR="00A64F7D" w:rsidRPr="00F60AE3" w14:paraId="42649896" w14:textId="77777777" w:rsidTr="00236446">
        <w:trPr>
          <w:trHeight w:val="300"/>
        </w:trPr>
        <w:tc>
          <w:tcPr>
            <w:tcW w:w="10632" w:type="dxa"/>
            <w:gridSpan w:val="5"/>
          </w:tcPr>
          <w:p w14:paraId="31BD3344" w14:textId="77777777" w:rsidR="00A64F7D" w:rsidRPr="00624BE1" w:rsidRDefault="00A64F7D" w:rsidP="00A64F7D">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A64F7D" w:rsidRPr="00F60AE3" w14:paraId="636F1E60" w14:textId="77777777" w:rsidTr="00AD08E5">
        <w:trPr>
          <w:trHeight w:val="300"/>
        </w:trPr>
        <w:tc>
          <w:tcPr>
            <w:tcW w:w="2977" w:type="dxa"/>
            <w:gridSpan w:val="2"/>
          </w:tcPr>
          <w:p w14:paraId="283E8703" w14:textId="77777777" w:rsidR="00A64F7D" w:rsidRPr="00624BE1" w:rsidRDefault="00A64F7D" w:rsidP="00A64F7D">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A64F7D" w:rsidRPr="00624BE1" w:rsidRDefault="00A64F7D" w:rsidP="00A64F7D">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A64F7D" w:rsidRPr="00F60AE3" w14:paraId="2603FC2C" w14:textId="77777777" w:rsidTr="00AD08E5">
        <w:trPr>
          <w:trHeight w:val="300"/>
        </w:trPr>
        <w:tc>
          <w:tcPr>
            <w:tcW w:w="2977" w:type="dxa"/>
            <w:gridSpan w:val="2"/>
          </w:tcPr>
          <w:p w14:paraId="38ED22DE" w14:textId="77777777" w:rsidR="00A64F7D" w:rsidRPr="00624BE1" w:rsidRDefault="00A64F7D" w:rsidP="00A64F7D">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A64F7D"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A64F7D" w:rsidRPr="008B432D" w:rsidRDefault="00A64F7D" w:rsidP="00A64F7D">
            <w:pPr>
              <w:jc w:val="both"/>
              <w:rPr>
                <w:b/>
                <w:bCs/>
                <w:kern w:val="2"/>
                <w:sz w:val="22"/>
                <w:szCs w:val="22"/>
              </w:rPr>
            </w:pPr>
            <w:r w:rsidRPr="008B432D">
              <w:rPr>
                <w:b/>
                <w:bCs/>
                <w:kern w:val="2"/>
                <w:sz w:val="22"/>
                <w:szCs w:val="22"/>
              </w:rPr>
              <w:lastRenderedPageBreak/>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A64F7D" w:rsidRPr="008B432D" w:rsidRDefault="00A64F7D" w:rsidP="00A64F7D">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A64F7D" w:rsidRPr="008B432D" w:rsidRDefault="00A64F7D" w:rsidP="00A64F7D">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A64F7D" w:rsidRPr="008B432D" w:rsidRDefault="00A64F7D" w:rsidP="00A64F7D">
            <w:pPr>
              <w:rPr>
                <w:kern w:val="2"/>
                <w:sz w:val="22"/>
                <w:szCs w:val="22"/>
              </w:rPr>
            </w:pPr>
          </w:p>
        </w:tc>
      </w:tr>
      <w:tr w:rsidR="00A64F7D"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A64F7D" w:rsidRPr="008B432D" w:rsidRDefault="00A64F7D" w:rsidP="00A64F7D">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A64F7D" w:rsidRPr="008B432D" w:rsidRDefault="00A64F7D" w:rsidP="00A64F7D">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A64F7D" w:rsidRPr="008B432D" w:rsidRDefault="00A64F7D" w:rsidP="00A64F7D">
            <w:pPr>
              <w:rPr>
                <w:kern w:val="2"/>
                <w:sz w:val="22"/>
                <w:szCs w:val="22"/>
              </w:rPr>
            </w:pPr>
          </w:p>
        </w:tc>
      </w:tr>
      <w:tr w:rsidR="00A64F7D"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A64F7D" w:rsidRPr="008B432D" w:rsidRDefault="00A64F7D" w:rsidP="00A64F7D">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A64F7D" w:rsidRPr="008B432D" w:rsidRDefault="00A64F7D" w:rsidP="00A64F7D">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A64F7D"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A64F7D" w:rsidRPr="008B432D" w:rsidRDefault="00A64F7D" w:rsidP="00A64F7D">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A64F7D" w:rsidRPr="008B432D" w:rsidRDefault="00A64F7D" w:rsidP="00A64F7D">
            <w:pPr>
              <w:jc w:val="both"/>
              <w:rPr>
                <w:color w:val="4472C4"/>
                <w:kern w:val="2"/>
                <w:sz w:val="22"/>
                <w:szCs w:val="22"/>
              </w:rPr>
            </w:pPr>
            <w:r w:rsidRPr="008B432D">
              <w:rPr>
                <w:color w:val="000000"/>
                <w:kern w:val="2"/>
                <w:sz w:val="22"/>
                <w:szCs w:val="22"/>
              </w:rPr>
              <w:t>Netaikoma</w:t>
            </w:r>
          </w:p>
          <w:p w14:paraId="2F64288E" w14:textId="77777777" w:rsidR="00A64F7D" w:rsidRPr="008B432D" w:rsidRDefault="00A64F7D" w:rsidP="00A64F7D">
            <w:pPr>
              <w:rPr>
                <w:color w:val="4472C4"/>
                <w:kern w:val="2"/>
                <w:sz w:val="22"/>
                <w:szCs w:val="22"/>
              </w:rPr>
            </w:pPr>
          </w:p>
        </w:tc>
      </w:tr>
      <w:tr w:rsidR="00A64F7D"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A64F7D" w:rsidRPr="008B432D" w:rsidRDefault="00A64F7D" w:rsidP="00A64F7D">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A64F7D" w:rsidRPr="008B432D" w:rsidRDefault="00A64F7D" w:rsidP="00A64F7D">
            <w:pPr>
              <w:rPr>
                <w:color w:val="FF0000"/>
                <w:kern w:val="2"/>
                <w:sz w:val="22"/>
                <w:szCs w:val="22"/>
              </w:rPr>
            </w:pPr>
            <w:r w:rsidRPr="008B432D">
              <w:rPr>
                <w:kern w:val="2"/>
                <w:sz w:val="22"/>
                <w:szCs w:val="22"/>
              </w:rPr>
              <w:t xml:space="preserve">Netaikoma </w:t>
            </w:r>
          </w:p>
          <w:p w14:paraId="76379730" w14:textId="77777777" w:rsidR="00A64F7D" w:rsidRPr="008B432D" w:rsidRDefault="00A64F7D" w:rsidP="00A64F7D">
            <w:pPr>
              <w:rPr>
                <w:color w:val="4472C4"/>
                <w:kern w:val="2"/>
                <w:sz w:val="22"/>
                <w:szCs w:val="22"/>
              </w:rPr>
            </w:pPr>
          </w:p>
          <w:p w14:paraId="4DAFFDCE" w14:textId="77777777" w:rsidR="00A64F7D" w:rsidRPr="008B432D" w:rsidRDefault="00A64F7D" w:rsidP="00A64F7D">
            <w:pPr>
              <w:rPr>
                <w:color w:val="4472C4"/>
                <w:kern w:val="2"/>
                <w:sz w:val="22"/>
                <w:szCs w:val="22"/>
              </w:rPr>
            </w:pPr>
          </w:p>
        </w:tc>
      </w:tr>
      <w:tr w:rsidR="00A64F7D"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A64F7D" w:rsidRPr="008B432D" w:rsidRDefault="00A64F7D" w:rsidP="00A64F7D">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A64F7D" w:rsidRPr="008B432D" w:rsidRDefault="00A64F7D" w:rsidP="00A64F7D">
            <w:pPr>
              <w:rPr>
                <w:kern w:val="2"/>
                <w:sz w:val="22"/>
                <w:szCs w:val="22"/>
              </w:rPr>
            </w:pPr>
            <w:r w:rsidRPr="008B432D">
              <w:rPr>
                <w:kern w:val="2"/>
                <w:sz w:val="22"/>
                <w:szCs w:val="22"/>
              </w:rPr>
              <w:t>Netaikoma</w:t>
            </w:r>
          </w:p>
          <w:p w14:paraId="0B8A59BC" w14:textId="77777777" w:rsidR="00A64F7D" w:rsidRPr="008B432D" w:rsidRDefault="00A64F7D" w:rsidP="00A64F7D">
            <w:pPr>
              <w:rPr>
                <w:color w:val="4472C4"/>
                <w:kern w:val="2"/>
                <w:sz w:val="22"/>
                <w:szCs w:val="22"/>
              </w:rPr>
            </w:pPr>
          </w:p>
          <w:p w14:paraId="55A130BA" w14:textId="77777777" w:rsidR="00A64F7D" w:rsidRPr="008B432D" w:rsidRDefault="00A64F7D" w:rsidP="00A64F7D">
            <w:pPr>
              <w:rPr>
                <w:color w:val="4472C4"/>
                <w:kern w:val="2"/>
                <w:sz w:val="22"/>
                <w:szCs w:val="22"/>
              </w:rPr>
            </w:pPr>
          </w:p>
        </w:tc>
      </w:tr>
      <w:tr w:rsidR="00A64F7D"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A64F7D" w:rsidRPr="008B432D" w:rsidRDefault="00A64F7D" w:rsidP="00A64F7D">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A64F7D" w:rsidRPr="008B432D" w:rsidRDefault="00A64F7D" w:rsidP="00A64F7D">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A64F7D" w:rsidRPr="008B432D" w:rsidRDefault="00A64F7D" w:rsidP="00A64F7D">
            <w:pPr>
              <w:spacing w:line="259" w:lineRule="auto"/>
              <w:jc w:val="both"/>
              <w:rPr>
                <w:kern w:val="2"/>
                <w:sz w:val="22"/>
                <w:szCs w:val="22"/>
              </w:rPr>
            </w:pPr>
          </w:p>
          <w:p w14:paraId="655D1B5C" w14:textId="77777777" w:rsidR="00A64F7D" w:rsidRPr="008B432D" w:rsidRDefault="00A64F7D" w:rsidP="00A64F7D">
            <w:pPr>
              <w:jc w:val="both"/>
              <w:rPr>
                <w:sz w:val="22"/>
                <w:szCs w:val="22"/>
              </w:rPr>
            </w:pPr>
          </w:p>
          <w:p w14:paraId="3FEF873E" w14:textId="77777777" w:rsidR="00A64F7D" w:rsidRPr="008B432D" w:rsidRDefault="00A64F7D" w:rsidP="00A64F7D">
            <w:pPr>
              <w:jc w:val="both"/>
              <w:rPr>
                <w:color w:val="4472C4"/>
                <w:kern w:val="2"/>
                <w:sz w:val="22"/>
                <w:szCs w:val="22"/>
              </w:rPr>
            </w:pPr>
          </w:p>
        </w:tc>
      </w:tr>
      <w:tr w:rsidR="00A64F7D"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A64F7D" w:rsidRPr="008B432D" w:rsidRDefault="00A64F7D" w:rsidP="00A64F7D">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E78E203" w:rsidR="00A64F7D" w:rsidRPr="006A286D" w:rsidRDefault="00A64F7D" w:rsidP="00A64F7D">
            <w:pPr>
              <w:jc w:val="both"/>
              <w:rPr>
                <w:color w:val="000000" w:themeColor="text1"/>
                <w:kern w:val="2"/>
                <w:sz w:val="22"/>
                <w:szCs w:val="22"/>
              </w:rPr>
            </w:pPr>
            <w:r w:rsidRPr="006A286D">
              <w:rPr>
                <w:color w:val="000000" w:themeColor="text1"/>
                <w:kern w:val="2"/>
                <w:sz w:val="22"/>
                <w:szCs w:val="22"/>
              </w:rPr>
              <w:t>Netaikoma</w:t>
            </w:r>
          </w:p>
        </w:tc>
      </w:tr>
      <w:tr w:rsidR="00A64F7D" w:rsidRPr="00EC1F4C" w14:paraId="568CCC09" w14:textId="77777777" w:rsidTr="00236446">
        <w:trPr>
          <w:trHeight w:val="300"/>
        </w:trPr>
        <w:tc>
          <w:tcPr>
            <w:tcW w:w="10632" w:type="dxa"/>
            <w:gridSpan w:val="5"/>
          </w:tcPr>
          <w:p w14:paraId="42551ED6" w14:textId="77777777" w:rsidR="00A64F7D" w:rsidRPr="00EC1F4C" w:rsidRDefault="00A64F7D" w:rsidP="00A64F7D">
            <w:pPr>
              <w:jc w:val="center"/>
              <w:rPr>
                <w:b/>
                <w:bCs/>
                <w:kern w:val="2"/>
                <w:sz w:val="22"/>
                <w:szCs w:val="22"/>
              </w:rPr>
            </w:pPr>
            <w:r w:rsidRPr="00EC1F4C">
              <w:rPr>
                <w:b/>
                <w:kern w:val="2"/>
                <w:sz w:val="22"/>
                <w:szCs w:val="22"/>
              </w:rPr>
              <w:t>10. ESMINĖS SUTARTIES SĄLYGOS</w:t>
            </w:r>
          </w:p>
        </w:tc>
      </w:tr>
      <w:tr w:rsidR="00A64F7D" w:rsidRPr="00EC1F4C" w14:paraId="7DF99C2E" w14:textId="77777777" w:rsidTr="00AD08E5">
        <w:trPr>
          <w:trHeight w:val="300"/>
        </w:trPr>
        <w:tc>
          <w:tcPr>
            <w:tcW w:w="2977" w:type="dxa"/>
            <w:gridSpan w:val="2"/>
          </w:tcPr>
          <w:p w14:paraId="727C5C5E" w14:textId="77777777" w:rsidR="00A64F7D" w:rsidRPr="00EC1F4C" w:rsidRDefault="00A64F7D" w:rsidP="00A64F7D">
            <w:pPr>
              <w:rPr>
                <w:b/>
                <w:bCs/>
                <w:kern w:val="2"/>
                <w:sz w:val="22"/>
                <w:szCs w:val="22"/>
              </w:rPr>
            </w:pPr>
            <w:r w:rsidRPr="00EC1F4C">
              <w:rPr>
                <w:b/>
                <w:bCs/>
                <w:sz w:val="22"/>
                <w:szCs w:val="22"/>
              </w:rPr>
              <w:t>10.1. Esminės Sutarties sąlygos</w:t>
            </w:r>
          </w:p>
        </w:tc>
        <w:tc>
          <w:tcPr>
            <w:tcW w:w="7655" w:type="dxa"/>
            <w:gridSpan w:val="3"/>
          </w:tcPr>
          <w:p w14:paraId="27F07FF4" w14:textId="77777777" w:rsidR="00A64F7D" w:rsidRPr="00EC1F4C" w:rsidRDefault="00A64F7D" w:rsidP="00A64F7D">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A64F7D" w:rsidRPr="00EC1F4C" w:rsidRDefault="00A64F7D" w:rsidP="00A64F7D">
            <w:pPr>
              <w:jc w:val="both"/>
              <w:rPr>
                <w:kern w:val="2"/>
                <w:sz w:val="22"/>
                <w:szCs w:val="22"/>
              </w:rPr>
            </w:pPr>
            <w:r w:rsidRPr="00EC1F4C">
              <w:rPr>
                <w:kern w:val="2"/>
                <w:sz w:val="22"/>
                <w:szCs w:val="22"/>
              </w:rPr>
              <w:t>10.1.2. Sutartyje nustatytų Prekių tiekimo terminų laikymasis;</w:t>
            </w:r>
          </w:p>
          <w:p w14:paraId="7C42FAE7" w14:textId="77777777" w:rsidR="00A64F7D" w:rsidRPr="00EC1F4C" w:rsidRDefault="00A64F7D" w:rsidP="00A64F7D">
            <w:pPr>
              <w:jc w:val="both"/>
              <w:rPr>
                <w:kern w:val="2"/>
                <w:sz w:val="22"/>
                <w:szCs w:val="22"/>
              </w:rPr>
            </w:pPr>
            <w:r w:rsidRPr="00EC1F4C">
              <w:rPr>
                <w:kern w:val="2"/>
                <w:sz w:val="22"/>
                <w:szCs w:val="22"/>
              </w:rPr>
              <w:t>10.1.3. Priskaičiuotų netesybų mokėjimas;</w:t>
            </w:r>
          </w:p>
          <w:p w14:paraId="30A07AC3" w14:textId="77777777" w:rsidR="00A64F7D" w:rsidRPr="00EC1F4C" w:rsidRDefault="00A64F7D" w:rsidP="00A64F7D">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A64F7D" w:rsidRPr="00EC1F4C" w:rsidRDefault="00A64F7D" w:rsidP="00A64F7D">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A64F7D" w:rsidRPr="00EC1F4C" w:rsidRDefault="00A64F7D" w:rsidP="00A64F7D">
            <w:pPr>
              <w:jc w:val="both"/>
              <w:rPr>
                <w:kern w:val="2"/>
                <w:sz w:val="22"/>
                <w:szCs w:val="22"/>
              </w:rPr>
            </w:pPr>
            <w:r w:rsidRPr="00EC1F4C">
              <w:rPr>
                <w:kern w:val="2"/>
                <w:sz w:val="22"/>
                <w:szCs w:val="22"/>
              </w:rPr>
              <w:lastRenderedPageBreak/>
              <w:t>10.1.6.Sutarties nuostatų, reglamentuojančių aplinkosauginius reikalavimus, laikymasis;</w:t>
            </w:r>
          </w:p>
          <w:p w14:paraId="410F8AE4" w14:textId="77777777" w:rsidR="00A64F7D" w:rsidRPr="00EC1F4C" w:rsidRDefault="00A64F7D" w:rsidP="00A64F7D">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A64F7D" w:rsidRDefault="00A64F7D" w:rsidP="00A64F7D">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3E969775" w:rsidR="00A64F7D" w:rsidRPr="00EC1F4C" w:rsidRDefault="00A64F7D" w:rsidP="00A64F7D">
            <w:pPr>
              <w:jc w:val="both"/>
              <w:rPr>
                <w:b/>
                <w:bCs/>
                <w:kern w:val="2"/>
                <w:sz w:val="22"/>
                <w:szCs w:val="22"/>
              </w:rPr>
            </w:pPr>
          </w:p>
        </w:tc>
      </w:tr>
      <w:tr w:rsidR="00A64F7D" w:rsidRPr="00EC1F4C" w14:paraId="04284321" w14:textId="77777777" w:rsidTr="00AD08E5">
        <w:trPr>
          <w:trHeight w:val="300"/>
        </w:trPr>
        <w:tc>
          <w:tcPr>
            <w:tcW w:w="2977" w:type="dxa"/>
            <w:gridSpan w:val="2"/>
          </w:tcPr>
          <w:p w14:paraId="6BE99422" w14:textId="77777777" w:rsidR="00A64F7D" w:rsidRPr="00EC1F4C" w:rsidRDefault="00A64F7D" w:rsidP="00A64F7D">
            <w:pPr>
              <w:rPr>
                <w:b/>
                <w:bCs/>
                <w:kern w:val="2"/>
                <w:sz w:val="22"/>
                <w:szCs w:val="22"/>
              </w:rPr>
            </w:pPr>
            <w:r w:rsidRPr="00EC1F4C">
              <w:rPr>
                <w:b/>
                <w:bCs/>
                <w:kern w:val="2"/>
                <w:sz w:val="22"/>
                <w:szCs w:val="22"/>
              </w:rPr>
              <w:lastRenderedPageBreak/>
              <w:t>10.2. Dideli arba nuolatiniai esminės Sutarties sąlygos vykdymo trūkumai</w:t>
            </w:r>
          </w:p>
        </w:tc>
        <w:tc>
          <w:tcPr>
            <w:tcW w:w="7655" w:type="dxa"/>
            <w:gridSpan w:val="3"/>
          </w:tcPr>
          <w:p w14:paraId="13F434DF" w14:textId="52C3CC49" w:rsidR="00D9615D" w:rsidRDefault="00D9615D" w:rsidP="00D9615D">
            <w:pPr>
              <w:spacing w:line="257" w:lineRule="auto"/>
              <w:jc w:val="both"/>
              <w:rPr>
                <w:rFonts w:eastAsia="Arial"/>
                <w:color w:val="000000" w:themeColor="text1"/>
                <w:kern w:val="2"/>
                <w:sz w:val="22"/>
                <w:szCs w:val="22"/>
                <w:lang w:val="lt"/>
              </w:rPr>
            </w:pPr>
            <w:r>
              <w:rPr>
                <w:kern w:val="2"/>
                <w:sz w:val="22"/>
                <w:szCs w:val="22"/>
              </w:rPr>
              <w:t>10.2.1.</w:t>
            </w:r>
            <w:r w:rsidRPr="00257880">
              <w:rPr>
                <w:rFonts w:eastAsia="Arial"/>
                <w:color w:val="000000" w:themeColor="text1"/>
                <w:kern w:val="2"/>
                <w:sz w:val="22"/>
                <w:szCs w:val="22"/>
                <w:lang w:val="lt"/>
              </w:rPr>
              <w:t xml:space="preserve">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daugiau nei </w:t>
            </w:r>
            <w:r>
              <w:rPr>
                <w:rFonts w:eastAsia="Arial"/>
                <w:color w:val="000000" w:themeColor="text1"/>
                <w:kern w:val="2"/>
                <w:sz w:val="22"/>
                <w:szCs w:val="22"/>
                <w:lang w:val="lt"/>
              </w:rPr>
              <w:t xml:space="preserve">5 (penkias) </w:t>
            </w:r>
            <w:r w:rsidRPr="00257880">
              <w:rPr>
                <w:rFonts w:eastAsia="Arial"/>
                <w:color w:val="000000" w:themeColor="text1"/>
                <w:kern w:val="2"/>
                <w:sz w:val="22"/>
                <w:szCs w:val="22"/>
                <w:lang w:val="lt"/>
              </w:rPr>
              <w:t>dien</w:t>
            </w:r>
            <w:r>
              <w:rPr>
                <w:rFonts w:eastAsia="Arial"/>
                <w:color w:val="000000" w:themeColor="text1"/>
                <w:kern w:val="2"/>
                <w:sz w:val="22"/>
                <w:szCs w:val="22"/>
                <w:lang w:val="lt"/>
              </w:rPr>
              <w:t>as;</w:t>
            </w:r>
          </w:p>
          <w:p w14:paraId="1A9D184B" w14:textId="77777777" w:rsidR="00D9615D" w:rsidRDefault="00D9615D" w:rsidP="00D9615D">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Pr="00257880">
              <w:rPr>
                <w:rFonts w:eastAsia="Arial"/>
                <w:color w:val="000000" w:themeColor="text1"/>
                <w:kern w:val="2"/>
                <w:sz w:val="22"/>
                <w:szCs w:val="22"/>
                <w:lang w:val="lt"/>
              </w:rPr>
              <w:t>.2.</w:t>
            </w:r>
            <w:r>
              <w:rPr>
                <w:rFonts w:eastAsia="Arial"/>
                <w:color w:val="000000" w:themeColor="text1"/>
                <w:kern w:val="2"/>
                <w:sz w:val="22"/>
                <w:szCs w:val="22"/>
                <w:lang w:val="lt"/>
              </w:rPr>
              <w:t>2</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 xml:space="preserve">5 (penkias) </w:t>
            </w:r>
            <w:r w:rsidRPr="00257880">
              <w:rPr>
                <w:color w:val="000000" w:themeColor="text1"/>
                <w:kern w:val="2"/>
                <w:sz w:val="22"/>
                <w:szCs w:val="22"/>
              </w:rPr>
              <w:t>dien</w:t>
            </w:r>
            <w:r>
              <w:rPr>
                <w:color w:val="000000" w:themeColor="text1"/>
                <w:kern w:val="2"/>
                <w:sz w:val="22"/>
                <w:szCs w:val="22"/>
              </w:rPr>
              <w:t>as</w:t>
            </w:r>
            <w:r w:rsidRPr="00257880">
              <w:rPr>
                <w:color w:val="000000" w:themeColor="text1"/>
                <w:kern w:val="2"/>
                <w:sz w:val="22"/>
                <w:szCs w:val="22"/>
              </w:rPr>
              <w:t xml:space="preserve"> neištaiso pažeidimo</w:t>
            </w:r>
            <w:r w:rsidRPr="00257880">
              <w:rPr>
                <w:rFonts w:eastAsia="Arial"/>
                <w:color w:val="000000" w:themeColor="text1"/>
                <w:kern w:val="2"/>
                <w:sz w:val="22"/>
                <w:szCs w:val="22"/>
                <w:lang w:val="lt"/>
              </w:rPr>
              <w:t>;</w:t>
            </w:r>
          </w:p>
          <w:p w14:paraId="17B9C173" w14:textId="77777777" w:rsidR="00D9615D" w:rsidRPr="00257880" w:rsidRDefault="00D9615D" w:rsidP="00D9615D">
            <w:pPr>
              <w:jc w:val="both"/>
              <w:rPr>
                <w:kern w:val="2"/>
                <w:sz w:val="22"/>
                <w:szCs w:val="22"/>
              </w:rPr>
            </w:pPr>
            <w:r>
              <w:rPr>
                <w:kern w:val="2"/>
                <w:sz w:val="22"/>
                <w:szCs w:val="22"/>
              </w:rPr>
              <w:t>10.</w:t>
            </w:r>
            <w:r w:rsidRPr="00257880">
              <w:rPr>
                <w:kern w:val="2"/>
                <w:sz w:val="22"/>
                <w:szCs w:val="22"/>
              </w:rPr>
              <w:t>2.</w:t>
            </w:r>
            <w:r>
              <w:rPr>
                <w:kern w:val="2"/>
                <w:sz w:val="22"/>
                <w:szCs w:val="22"/>
              </w:rPr>
              <w:t>3</w:t>
            </w:r>
            <w:r w:rsidRPr="00257880">
              <w:rPr>
                <w:kern w:val="2"/>
                <w:sz w:val="22"/>
                <w:szCs w:val="22"/>
              </w:rPr>
              <w:t>. Tiekėjas pažeidžia Bendrųjų sąlygų nuostatas, reglamentuojančias konkurenciją, intelektinės nuosavybės ar konfidencialios informacijos valdymą;</w:t>
            </w:r>
          </w:p>
          <w:p w14:paraId="5C109B72" w14:textId="7C5922E5" w:rsidR="00A64F7D" w:rsidRPr="00EC1F4C" w:rsidRDefault="00D9615D" w:rsidP="00A64F7D">
            <w:pPr>
              <w:jc w:val="both"/>
              <w:rPr>
                <w:kern w:val="2"/>
                <w:sz w:val="22"/>
                <w:szCs w:val="22"/>
              </w:rPr>
            </w:pPr>
            <w:r>
              <w:rPr>
                <w:kern w:val="2"/>
                <w:sz w:val="22"/>
                <w:szCs w:val="22"/>
              </w:rPr>
              <w:t>10</w:t>
            </w:r>
            <w:r w:rsidRPr="00257880">
              <w:rPr>
                <w:kern w:val="2"/>
                <w:sz w:val="22"/>
                <w:szCs w:val="22"/>
              </w:rPr>
              <w:t>.2.</w:t>
            </w:r>
            <w:r>
              <w:rPr>
                <w:kern w:val="2"/>
                <w:sz w:val="22"/>
                <w:szCs w:val="22"/>
              </w:rPr>
              <w:t>4</w:t>
            </w:r>
            <w:r w:rsidRPr="00257880">
              <w:rPr>
                <w:kern w:val="2"/>
                <w:sz w:val="22"/>
                <w:szCs w:val="22"/>
              </w:rPr>
              <w:t>. Tiekėjas pažeidžia Bendrųjų sąlygų nuostatas dėl Sutarties vykdymui pasitelkiamų naujų subtiekėjų ir (ar specialistų) / esamų subtiekėjų ir (ar) specialistų keitimo.</w:t>
            </w:r>
          </w:p>
        </w:tc>
      </w:tr>
      <w:tr w:rsidR="00A64F7D" w:rsidRPr="008B432D" w14:paraId="06C34DCE" w14:textId="77777777" w:rsidTr="00236446">
        <w:trPr>
          <w:trHeight w:val="300"/>
        </w:trPr>
        <w:tc>
          <w:tcPr>
            <w:tcW w:w="10632" w:type="dxa"/>
            <w:gridSpan w:val="5"/>
          </w:tcPr>
          <w:p w14:paraId="17A3ECE2"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A64F7D" w:rsidRPr="008B432D" w14:paraId="2A5FB6A2" w14:textId="77777777" w:rsidTr="00AD08E5">
        <w:trPr>
          <w:trHeight w:val="300"/>
        </w:trPr>
        <w:tc>
          <w:tcPr>
            <w:tcW w:w="2977" w:type="dxa"/>
            <w:gridSpan w:val="2"/>
          </w:tcPr>
          <w:p w14:paraId="0D8C980E"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A64F7D" w:rsidRPr="008B432D" w:rsidRDefault="00A64F7D" w:rsidP="00A64F7D">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47D28320" w:rsidR="00A64F7D" w:rsidRPr="008B432D" w:rsidRDefault="00A64F7D" w:rsidP="00A64F7D">
            <w:pPr>
              <w:jc w:val="both"/>
              <w:rPr>
                <w:color w:val="4472C4"/>
                <w:kern w:val="2"/>
                <w:sz w:val="22"/>
                <w:szCs w:val="22"/>
              </w:rPr>
            </w:pPr>
            <w:r w:rsidRPr="008B432D">
              <w:rPr>
                <w:color w:val="000000"/>
                <w:kern w:val="2"/>
                <w:sz w:val="22"/>
                <w:szCs w:val="22"/>
              </w:rPr>
              <w:t xml:space="preserve">Sutartis galioja iki visiško prievolių įvykdymo (kol bus išnaudota Pradinės Sutarties vertė), bet jos terminas negali būti ilgesnis kaip </w:t>
            </w:r>
            <w:r w:rsidR="00741821">
              <w:rPr>
                <w:color w:val="000000"/>
                <w:kern w:val="2"/>
                <w:sz w:val="22"/>
                <w:szCs w:val="22"/>
              </w:rPr>
              <w:t>9</w:t>
            </w:r>
            <w:r w:rsidRPr="008B432D">
              <w:rPr>
                <w:b/>
                <w:bCs/>
                <w:color w:val="000000" w:themeColor="text1"/>
                <w:sz w:val="22"/>
                <w:szCs w:val="22"/>
              </w:rPr>
              <w:t xml:space="preserve"> </w:t>
            </w:r>
            <w:r w:rsidRPr="00103677">
              <w:rPr>
                <w:color w:val="000000" w:themeColor="text1"/>
                <w:sz w:val="22"/>
                <w:szCs w:val="22"/>
              </w:rPr>
              <w:t>(</w:t>
            </w:r>
            <w:r w:rsidR="003E1BF7">
              <w:rPr>
                <w:color w:val="000000" w:themeColor="text1"/>
                <w:sz w:val="22"/>
                <w:szCs w:val="22"/>
              </w:rPr>
              <w:t>devyni</w:t>
            </w:r>
            <w:r w:rsidRPr="00103677">
              <w:rPr>
                <w:sz w:val="22"/>
                <w:szCs w:val="22"/>
              </w:rPr>
              <w:t>) mėnesi</w:t>
            </w:r>
            <w:r w:rsidR="00DC7D72">
              <w:rPr>
                <w:sz w:val="22"/>
                <w:szCs w:val="22"/>
              </w:rPr>
              <w:t>ai</w:t>
            </w:r>
            <w:r w:rsidRPr="008B432D">
              <w:rPr>
                <w:b/>
                <w:sz w:val="22"/>
                <w:szCs w:val="22"/>
              </w:rPr>
              <w:t xml:space="preserve"> </w:t>
            </w:r>
            <w:r w:rsidRPr="008B432D">
              <w:rPr>
                <w:sz w:val="22"/>
                <w:szCs w:val="22"/>
              </w:rPr>
              <w:t xml:space="preserve">(sutarties vykdymo trukmė (prekių tiekimo terminas) - </w:t>
            </w:r>
            <w:r w:rsidR="003E1BF7">
              <w:rPr>
                <w:sz w:val="22"/>
                <w:szCs w:val="22"/>
              </w:rPr>
              <w:t>7</w:t>
            </w:r>
            <w:r w:rsidRPr="008B432D">
              <w:rPr>
                <w:sz w:val="22"/>
                <w:szCs w:val="22"/>
              </w:rPr>
              <w:t xml:space="preserve"> (</w:t>
            </w:r>
            <w:r w:rsidR="003E1BF7">
              <w:rPr>
                <w:sz w:val="22"/>
                <w:szCs w:val="22"/>
              </w:rPr>
              <w:t>septyni</w:t>
            </w:r>
            <w:r w:rsidRPr="008B432D">
              <w:rPr>
                <w:sz w:val="22"/>
                <w:szCs w:val="22"/>
              </w:rPr>
              <w:t>) mėnesi</w:t>
            </w:r>
            <w:r w:rsidR="00DC7D72">
              <w:rPr>
                <w:sz w:val="22"/>
                <w:szCs w:val="22"/>
              </w:rPr>
              <w:t>ai,</w:t>
            </w:r>
            <w:r w:rsidRPr="008B432D">
              <w:rPr>
                <w:sz w:val="22"/>
                <w:szCs w:val="22"/>
              </w:rPr>
              <w:t xml:space="preserve"> atsiskaitymo terminas – 2 (du) mėnesiai</w:t>
            </w:r>
            <w:r w:rsidRPr="008B432D">
              <w:rPr>
                <w:color w:val="000000" w:themeColor="text1"/>
                <w:sz w:val="22"/>
                <w:szCs w:val="22"/>
              </w:rPr>
              <w:t>.</w:t>
            </w:r>
          </w:p>
        </w:tc>
      </w:tr>
      <w:tr w:rsidR="00A64F7D" w:rsidRPr="008B432D" w14:paraId="68A21118" w14:textId="77777777" w:rsidTr="00AD08E5">
        <w:trPr>
          <w:trHeight w:val="300"/>
        </w:trPr>
        <w:tc>
          <w:tcPr>
            <w:tcW w:w="2977" w:type="dxa"/>
            <w:gridSpan w:val="2"/>
          </w:tcPr>
          <w:p w14:paraId="34EE3FE4"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A64F7D" w:rsidRPr="008B432D" w:rsidRDefault="00A64F7D" w:rsidP="00A64F7D">
            <w:pPr>
              <w:jc w:val="both"/>
              <w:rPr>
                <w:kern w:val="2"/>
                <w:sz w:val="22"/>
                <w:szCs w:val="22"/>
              </w:rPr>
            </w:pPr>
            <w:r>
              <w:rPr>
                <w:kern w:val="2"/>
                <w:sz w:val="22"/>
                <w:szCs w:val="22"/>
              </w:rPr>
              <w:t>Netaikoma</w:t>
            </w:r>
          </w:p>
        </w:tc>
      </w:tr>
      <w:tr w:rsidR="00A64F7D" w:rsidRPr="008B432D" w14:paraId="62BC2A1B" w14:textId="77777777" w:rsidTr="00236446">
        <w:trPr>
          <w:trHeight w:val="300"/>
        </w:trPr>
        <w:tc>
          <w:tcPr>
            <w:tcW w:w="10632" w:type="dxa"/>
            <w:gridSpan w:val="5"/>
          </w:tcPr>
          <w:p w14:paraId="2C76C04E"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A64F7D" w:rsidRPr="008B432D" w14:paraId="194EBFB3" w14:textId="77777777" w:rsidTr="00CB4D2E">
        <w:trPr>
          <w:trHeight w:val="300"/>
        </w:trPr>
        <w:tc>
          <w:tcPr>
            <w:tcW w:w="2977" w:type="dxa"/>
            <w:gridSpan w:val="2"/>
          </w:tcPr>
          <w:p w14:paraId="67A8295E"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A64F7D" w:rsidRPr="008B432D" w:rsidRDefault="00A64F7D" w:rsidP="00A64F7D">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A64F7D" w:rsidRPr="008B432D" w14:paraId="665A42AF" w14:textId="77777777" w:rsidTr="00CB4D2E">
        <w:trPr>
          <w:trHeight w:val="300"/>
        </w:trPr>
        <w:tc>
          <w:tcPr>
            <w:tcW w:w="2977" w:type="dxa"/>
            <w:gridSpan w:val="2"/>
          </w:tcPr>
          <w:p w14:paraId="7D1CE681"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A64F7D" w:rsidRPr="008B432D" w:rsidRDefault="00A64F7D" w:rsidP="00A64F7D">
            <w:pPr>
              <w:rPr>
                <w:b/>
                <w:bCs/>
                <w:kern w:val="2"/>
                <w:sz w:val="22"/>
                <w:szCs w:val="22"/>
              </w:rPr>
            </w:pPr>
          </w:p>
        </w:tc>
        <w:tc>
          <w:tcPr>
            <w:tcW w:w="7655" w:type="dxa"/>
            <w:gridSpan w:val="3"/>
          </w:tcPr>
          <w:p w14:paraId="1E93F857" w14:textId="77777777" w:rsidR="00D9615D" w:rsidRPr="00257880" w:rsidRDefault="00D9615D" w:rsidP="00D9615D">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2DAAEF62" w14:textId="1E80D560" w:rsidR="00D9615D" w:rsidRDefault="00D9615D" w:rsidP="00D9615D">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daugiau nei </w:t>
            </w:r>
            <w:r>
              <w:rPr>
                <w:rFonts w:eastAsia="Arial"/>
                <w:color w:val="000000" w:themeColor="text1"/>
                <w:kern w:val="2"/>
                <w:sz w:val="22"/>
                <w:szCs w:val="22"/>
                <w:lang w:val="lt"/>
              </w:rPr>
              <w:t>10</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 xml:space="preserve">(dešimt)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11AE4AE9" w14:textId="77777777" w:rsidR="00D9615D" w:rsidRPr="00257880" w:rsidRDefault="00D9615D" w:rsidP="00D9615D">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67C8AFC" w14:textId="77777777" w:rsidR="00D9615D" w:rsidRDefault="00D9615D" w:rsidP="00D9615D">
            <w:pPr>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257880">
              <w:rPr>
                <w:color w:val="000000" w:themeColor="text1"/>
                <w:kern w:val="2"/>
                <w:sz w:val="22"/>
                <w:szCs w:val="22"/>
              </w:rPr>
              <w:t xml:space="preserve">0 </w:t>
            </w:r>
            <w:r>
              <w:rPr>
                <w:color w:val="000000" w:themeColor="text1"/>
                <w:kern w:val="2"/>
                <w:sz w:val="22"/>
                <w:szCs w:val="22"/>
              </w:rPr>
              <w:t xml:space="preserve">(dešimt) </w:t>
            </w:r>
            <w:r w:rsidRPr="00257880">
              <w:rPr>
                <w:color w:val="000000" w:themeColor="text1"/>
                <w:kern w:val="2"/>
                <w:sz w:val="22"/>
                <w:szCs w:val="22"/>
              </w:rPr>
              <w:t>dienų neištaiso pažeidimo</w:t>
            </w:r>
            <w:r>
              <w:rPr>
                <w:color w:val="000000" w:themeColor="text1"/>
                <w:kern w:val="2"/>
                <w:sz w:val="22"/>
                <w:szCs w:val="22"/>
              </w:rPr>
              <w:t>;</w:t>
            </w:r>
          </w:p>
          <w:p w14:paraId="52ECC42E" w14:textId="77777777" w:rsidR="00D9615D" w:rsidRPr="002145B0" w:rsidRDefault="00D9615D" w:rsidP="00D9615D">
            <w:pPr>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w:t>
            </w:r>
            <w:r w:rsidRPr="004D4FC5">
              <w:rPr>
                <w:kern w:val="2"/>
                <w:sz w:val="22"/>
                <w:szCs w:val="22"/>
              </w:rPr>
              <w:t>Teikėjas</w:t>
            </w:r>
            <w:r>
              <w:rPr>
                <w:kern w:val="2"/>
                <w:sz w:val="22"/>
                <w:szCs w:val="22"/>
              </w:rPr>
              <w:t xml:space="preserve"> </w:t>
            </w:r>
            <w:r w:rsidRPr="004D4FC5">
              <w:rPr>
                <w:kern w:val="2"/>
                <w:sz w:val="22"/>
                <w:szCs w:val="22"/>
              </w:rPr>
              <w:t>pažeidžia šios Sutarties nuostatas, reglamentuojančias aplinkosauginių reikalavimų laikymąsi</w:t>
            </w:r>
            <w:r w:rsidRPr="00257880">
              <w:rPr>
                <w:rFonts w:eastAsia="Arial"/>
                <w:color w:val="000000" w:themeColor="text1"/>
                <w:kern w:val="2"/>
                <w:sz w:val="22"/>
                <w:szCs w:val="22"/>
                <w:lang w:val="lt"/>
              </w:rPr>
              <w:t xml:space="preserve"> ir per </w:t>
            </w:r>
            <w:r>
              <w:rPr>
                <w:rFonts w:eastAsia="Arial"/>
                <w:color w:val="000000" w:themeColor="text1"/>
                <w:kern w:val="2"/>
                <w:sz w:val="22"/>
                <w:szCs w:val="22"/>
                <w:lang w:val="lt"/>
              </w:rPr>
              <w:t>1</w:t>
            </w:r>
            <w:r w:rsidRPr="00257880">
              <w:rPr>
                <w:color w:val="000000" w:themeColor="text1"/>
                <w:kern w:val="2"/>
                <w:sz w:val="22"/>
                <w:szCs w:val="22"/>
              </w:rPr>
              <w:t xml:space="preserve">0 </w:t>
            </w:r>
            <w:r>
              <w:rPr>
                <w:color w:val="000000" w:themeColor="text1"/>
                <w:kern w:val="2"/>
                <w:sz w:val="22"/>
                <w:szCs w:val="22"/>
              </w:rPr>
              <w:t xml:space="preserve">(dešimt)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602F025C" w14:textId="77777777" w:rsidR="00D9615D" w:rsidRPr="00257880" w:rsidRDefault="00D9615D" w:rsidP="00D9615D">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6</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w:t>
            </w:r>
            <w:r>
              <w:rPr>
                <w:rFonts w:eastAsia="Arial"/>
                <w:color w:val="000000" w:themeColor="text1"/>
                <w:kern w:val="2"/>
                <w:sz w:val="22"/>
                <w:szCs w:val="22"/>
                <w:lang w:val="lt"/>
              </w:rPr>
              <w:t>0</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dešimt</w:t>
            </w:r>
            <w:r w:rsidRPr="00257880">
              <w:rPr>
                <w:rFonts w:eastAsia="Arial"/>
                <w:color w:val="000000" w:themeColor="text1"/>
                <w:kern w:val="2"/>
                <w:sz w:val="22"/>
                <w:szCs w:val="22"/>
                <w:lang w:val="lt"/>
              </w:rPr>
              <w:t>) dienų nuo kvalifikacijos tapimo neatitinkančia dienos;</w:t>
            </w:r>
          </w:p>
          <w:p w14:paraId="067A619C" w14:textId="77777777" w:rsidR="00D9615D" w:rsidRPr="00257880" w:rsidRDefault="00D9615D" w:rsidP="00D9615D">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84F541B" w14:textId="1E29E4E6" w:rsidR="00A64F7D" w:rsidRPr="00460D93" w:rsidRDefault="00D9615D" w:rsidP="00A64F7D">
            <w:pPr>
              <w:spacing w:line="257" w:lineRule="auto"/>
              <w:jc w:val="both"/>
              <w:rPr>
                <w:rFonts w:eastAsia="Arial"/>
                <w:color w:val="FF0000"/>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64F7D" w:rsidRPr="00F60AE3" w14:paraId="065D332E" w14:textId="77777777" w:rsidTr="00236446">
        <w:trPr>
          <w:trHeight w:val="300"/>
        </w:trPr>
        <w:tc>
          <w:tcPr>
            <w:tcW w:w="10632" w:type="dxa"/>
            <w:gridSpan w:val="5"/>
          </w:tcPr>
          <w:p w14:paraId="2FBD25BB" w14:textId="77777777" w:rsidR="00A64F7D" w:rsidRPr="00624BE1" w:rsidRDefault="00A64F7D" w:rsidP="00A64F7D">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A64F7D" w:rsidRPr="00F60AE3" w14:paraId="2F969B98" w14:textId="77777777" w:rsidTr="00CB4D2E">
        <w:trPr>
          <w:trHeight w:val="300"/>
        </w:trPr>
        <w:tc>
          <w:tcPr>
            <w:tcW w:w="2977" w:type="dxa"/>
            <w:gridSpan w:val="2"/>
          </w:tcPr>
          <w:p w14:paraId="408120AF"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1CE53B9C" w14:textId="77777777" w:rsidR="00A64F7D" w:rsidRDefault="00A64F7D" w:rsidP="00A64F7D">
            <w:pPr>
              <w:jc w:val="both"/>
              <w:rPr>
                <w:color w:val="000000"/>
                <w:kern w:val="2"/>
                <w:sz w:val="22"/>
                <w:szCs w:val="22"/>
                <w:shd w:val="clear" w:color="auto" w:fill="FFFFFF"/>
              </w:rPr>
            </w:pPr>
            <w:r w:rsidRPr="00786BCC">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BD5B1E0" w14:textId="56C34970" w:rsidR="00A64F7D" w:rsidRPr="002635D6" w:rsidRDefault="00A64F7D" w:rsidP="00A64F7D">
            <w:pPr>
              <w:jc w:val="both"/>
              <w:rPr>
                <w:sz w:val="22"/>
                <w:szCs w:val="22"/>
              </w:rPr>
            </w:pPr>
            <w:r>
              <w:rPr>
                <w:sz w:val="22"/>
                <w:szCs w:val="22"/>
              </w:rPr>
              <w:lastRenderedPageBreak/>
              <w:t xml:space="preserve">13.1.2. </w:t>
            </w: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015B358" w14:textId="1EB7D348" w:rsidR="00A64F7D" w:rsidRPr="002635D6" w:rsidRDefault="00A64F7D" w:rsidP="00A64F7D">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2"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8CBF60" w14:textId="2D66F9C1" w:rsidR="00A64F7D" w:rsidRPr="00455BEA" w:rsidRDefault="00A64F7D" w:rsidP="00A64F7D">
            <w:pPr>
              <w:jc w:val="both"/>
              <w:rPr>
                <w:b/>
                <w:bCs/>
                <w:kern w:val="2"/>
                <w:sz w:val="22"/>
                <w:szCs w:val="22"/>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 xml:space="preserve">Nustačius, kad Tiekėjas šiame punkte nustatytų reikalavimų nesilaiko, </w:t>
            </w:r>
            <w:r w:rsidRPr="00E15AC1">
              <w:rPr>
                <w:color w:val="000000"/>
                <w:sz w:val="22"/>
                <w:szCs w:val="22"/>
                <w:bdr w:val="none" w:sz="0" w:space="0" w:color="auto" w:frame="1"/>
                <w:shd w:val="clear" w:color="auto" w:fill="FFFFFF"/>
              </w:rPr>
              <w:t>Tiekėjui taikoma Specialiųjų sąlygų 9.5 punkte nurodyto dydžio bauda.</w:t>
            </w:r>
          </w:p>
        </w:tc>
      </w:tr>
      <w:tr w:rsidR="00A64F7D" w:rsidRPr="00F60AE3" w14:paraId="4E474772" w14:textId="77777777" w:rsidTr="00CB4D2E">
        <w:trPr>
          <w:trHeight w:val="300"/>
        </w:trPr>
        <w:tc>
          <w:tcPr>
            <w:tcW w:w="2977" w:type="dxa"/>
            <w:gridSpan w:val="2"/>
          </w:tcPr>
          <w:p w14:paraId="3885D044" w14:textId="6C6DF0C7" w:rsidR="00A64F7D" w:rsidRPr="00624BE1" w:rsidRDefault="00A64F7D" w:rsidP="00A64F7D">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A64F7D" w:rsidRPr="00624BE1" w:rsidRDefault="00A64F7D" w:rsidP="00A64F7D">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A64F7D" w:rsidRPr="00624BE1" w:rsidRDefault="00A64F7D" w:rsidP="00A64F7D">
            <w:pPr>
              <w:rPr>
                <w:color w:val="000000"/>
                <w:kern w:val="2"/>
                <w:sz w:val="22"/>
                <w:szCs w:val="22"/>
                <w:shd w:val="clear" w:color="auto" w:fill="FFFFFF"/>
              </w:rPr>
            </w:pPr>
          </w:p>
          <w:p w14:paraId="1034A269" w14:textId="77777777" w:rsidR="00A64F7D" w:rsidRPr="00624BE1" w:rsidRDefault="00A64F7D" w:rsidP="00A64F7D">
            <w:pPr>
              <w:rPr>
                <w:color w:val="0070C0"/>
                <w:kern w:val="2"/>
                <w:sz w:val="22"/>
                <w:szCs w:val="22"/>
              </w:rPr>
            </w:pPr>
          </w:p>
        </w:tc>
      </w:tr>
      <w:tr w:rsidR="00A64F7D" w:rsidRPr="00F60AE3" w14:paraId="517DCDD3" w14:textId="77777777" w:rsidTr="00236446">
        <w:trPr>
          <w:trHeight w:val="300"/>
        </w:trPr>
        <w:tc>
          <w:tcPr>
            <w:tcW w:w="10632" w:type="dxa"/>
            <w:gridSpan w:val="5"/>
          </w:tcPr>
          <w:p w14:paraId="1F8CCE30"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A64F7D" w:rsidRPr="00624BE1" w:rsidRDefault="00A64F7D" w:rsidP="00A64F7D">
            <w:pPr>
              <w:jc w:val="center"/>
              <w:rPr>
                <w:kern w:val="2"/>
                <w:sz w:val="22"/>
                <w:szCs w:val="22"/>
              </w:rPr>
            </w:pPr>
            <w:r w:rsidRPr="00624BE1">
              <w:rPr>
                <w:kern w:val="2"/>
                <w:sz w:val="22"/>
                <w:szCs w:val="22"/>
              </w:rPr>
              <w:t xml:space="preserve">(jeigu būtina dėl konkretaus Sutarties dalyko specifikos) </w:t>
            </w:r>
          </w:p>
        </w:tc>
      </w:tr>
      <w:tr w:rsidR="00A64F7D" w:rsidRPr="00F60AE3" w14:paraId="2D220E30" w14:textId="77777777" w:rsidTr="00CB4D2E">
        <w:trPr>
          <w:trHeight w:val="300"/>
        </w:trPr>
        <w:tc>
          <w:tcPr>
            <w:tcW w:w="2977" w:type="dxa"/>
            <w:gridSpan w:val="2"/>
          </w:tcPr>
          <w:p w14:paraId="624DFCE1"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A64F7D" w:rsidRPr="00E86182" w:rsidRDefault="00A64F7D" w:rsidP="00A64F7D">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A64F7D" w:rsidRPr="00F60AE3" w14:paraId="6C6008A6" w14:textId="77777777" w:rsidTr="00236446">
        <w:trPr>
          <w:trHeight w:val="300"/>
        </w:trPr>
        <w:tc>
          <w:tcPr>
            <w:tcW w:w="10632" w:type="dxa"/>
            <w:gridSpan w:val="5"/>
          </w:tcPr>
          <w:p w14:paraId="0E8701E3"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A64F7D" w:rsidRPr="00F60AE3" w14:paraId="539417F1" w14:textId="77777777" w:rsidTr="00CB4D2E">
        <w:trPr>
          <w:trHeight w:val="470"/>
        </w:trPr>
        <w:tc>
          <w:tcPr>
            <w:tcW w:w="2977" w:type="dxa"/>
            <w:gridSpan w:val="2"/>
          </w:tcPr>
          <w:p w14:paraId="3B38C86F"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A64F7D" w:rsidRPr="00624BE1" w:rsidRDefault="00A64F7D" w:rsidP="00A64F7D">
            <w:pPr>
              <w:rPr>
                <w:b/>
                <w:bCs/>
                <w:kern w:val="2"/>
                <w:sz w:val="22"/>
                <w:szCs w:val="22"/>
              </w:rPr>
            </w:pPr>
          </w:p>
        </w:tc>
        <w:tc>
          <w:tcPr>
            <w:tcW w:w="7655" w:type="dxa"/>
            <w:gridSpan w:val="3"/>
          </w:tcPr>
          <w:p w14:paraId="762F4ACB" w14:textId="77777777" w:rsidR="00A64F7D" w:rsidRPr="00624BE1" w:rsidRDefault="00A64F7D" w:rsidP="00A64F7D">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A64F7D" w:rsidRPr="00624BE1" w:rsidRDefault="00A64F7D" w:rsidP="00A64F7D">
            <w:pPr>
              <w:rPr>
                <w:bCs/>
                <w:kern w:val="2"/>
                <w:sz w:val="22"/>
                <w:szCs w:val="22"/>
              </w:rPr>
            </w:pPr>
          </w:p>
        </w:tc>
      </w:tr>
      <w:tr w:rsidR="00A64F7D" w:rsidRPr="00F60AE3" w14:paraId="04861839" w14:textId="77777777" w:rsidTr="00236446">
        <w:tc>
          <w:tcPr>
            <w:tcW w:w="10632" w:type="dxa"/>
            <w:gridSpan w:val="5"/>
          </w:tcPr>
          <w:p w14:paraId="0D86B979"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A64F7D" w:rsidRPr="00F60AE3" w14:paraId="5148CD14" w14:textId="77777777" w:rsidTr="00236446">
        <w:tc>
          <w:tcPr>
            <w:tcW w:w="5501" w:type="dxa"/>
            <w:gridSpan w:val="3"/>
          </w:tcPr>
          <w:p w14:paraId="275BFE34" w14:textId="77777777" w:rsidR="00A64F7D" w:rsidRPr="00624BE1" w:rsidRDefault="00A64F7D" w:rsidP="00A64F7D">
            <w:pPr>
              <w:jc w:val="center"/>
              <w:rPr>
                <w:b/>
                <w:bCs/>
                <w:kern w:val="2"/>
                <w:sz w:val="22"/>
                <w:szCs w:val="22"/>
              </w:rPr>
            </w:pPr>
            <w:r w:rsidRPr="00624BE1">
              <w:rPr>
                <w:b/>
                <w:bCs/>
                <w:kern w:val="2"/>
                <w:sz w:val="22"/>
                <w:szCs w:val="22"/>
              </w:rPr>
              <w:t>PIRKĖJAS</w:t>
            </w:r>
          </w:p>
        </w:tc>
        <w:tc>
          <w:tcPr>
            <w:tcW w:w="5131" w:type="dxa"/>
            <w:gridSpan w:val="2"/>
          </w:tcPr>
          <w:p w14:paraId="0F33CCE9" w14:textId="77777777" w:rsidR="00A64F7D" w:rsidRPr="00624BE1" w:rsidRDefault="00A64F7D" w:rsidP="00A64F7D">
            <w:pPr>
              <w:jc w:val="center"/>
              <w:rPr>
                <w:b/>
                <w:bCs/>
                <w:kern w:val="2"/>
                <w:sz w:val="22"/>
                <w:szCs w:val="22"/>
              </w:rPr>
            </w:pPr>
            <w:r w:rsidRPr="00624BE1">
              <w:rPr>
                <w:b/>
                <w:bCs/>
                <w:kern w:val="2"/>
                <w:sz w:val="22"/>
                <w:szCs w:val="22"/>
              </w:rPr>
              <w:t>TIEKĖJAS</w:t>
            </w:r>
          </w:p>
        </w:tc>
      </w:tr>
      <w:tr w:rsidR="00A64F7D" w:rsidRPr="00F60AE3" w14:paraId="07F1531B" w14:textId="77777777" w:rsidTr="00236446">
        <w:tc>
          <w:tcPr>
            <w:tcW w:w="5501" w:type="dxa"/>
            <w:gridSpan w:val="3"/>
          </w:tcPr>
          <w:p w14:paraId="70F04836" w14:textId="77777777" w:rsidR="00A64F7D" w:rsidRPr="00624BE1" w:rsidRDefault="00A64F7D" w:rsidP="00A64F7D">
            <w:pPr>
              <w:jc w:val="center"/>
              <w:rPr>
                <w:sz w:val="22"/>
                <w:szCs w:val="22"/>
              </w:rPr>
            </w:pPr>
            <w:r w:rsidRPr="00624BE1">
              <w:rPr>
                <w:sz w:val="22"/>
                <w:szCs w:val="22"/>
              </w:rPr>
              <w:t>Generalinis direktorius</w:t>
            </w:r>
          </w:p>
          <w:p w14:paraId="4D0F388D" w14:textId="77777777" w:rsidR="00A64F7D" w:rsidRPr="00624BE1" w:rsidRDefault="00A64F7D" w:rsidP="00A64F7D">
            <w:pPr>
              <w:jc w:val="center"/>
              <w:rPr>
                <w:color w:val="4472C4"/>
                <w:kern w:val="2"/>
                <w:sz w:val="22"/>
                <w:szCs w:val="22"/>
              </w:rPr>
            </w:pPr>
            <w:r w:rsidRPr="00624BE1">
              <w:rPr>
                <w:sz w:val="22"/>
                <w:szCs w:val="22"/>
              </w:rPr>
              <w:t>Tomas Jovaiša</w:t>
            </w:r>
          </w:p>
        </w:tc>
        <w:tc>
          <w:tcPr>
            <w:tcW w:w="5131" w:type="dxa"/>
            <w:gridSpan w:val="2"/>
          </w:tcPr>
          <w:p w14:paraId="5BF959A7" w14:textId="22236A13" w:rsidR="00A64F7D" w:rsidRPr="00624BE1" w:rsidRDefault="00061ACD" w:rsidP="00A64F7D">
            <w:pPr>
              <w:jc w:val="center"/>
              <w:rPr>
                <w:b/>
                <w:bCs/>
                <w:kern w:val="2"/>
                <w:sz w:val="22"/>
                <w:szCs w:val="22"/>
              </w:rPr>
            </w:pPr>
            <w:r w:rsidRPr="00061ACD">
              <w:rPr>
                <w:color w:val="000000" w:themeColor="text1"/>
                <w:kern w:val="2"/>
                <w:sz w:val="22"/>
                <w:szCs w:val="22"/>
              </w:rPr>
              <w:t>Direktorius Remigijus Mielinis</w:t>
            </w:r>
          </w:p>
        </w:tc>
      </w:tr>
      <w:tr w:rsidR="00A64F7D" w:rsidRPr="00F60AE3" w14:paraId="3B695EF4" w14:textId="77777777" w:rsidTr="000731C9">
        <w:trPr>
          <w:trHeight w:val="428"/>
        </w:trPr>
        <w:tc>
          <w:tcPr>
            <w:tcW w:w="5501" w:type="dxa"/>
            <w:gridSpan w:val="3"/>
          </w:tcPr>
          <w:p w14:paraId="500DFAD0" w14:textId="77777777" w:rsidR="00A64F7D" w:rsidRPr="00624BE1" w:rsidRDefault="00A64F7D" w:rsidP="00A64F7D">
            <w:pPr>
              <w:jc w:val="center"/>
              <w:rPr>
                <w:bCs/>
                <w:color w:val="4472C4"/>
                <w:kern w:val="2"/>
                <w:sz w:val="22"/>
                <w:szCs w:val="22"/>
              </w:rPr>
            </w:pPr>
          </w:p>
          <w:p w14:paraId="3896973C" w14:textId="47378260" w:rsidR="00A64F7D" w:rsidRPr="00624BE1" w:rsidRDefault="00A64F7D" w:rsidP="000731C9">
            <w:pPr>
              <w:jc w:val="center"/>
              <w:rPr>
                <w:bCs/>
                <w:color w:val="4472C4"/>
                <w:kern w:val="2"/>
                <w:sz w:val="22"/>
                <w:szCs w:val="22"/>
              </w:rPr>
            </w:pPr>
            <w:r w:rsidRPr="00624BE1">
              <w:rPr>
                <w:bCs/>
                <w:kern w:val="2"/>
                <w:sz w:val="22"/>
                <w:szCs w:val="22"/>
              </w:rPr>
              <w:t>(parašas)</w:t>
            </w:r>
          </w:p>
        </w:tc>
        <w:tc>
          <w:tcPr>
            <w:tcW w:w="5131" w:type="dxa"/>
            <w:gridSpan w:val="2"/>
          </w:tcPr>
          <w:p w14:paraId="04349A97" w14:textId="77777777" w:rsidR="00A64F7D" w:rsidRPr="00624BE1" w:rsidRDefault="00A64F7D" w:rsidP="00A64F7D">
            <w:pPr>
              <w:jc w:val="center"/>
              <w:rPr>
                <w:bCs/>
                <w:color w:val="4472C4"/>
                <w:kern w:val="2"/>
                <w:sz w:val="22"/>
                <w:szCs w:val="22"/>
              </w:rPr>
            </w:pPr>
          </w:p>
          <w:p w14:paraId="711B3266" w14:textId="77777777" w:rsidR="00A64F7D" w:rsidRPr="00624BE1" w:rsidRDefault="00A64F7D" w:rsidP="00A64F7D">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1C7E418" w14:textId="77777777" w:rsidR="00A03983" w:rsidRDefault="00A03983" w:rsidP="00F203C1">
      <w:pPr>
        <w:jc w:val="right"/>
        <w:rPr>
          <w:sz w:val="22"/>
          <w:szCs w:val="22"/>
        </w:rPr>
      </w:pPr>
    </w:p>
    <w:p w14:paraId="47540EA0" w14:textId="77777777" w:rsidR="00D9615D" w:rsidRDefault="00D9615D" w:rsidP="00F203C1">
      <w:pPr>
        <w:jc w:val="right"/>
        <w:rPr>
          <w:sz w:val="22"/>
          <w:szCs w:val="22"/>
        </w:rPr>
      </w:pPr>
    </w:p>
    <w:p w14:paraId="6C206E3C" w14:textId="77777777" w:rsidR="00D9615D" w:rsidRDefault="00D9615D" w:rsidP="00F203C1">
      <w:pPr>
        <w:jc w:val="right"/>
        <w:rPr>
          <w:sz w:val="22"/>
          <w:szCs w:val="22"/>
        </w:rPr>
      </w:pPr>
    </w:p>
    <w:p w14:paraId="433A07B4" w14:textId="77777777" w:rsidR="00D9615D" w:rsidRDefault="00D9615D" w:rsidP="00F203C1">
      <w:pPr>
        <w:jc w:val="right"/>
        <w:rPr>
          <w:sz w:val="22"/>
          <w:szCs w:val="22"/>
        </w:rPr>
      </w:pPr>
    </w:p>
    <w:p w14:paraId="7AD788BC" w14:textId="77777777" w:rsidR="00D9615D" w:rsidRDefault="00D9615D" w:rsidP="00F203C1">
      <w:pPr>
        <w:jc w:val="right"/>
        <w:rPr>
          <w:sz w:val="22"/>
          <w:szCs w:val="22"/>
        </w:rPr>
      </w:pPr>
    </w:p>
    <w:p w14:paraId="0B2E6033" w14:textId="77777777" w:rsidR="00D9615D" w:rsidRDefault="00D9615D" w:rsidP="00F203C1">
      <w:pPr>
        <w:jc w:val="right"/>
        <w:rPr>
          <w:sz w:val="22"/>
          <w:szCs w:val="22"/>
        </w:rPr>
      </w:pPr>
    </w:p>
    <w:p w14:paraId="4C92214E" w14:textId="77777777" w:rsidR="00D9615D" w:rsidRDefault="00D9615D" w:rsidP="00F203C1">
      <w:pPr>
        <w:jc w:val="right"/>
        <w:rPr>
          <w:sz w:val="22"/>
          <w:szCs w:val="22"/>
        </w:rPr>
      </w:pPr>
    </w:p>
    <w:p w14:paraId="365B57B2" w14:textId="77777777" w:rsidR="00D9615D" w:rsidRDefault="00D9615D" w:rsidP="00F203C1">
      <w:pPr>
        <w:jc w:val="right"/>
        <w:rPr>
          <w:sz w:val="22"/>
          <w:szCs w:val="22"/>
        </w:rPr>
      </w:pPr>
    </w:p>
    <w:p w14:paraId="09C30310" w14:textId="77777777" w:rsidR="00D9615D" w:rsidRDefault="00D9615D" w:rsidP="00F203C1">
      <w:pPr>
        <w:jc w:val="right"/>
        <w:rPr>
          <w:sz w:val="22"/>
          <w:szCs w:val="22"/>
        </w:rPr>
      </w:pPr>
    </w:p>
    <w:p w14:paraId="2D218199" w14:textId="77777777" w:rsidR="00D9615D" w:rsidRDefault="00D9615D" w:rsidP="00F203C1">
      <w:pPr>
        <w:jc w:val="right"/>
        <w:rPr>
          <w:sz w:val="22"/>
          <w:szCs w:val="22"/>
        </w:rPr>
      </w:pPr>
    </w:p>
    <w:p w14:paraId="6F7A0630" w14:textId="77777777" w:rsidR="00D9615D" w:rsidRDefault="00D9615D" w:rsidP="00F203C1">
      <w:pPr>
        <w:jc w:val="right"/>
        <w:rPr>
          <w:sz w:val="22"/>
          <w:szCs w:val="22"/>
        </w:rPr>
      </w:pPr>
    </w:p>
    <w:p w14:paraId="72B2A19D" w14:textId="77777777" w:rsidR="00947A0D" w:rsidRDefault="00947A0D" w:rsidP="00F203C1">
      <w:pPr>
        <w:jc w:val="right"/>
        <w:rPr>
          <w:sz w:val="22"/>
          <w:szCs w:val="22"/>
        </w:rPr>
      </w:pPr>
    </w:p>
    <w:p w14:paraId="70C79263" w14:textId="77777777" w:rsidR="00947A0D" w:rsidRDefault="00947A0D" w:rsidP="00F203C1">
      <w:pPr>
        <w:jc w:val="right"/>
        <w:rPr>
          <w:sz w:val="22"/>
          <w:szCs w:val="22"/>
        </w:rPr>
      </w:pPr>
    </w:p>
    <w:p w14:paraId="18E4BD04" w14:textId="49EEFF5E" w:rsidR="00247C03" w:rsidRPr="00F203C1" w:rsidRDefault="00F203C1" w:rsidP="00F203C1">
      <w:pPr>
        <w:jc w:val="right"/>
        <w:rPr>
          <w:sz w:val="22"/>
          <w:szCs w:val="22"/>
        </w:rPr>
      </w:pPr>
      <w:r w:rsidRPr="00F203C1">
        <w:rPr>
          <w:sz w:val="22"/>
          <w:szCs w:val="22"/>
        </w:rPr>
        <w:lastRenderedPageBreak/>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14"/>
        <w:gridCol w:w="1701"/>
        <w:gridCol w:w="1347"/>
        <w:gridCol w:w="986"/>
        <w:gridCol w:w="856"/>
        <w:gridCol w:w="1100"/>
        <w:gridCol w:w="34"/>
        <w:gridCol w:w="1270"/>
      </w:tblGrid>
      <w:tr w:rsidR="00061ACD" w:rsidRPr="00061ACD" w14:paraId="7195345E" w14:textId="77777777" w:rsidTr="00061ACD">
        <w:trPr>
          <w:trHeight w:val="411"/>
          <w:jc w:val="center"/>
        </w:trPr>
        <w:tc>
          <w:tcPr>
            <w:tcW w:w="568" w:type="dxa"/>
          </w:tcPr>
          <w:p w14:paraId="03027CAA" w14:textId="77777777"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Eil.</w:t>
            </w:r>
          </w:p>
          <w:p w14:paraId="11754886" w14:textId="77777777"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Nr.</w:t>
            </w:r>
          </w:p>
        </w:tc>
        <w:tc>
          <w:tcPr>
            <w:tcW w:w="1914" w:type="dxa"/>
          </w:tcPr>
          <w:p w14:paraId="5B6BEA16" w14:textId="77777777"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Prekės pavadinimas, forma, stiprumas</w:t>
            </w:r>
          </w:p>
        </w:tc>
        <w:tc>
          <w:tcPr>
            <w:tcW w:w="1701" w:type="dxa"/>
          </w:tcPr>
          <w:p w14:paraId="560041AE" w14:textId="77777777" w:rsidR="00061ACD" w:rsidRPr="00385E8F" w:rsidRDefault="00061ACD" w:rsidP="00061ACD">
            <w:pPr>
              <w:pBdr>
                <w:top w:val="nil"/>
                <w:left w:val="nil"/>
                <w:bottom w:val="nil"/>
                <w:right w:val="nil"/>
                <w:between w:val="nil"/>
                <w:bar w:val="nil"/>
              </w:pBdr>
              <w:jc w:val="center"/>
              <w:rPr>
                <w:rFonts w:eastAsia="Arial Unicode MS"/>
                <w:b/>
                <w:bCs/>
                <w:sz w:val="20"/>
                <w:bdr w:val="nil"/>
                <w:lang w:val="pt-BR"/>
              </w:rPr>
            </w:pPr>
            <w:r w:rsidRPr="00385E8F">
              <w:rPr>
                <w:rFonts w:eastAsia="Arial Unicode MS"/>
                <w:b/>
                <w:bCs/>
                <w:sz w:val="20"/>
                <w:bdr w:val="nil"/>
                <w:lang w:val="pt-BR"/>
              </w:rPr>
              <w:t>Atitikimas reikalavimams, prekės firminis pavadinimas, gamintojas</w:t>
            </w:r>
          </w:p>
        </w:tc>
        <w:tc>
          <w:tcPr>
            <w:tcW w:w="1347" w:type="dxa"/>
          </w:tcPr>
          <w:p w14:paraId="62E49B6E" w14:textId="77777777" w:rsidR="00061ACD" w:rsidRPr="00061ACD" w:rsidRDefault="00061ACD" w:rsidP="00061ACD">
            <w:pPr>
              <w:pBdr>
                <w:top w:val="nil"/>
                <w:left w:val="nil"/>
                <w:bottom w:val="nil"/>
                <w:right w:val="nil"/>
                <w:between w:val="nil"/>
                <w:bar w:val="nil"/>
              </w:pBdr>
              <w:ind w:left="-108"/>
              <w:jc w:val="center"/>
              <w:rPr>
                <w:rFonts w:eastAsia="Arial Unicode MS"/>
                <w:b/>
                <w:bCs/>
                <w:sz w:val="20"/>
                <w:bdr w:val="nil"/>
                <w:lang w:val="it-IT"/>
              </w:rPr>
            </w:pPr>
            <w:r w:rsidRPr="00061ACD">
              <w:rPr>
                <w:rFonts w:eastAsia="Arial Unicode MS"/>
                <w:b/>
                <w:bCs/>
                <w:sz w:val="20"/>
                <w:bdr w:val="nil"/>
                <w:lang w:val="it-IT"/>
              </w:rPr>
              <w:t>Preparato reg.</w:t>
            </w:r>
          </w:p>
          <w:p w14:paraId="772BC863" w14:textId="77777777" w:rsidR="00061ACD" w:rsidRPr="00061ACD" w:rsidRDefault="00061ACD" w:rsidP="00061ACD">
            <w:pPr>
              <w:pBdr>
                <w:top w:val="nil"/>
                <w:left w:val="nil"/>
                <w:bottom w:val="nil"/>
                <w:right w:val="nil"/>
                <w:between w:val="nil"/>
                <w:bar w:val="nil"/>
              </w:pBdr>
              <w:ind w:left="-108"/>
              <w:jc w:val="center"/>
              <w:rPr>
                <w:rFonts w:eastAsia="Arial Unicode MS"/>
                <w:b/>
                <w:bCs/>
                <w:sz w:val="20"/>
                <w:bdr w:val="nil"/>
                <w:lang w:val="it-IT"/>
              </w:rPr>
            </w:pPr>
            <w:r w:rsidRPr="00061ACD">
              <w:rPr>
                <w:rFonts w:eastAsia="Arial Unicode MS"/>
                <w:b/>
                <w:bCs/>
                <w:sz w:val="20"/>
                <w:bdr w:val="nil"/>
                <w:lang w:val="it-IT"/>
              </w:rPr>
              <w:t>Nr. LR,</w:t>
            </w:r>
          </w:p>
          <w:p w14:paraId="65B380B6" w14:textId="77777777" w:rsidR="00061ACD" w:rsidRPr="00061ACD" w:rsidRDefault="00061ACD" w:rsidP="00061ACD">
            <w:pPr>
              <w:pBdr>
                <w:top w:val="nil"/>
                <w:left w:val="nil"/>
                <w:bottom w:val="nil"/>
                <w:right w:val="nil"/>
                <w:between w:val="nil"/>
                <w:bar w:val="nil"/>
              </w:pBdr>
              <w:ind w:left="-108"/>
              <w:jc w:val="center"/>
              <w:rPr>
                <w:rFonts w:eastAsia="Arial Unicode MS"/>
                <w:b/>
                <w:bCs/>
                <w:sz w:val="20"/>
                <w:bdr w:val="nil"/>
                <w:lang w:val="it-IT"/>
              </w:rPr>
            </w:pPr>
            <w:r w:rsidRPr="00061ACD">
              <w:rPr>
                <w:rFonts w:eastAsia="Arial Unicode MS"/>
                <w:b/>
                <w:bCs/>
                <w:sz w:val="20"/>
                <w:bdr w:val="nil"/>
                <w:lang w:val="it-IT"/>
              </w:rPr>
              <w:t>EU VPR ar LI sąraše</w:t>
            </w:r>
          </w:p>
        </w:tc>
        <w:tc>
          <w:tcPr>
            <w:tcW w:w="986" w:type="dxa"/>
          </w:tcPr>
          <w:p w14:paraId="325DC4F9" w14:textId="77777777" w:rsidR="00061ACD" w:rsidRPr="00061ACD" w:rsidRDefault="00061ACD" w:rsidP="00061ACD">
            <w:pPr>
              <w:pBdr>
                <w:top w:val="nil"/>
                <w:left w:val="nil"/>
                <w:bottom w:val="nil"/>
                <w:right w:val="nil"/>
                <w:between w:val="nil"/>
                <w:bar w:val="nil"/>
              </w:pBdr>
              <w:ind w:right="-108"/>
              <w:jc w:val="center"/>
              <w:rPr>
                <w:rFonts w:eastAsia="Arial Unicode MS"/>
                <w:b/>
                <w:bCs/>
                <w:sz w:val="20"/>
                <w:bdr w:val="nil"/>
                <w:lang w:val="en-US"/>
              </w:rPr>
            </w:pPr>
            <w:r w:rsidRPr="00061ACD">
              <w:rPr>
                <w:rFonts w:eastAsia="Arial Unicode MS"/>
                <w:b/>
                <w:bCs/>
                <w:sz w:val="20"/>
                <w:bdr w:val="nil"/>
                <w:lang w:val="en-US"/>
              </w:rPr>
              <w:t>Mato vnt.</w:t>
            </w:r>
          </w:p>
        </w:tc>
        <w:tc>
          <w:tcPr>
            <w:tcW w:w="856" w:type="dxa"/>
          </w:tcPr>
          <w:p w14:paraId="272A878E" w14:textId="77777777"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Perkamas kiekis</w:t>
            </w:r>
          </w:p>
        </w:tc>
        <w:tc>
          <w:tcPr>
            <w:tcW w:w="1134" w:type="dxa"/>
            <w:gridSpan w:val="2"/>
          </w:tcPr>
          <w:p w14:paraId="259F1127" w14:textId="296854D1"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Vnt. kaina</w:t>
            </w:r>
          </w:p>
          <w:p w14:paraId="6261D258" w14:textId="77777777" w:rsidR="00061ACD" w:rsidRPr="00061ACD" w:rsidRDefault="00061ACD" w:rsidP="00061ACD">
            <w:pPr>
              <w:pBdr>
                <w:top w:val="nil"/>
                <w:left w:val="nil"/>
                <w:bottom w:val="nil"/>
                <w:right w:val="nil"/>
                <w:between w:val="nil"/>
                <w:bar w:val="nil"/>
              </w:pBdr>
              <w:jc w:val="center"/>
              <w:rPr>
                <w:rFonts w:eastAsia="Arial Unicode MS"/>
                <w:b/>
                <w:bCs/>
                <w:sz w:val="20"/>
                <w:bdr w:val="nil"/>
                <w:lang w:val="en-US"/>
              </w:rPr>
            </w:pPr>
            <w:r w:rsidRPr="00061ACD">
              <w:rPr>
                <w:rFonts w:eastAsia="Arial Unicode MS"/>
                <w:b/>
                <w:bCs/>
                <w:sz w:val="20"/>
                <w:bdr w:val="nil"/>
                <w:lang w:val="en-US"/>
              </w:rPr>
              <w:t>be PVM, Eur*</w:t>
            </w:r>
          </w:p>
        </w:tc>
        <w:tc>
          <w:tcPr>
            <w:tcW w:w="1270" w:type="dxa"/>
          </w:tcPr>
          <w:p w14:paraId="5DCF5741" w14:textId="228A96F7" w:rsidR="00061ACD" w:rsidRPr="00061ACD" w:rsidRDefault="00061ACD" w:rsidP="00061ACD">
            <w:pPr>
              <w:pBdr>
                <w:top w:val="nil"/>
                <w:left w:val="nil"/>
                <w:bottom w:val="nil"/>
                <w:right w:val="nil"/>
                <w:between w:val="nil"/>
                <w:bar w:val="nil"/>
              </w:pBdr>
              <w:jc w:val="center"/>
              <w:rPr>
                <w:rFonts w:eastAsia="Arial Unicode MS"/>
                <w:b/>
                <w:bCs/>
                <w:sz w:val="20"/>
                <w:bdr w:val="nil"/>
                <w:lang w:val="it-IT"/>
              </w:rPr>
            </w:pPr>
            <w:r w:rsidRPr="00061ACD">
              <w:rPr>
                <w:rFonts w:eastAsia="Arial Unicode MS"/>
                <w:b/>
                <w:bCs/>
                <w:sz w:val="20"/>
                <w:bdr w:val="nil"/>
                <w:lang w:val="it-IT"/>
              </w:rPr>
              <w:t>Vnt. kaina</w:t>
            </w:r>
          </w:p>
          <w:p w14:paraId="765337EB" w14:textId="77777777" w:rsidR="00061ACD" w:rsidRPr="00061ACD" w:rsidRDefault="00061ACD" w:rsidP="00061ACD">
            <w:pPr>
              <w:pBdr>
                <w:top w:val="nil"/>
                <w:left w:val="nil"/>
                <w:bottom w:val="nil"/>
                <w:right w:val="nil"/>
                <w:between w:val="nil"/>
                <w:bar w:val="nil"/>
              </w:pBdr>
              <w:ind w:left="-108" w:right="-52"/>
              <w:jc w:val="center"/>
              <w:rPr>
                <w:rFonts w:eastAsia="Arial Unicode MS"/>
                <w:b/>
                <w:bCs/>
                <w:sz w:val="20"/>
                <w:bdr w:val="nil"/>
                <w:lang w:val="it-IT"/>
              </w:rPr>
            </w:pPr>
            <w:r w:rsidRPr="00061ACD">
              <w:rPr>
                <w:rFonts w:eastAsia="Arial Unicode MS"/>
                <w:b/>
                <w:bCs/>
                <w:sz w:val="20"/>
                <w:bdr w:val="nil"/>
                <w:lang w:val="it-IT"/>
              </w:rPr>
              <w:t>su PVM, Eur*</w:t>
            </w:r>
          </w:p>
        </w:tc>
      </w:tr>
      <w:tr w:rsidR="001D1534" w:rsidRPr="00061ACD" w14:paraId="5638E3F4" w14:textId="77777777" w:rsidTr="006478F4">
        <w:trPr>
          <w:trHeight w:val="759"/>
          <w:jc w:val="center"/>
        </w:trPr>
        <w:tc>
          <w:tcPr>
            <w:tcW w:w="568" w:type="dxa"/>
            <w:vAlign w:val="center"/>
          </w:tcPr>
          <w:p w14:paraId="0407000D" w14:textId="77777777" w:rsidR="001D1534" w:rsidRPr="00061ACD" w:rsidRDefault="001D1534" w:rsidP="00061ACD">
            <w:pPr>
              <w:pBdr>
                <w:top w:val="nil"/>
                <w:left w:val="nil"/>
                <w:bottom w:val="nil"/>
                <w:right w:val="nil"/>
                <w:between w:val="nil"/>
                <w:bar w:val="nil"/>
              </w:pBdr>
              <w:jc w:val="both"/>
              <w:rPr>
                <w:rFonts w:eastAsia="Arial Unicode MS"/>
                <w:position w:val="6"/>
                <w:sz w:val="20"/>
                <w:bdr w:val="nil"/>
                <w:lang w:val="en-US"/>
              </w:rPr>
            </w:pPr>
            <w:r w:rsidRPr="00061ACD">
              <w:rPr>
                <w:rFonts w:eastAsia="Arial Unicode MS"/>
                <w:position w:val="6"/>
                <w:sz w:val="20"/>
                <w:bdr w:val="nil"/>
                <w:lang w:val="en-US"/>
              </w:rPr>
              <w:t>1.</w:t>
            </w:r>
          </w:p>
        </w:tc>
        <w:tc>
          <w:tcPr>
            <w:tcW w:w="1914" w:type="dxa"/>
            <w:vAlign w:val="center"/>
          </w:tcPr>
          <w:p w14:paraId="1B99969E" w14:textId="77777777" w:rsidR="001D1534" w:rsidRPr="00061ACD" w:rsidRDefault="001D1534" w:rsidP="00061ACD">
            <w:pPr>
              <w:pBdr>
                <w:top w:val="nil"/>
                <w:left w:val="nil"/>
                <w:bottom w:val="nil"/>
                <w:right w:val="nil"/>
                <w:between w:val="nil"/>
                <w:bar w:val="nil"/>
              </w:pBdr>
              <w:rPr>
                <w:rFonts w:eastAsia="Arial Unicode MS"/>
                <w:sz w:val="20"/>
                <w:bdr w:val="nil"/>
                <w:lang w:val="en-US"/>
              </w:rPr>
            </w:pPr>
            <w:r w:rsidRPr="00061ACD">
              <w:rPr>
                <w:rFonts w:ascii="TimesNewRomanPSMT" w:eastAsia="Arial Unicode MS" w:hAnsi="TimesNewRomanPSMT" w:cs="TimesNewRomanPSMT"/>
                <w:sz w:val="20"/>
                <w:bdr w:val="nil"/>
                <w:lang w:val="en-US"/>
              </w:rPr>
              <w:t>Koncizumabas 60 mg/1,5 ml injekcinis tirpalas užpildytame švirkštiklyje N1</w:t>
            </w:r>
          </w:p>
        </w:tc>
        <w:tc>
          <w:tcPr>
            <w:tcW w:w="1701" w:type="dxa"/>
            <w:vAlign w:val="center"/>
          </w:tcPr>
          <w:p w14:paraId="6E33DF19" w14:textId="77777777" w:rsidR="001D1534" w:rsidRPr="00385E8F" w:rsidRDefault="001D1534" w:rsidP="00061ACD">
            <w:pPr>
              <w:pBdr>
                <w:top w:val="nil"/>
                <w:left w:val="nil"/>
                <w:bottom w:val="nil"/>
                <w:right w:val="nil"/>
                <w:between w:val="nil"/>
                <w:bar w:val="nil"/>
              </w:pBdr>
              <w:jc w:val="center"/>
              <w:rPr>
                <w:rFonts w:eastAsia="Arial Unicode MS"/>
                <w:sz w:val="20"/>
                <w:bdr w:val="nil"/>
                <w:lang w:val="pt-BR"/>
              </w:rPr>
            </w:pPr>
            <w:r w:rsidRPr="00385E8F">
              <w:rPr>
                <w:rFonts w:eastAsia="Arial Unicode MS"/>
                <w:sz w:val="20"/>
                <w:bdr w:val="nil"/>
                <w:lang w:val="pt-BR"/>
              </w:rPr>
              <w:t>ALHEMO 60 mg/1,5 ml injekcinis tirpalas užpildytame švirkštiklyje N1 (Novo Nordisk A/S)</w:t>
            </w:r>
          </w:p>
        </w:tc>
        <w:tc>
          <w:tcPr>
            <w:tcW w:w="1347" w:type="dxa"/>
            <w:vAlign w:val="center"/>
          </w:tcPr>
          <w:p w14:paraId="5702A8A8" w14:textId="77777777" w:rsidR="001D1534" w:rsidRPr="00061ACD" w:rsidRDefault="001D1534" w:rsidP="00061ACD">
            <w:pPr>
              <w:pBdr>
                <w:top w:val="nil"/>
                <w:left w:val="nil"/>
                <w:bottom w:val="nil"/>
                <w:right w:val="nil"/>
                <w:between w:val="nil"/>
                <w:bar w:val="nil"/>
              </w:pBdr>
              <w:tabs>
                <w:tab w:val="left" w:pos="0"/>
              </w:tabs>
              <w:jc w:val="center"/>
              <w:rPr>
                <w:rFonts w:eastAsia="Arial Unicode MS"/>
                <w:position w:val="6"/>
                <w:sz w:val="20"/>
                <w:bdr w:val="nil"/>
                <w:lang w:val="en-US"/>
              </w:rPr>
            </w:pPr>
            <w:r w:rsidRPr="00061ACD">
              <w:rPr>
                <w:rFonts w:eastAsia="Arial Unicode MS"/>
                <w:position w:val="6"/>
                <w:sz w:val="20"/>
                <w:bdr w:val="nil"/>
                <w:lang w:val="en-US"/>
              </w:rPr>
              <w:t>EU/1/24/1881/003</w:t>
            </w:r>
          </w:p>
        </w:tc>
        <w:tc>
          <w:tcPr>
            <w:tcW w:w="986" w:type="dxa"/>
            <w:tcBorders>
              <w:top w:val="single" w:sz="4" w:space="0" w:color="auto"/>
              <w:left w:val="single" w:sz="4" w:space="0" w:color="auto"/>
              <w:bottom w:val="single" w:sz="4" w:space="0" w:color="auto"/>
              <w:right w:val="single" w:sz="4" w:space="0" w:color="auto"/>
            </w:tcBorders>
            <w:vAlign w:val="center"/>
          </w:tcPr>
          <w:p w14:paraId="1C0D2880" w14:textId="77777777" w:rsidR="001D1534" w:rsidRPr="00061ACD" w:rsidRDefault="001D1534" w:rsidP="00061ACD">
            <w:pPr>
              <w:pBdr>
                <w:top w:val="nil"/>
                <w:left w:val="nil"/>
                <w:bottom w:val="nil"/>
                <w:right w:val="nil"/>
                <w:between w:val="nil"/>
                <w:bar w:val="nil"/>
              </w:pBdr>
              <w:ind w:left="-108" w:right="-108"/>
              <w:jc w:val="center"/>
              <w:rPr>
                <w:rFonts w:eastAsia="Arial Unicode MS"/>
                <w:sz w:val="20"/>
                <w:bdr w:val="nil"/>
                <w:lang w:val="en-US"/>
              </w:rPr>
            </w:pPr>
            <w:r w:rsidRPr="00061ACD">
              <w:rPr>
                <w:rFonts w:eastAsia="Arial Unicode MS"/>
                <w:color w:val="000000"/>
                <w:sz w:val="20"/>
                <w:bdr w:val="nil"/>
                <w:lang w:val="en-US"/>
              </w:rPr>
              <w:t>užpildytas švirkštiklis</w:t>
            </w:r>
          </w:p>
        </w:tc>
        <w:tc>
          <w:tcPr>
            <w:tcW w:w="1990" w:type="dxa"/>
            <w:gridSpan w:val="3"/>
            <w:tcBorders>
              <w:top w:val="single" w:sz="4" w:space="0" w:color="auto"/>
              <w:left w:val="nil"/>
              <w:bottom w:val="single" w:sz="4" w:space="0" w:color="auto"/>
            </w:tcBorders>
            <w:vAlign w:val="center"/>
          </w:tcPr>
          <w:p w14:paraId="45825392" w14:textId="489BAC53" w:rsidR="001D1534" w:rsidRPr="00061ACD" w:rsidRDefault="001D1534" w:rsidP="00061ACD">
            <w:pPr>
              <w:pBdr>
                <w:top w:val="nil"/>
                <w:left w:val="nil"/>
                <w:bottom w:val="nil"/>
                <w:right w:val="nil"/>
                <w:between w:val="nil"/>
                <w:bar w:val="nil"/>
              </w:pBdr>
              <w:tabs>
                <w:tab w:val="left" w:pos="0"/>
              </w:tabs>
              <w:jc w:val="center"/>
              <w:rPr>
                <w:rFonts w:eastAsia="Arial Unicode MS"/>
                <w:position w:val="6"/>
                <w:sz w:val="20"/>
                <w:bdr w:val="nil"/>
              </w:rPr>
            </w:pPr>
            <w:r>
              <w:rPr>
                <w:rFonts w:eastAsia="Arial Unicode MS"/>
                <w:position w:val="6"/>
                <w:sz w:val="20"/>
                <w:bdr w:val="nil"/>
              </w:rPr>
              <w:t>KONFIDENCIALU pagal VLK raštą</w:t>
            </w:r>
          </w:p>
        </w:tc>
        <w:tc>
          <w:tcPr>
            <w:tcW w:w="1270" w:type="dxa"/>
            <w:vAlign w:val="center"/>
          </w:tcPr>
          <w:p w14:paraId="33CCE34E" w14:textId="77777777" w:rsidR="001D1534" w:rsidRPr="00061ACD" w:rsidRDefault="001D1534" w:rsidP="00061ACD">
            <w:pPr>
              <w:pBdr>
                <w:top w:val="nil"/>
                <w:left w:val="nil"/>
                <w:bottom w:val="nil"/>
                <w:right w:val="nil"/>
                <w:between w:val="nil"/>
                <w:bar w:val="nil"/>
              </w:pBdr>
              <w:tabs>
                <w:tab w:val="left" w:pos="0"/>
              </w:tabs>
              <w:jc w:val="center"/>
              <w:rPr>
                <w:rFonts w:eastAsia="Arial Unicode MS"/>
                <w:position w:val="6"/>
                <w:sz w:val="20"/>
                <w:bdr w:val="nil"/>
                <w:lang w:val="en-US"/>
              </w:rPr>
            </w:pPr>
            <w:r w:rsidRPr="00061ACD">
              <w:rPr>
                <w:rFonts w:eastAsia="Arial Unicode MS"/>
                <w:position w:val="6"/>
                <w:sz w:val="20"/>
                <w:bdr w:val="nil"/>
                <w:lang w:val="en-US"/>
              </w:rPr>
              <w:t>5717,25</w:t>
            </w:r>
          </w:p>
        </w:tc>
      </w:tr>
      <w:tr w:rsidR="00061ACD" w:rsidRPr="00061ACD" w14:paraId="1C0A3A67" w14:textId="77777777" w:rsidTr="00061ACD">
        <w:trPr>
          <w:trHeight w:val="258"/>
          <w:jc w:val="center"/>
        </w:trPr>
        <w:tc>
          <w:tcPr>
            <w:tcW w:w="8472" w:type="dxa"/>
            <w:gridSpan w:val="7"/>
            <w:vAlign w:val="center"/>
          </w:tcPr>
          <w:p w14:paraId="5F8DDF74" w14:textId="77777777" w:rsidR="00061ACD" w:rsidRPr="00061ACD" w:rsidRDefault="00061ACD" w:rsidP="00061ACD">
            <w:pPr>
              <w:pBdr>
                <w:top w:val="nil"/>
                <w:left w:val="nil"/>
                <w:bottom w:val="nil"/>
                <w:right w:val="nil"/>
                <w:between w:val="nil"/>
                <w:bar w:val="nil"/>
              </w:pBdr>
              <w:tabs>
                <w:tab w:val="left" w:pos="0"/>
              </w:tabs>
              <w:jc w:val="right"/>
              <w:rPr>
                <w:rFonts w:eastAsia="Arial Unicode MS"/>
                <w:b/>
                <w:bCs/>
                <w:color w:val="000000" w:themeColor="text1"/>
                <w:position w:val="6"/>
                <w:sz w:val="20"/>
                <w:bdr w:val="nil"/>
                <w:lang w:val="en-US"/>
              </w:rPr>
            </w:pPr>
            <w:r w:rsidRPr="00061ACD">
              <w:rPr>
                <w:rFonts w:eastAsia="Arial Unicode MS"/>
                <w:b/>
                <w:bCs/>
                <w:color w:val="000000" w:themeColor="text1"/>
                <w:position w:val="6"/>
                <w:sz w:val="20"/>
                <w:bdr w:val="nil"/>
                <w:lang w:val="en-US"/>
              </w:rPr>
              <w:t>Viso suma Eur be PVM</w:t>
            </w:r>
          </w:p>
        </w:tc>
        <w:tc>
          <w:tcPr>
            <w:tcW w:w="1304" w:type="dxa"/>
            <w:gridSpan w:val="2"/>
          </w:tcPr>
          <w:p w14:paraId="60C260D8" w14:textId="77777777" w:rsidR="00061ACD" w:rsidRPr="00061ACD" w:rsidRDefault="00061ACD" w:rsidP="00061ACD">
            <w:pPr>
              <w:pBdr>
                <w:top w:val="nil"/>
                <w:left w:val="nil"/>
                <w:bottom w:val="nil"/>
                <w:right w:val="nil"/>
                <w:between w:val="nil"/>
                <w:bar w:val="nil"/>
              </w:pBdr>
              <w:tabs>
                <w:tab w:val="left" w:pos="0"/>
              </w:tabs>
              <w:rPr>
                <w:rFonts w:eastAsia="Arial Unicode MS"/>
                <w:b/>
                <w:bCs/>
                <w:color w:val="000000" w:themeColor="text1"/>
                <w:position w:val="6"/>
                <w:sz w:val="20"/>
                <w:bdr w:val="nil"/>
                <w:lang w:val="en-US"/>
              </w:rPr>
            </w:pPr>
            <w:r w:rsidRPr="00061ACD">
              <w:rPr>
                <w:rFonts w:eastAsia="Arial Unicode MS"/>
                <w:b/>
                <w:bCs/>
                <w:color w:val="000000" w:themeColor="text1"/>
                <w:position w:val="6"/>
                <w:sz w:val="20"/>
                <w:bdr w:val="nil"/>
                <w:lang w:val="en-US"/>
              </w:rPr>
              <w:t>54450,00</w:t>
            </w:r>
          </w:p>
        </w:tc>
      </w:tr>
      <w:tr w:rsidR="00061ACD" w:rsidRPr="00061ACD" w14:paraId="5F1CF966" w14:textId="77777777" w:rsidTr="00061ACD">
        <w:trPr>
          <w:trHeight w:val="198"/>
          <w:jc w:val="center"/>
        </w:trPr>
        <w:tc>
          <w:tcPr>
            <w:tcW w:w="8472" w:type="dxa"/>
            <w:gridSpan w:val="7"/>
            <w:vAlign w:val="center"/>
          </w:tcPr>
          <w:p w14:paraId="4F6F4587" w14:textId="77777777" w:rsidR="00061ACD" w:rsidRPr="00061ACD" w:rsidRDefault="00061ACD" w:rsidP="00061ACD">
            <w:pPr>
              <w:pBdr>
                <w:top w:val="nil"/>
                <w:left w:val="nil"/>
                <w:bottom w:val="nil"/>
                <w:right w:val="nil"/>
                <w:between w:val="nil"/>
                <w:bar w:val="nil"/>
              </w:pBdr>
              <w:tabs>
                <w:tab w:val="left" w:pos="0"/>
              </w:tabs>
              <w:jc w:val="right"/>
              <w:rPr>
                <w:rFonts w:eastAsia="Arial Unicode MS"/>
                <w:b/>
                <w:bCs/>
                <w:color w:val="000000" w:themeColor="text1"/>
                <w:position w:val="6"/>
                <w:sz w:val="20"/>
                <w:bdr w:val="nil"/>
                <w:lang w:val="en-US"/>
              </w:rPr>
            </w:pPr>
            <w:r w:rsidRPr="00061ACD">
              <w:rPr>
                <w:rFonts w:eastAsia="Arial Unicode MS"/>
                <w:b/>
                <w:bCs/>
                <w:color w:val="000000" w:themeColor="text1"/>
                <w:position w:val="6"/>
                <w:sz w:val="20"/>
                <w:bdr w:val="nil"/>
                <w:lang w:val="en-US"/>
              </w:rPr>
              <w:t>5 % PVM suma Eur</w:t>
            </w:r>
          </w:p>
        </w:tc>
        <w:tc>
          <w:tcPr>
            <w:tcW w:w="1304" w:type="dxa"/>
            <w:gridSpan w:val="2"/>
          </w:tcPr>
          <w:p w14:paraId="7ACB2A26" w14:textId="77777777" w:rsidR="00061ACD" w:rsidRPr="00061ACD" w:rsidRDefault="00061ACD" w:rsidP="00061ACD">
            <w:pPr>
              <w:pBdr>
                <w:top w:val="nil"/>
                <w:left w:val="nil"/>
                <w:bottom w:val="nil"/>
                <w:right w:val="nil"/>
                <w:between w:val="nil"/>
                <w:bar w:val="nil"/>
              </w:pBdr>
              <w:tabs>
                <w:tab w:val="left" w:pos="0"/>
              </w:tabs>
              <w:rPr>
                <w:rFonts w:eastAsia="Arial Unicode MS"/>
                <w:b/>
                <w:bCs/>
                <w:color w:val="000000" w:themeColor="text1"/>
                <w:position w:val="6"/>
                <w:sz w:val="20"/>
                <w:bdr w:val="nil"/>
                <w:lang w:val="en-US"/>
              </w:rPr>
            </w:pPr>
            <w:r w:rsidRPr="00061ACD">
              <w:rPr>
                <w:rFonts w:eastAsia="Arial Unicode MS"/>
                <w:b/>
                <w:bCs/>
                <w:color w:val="000000" w:themeColor="text1"/>
                <w:position w:val="6"/>
                <w:sz w:val="20"/>
                <w:bdr w:val="nil"/>
                <w:lang w:val="en-US"/>
              </w:rPr>
              <w:t>2722,50</w:t>
            </w:r>
          </w:p>
        </w:tc>
      </w:tr>
      <w:tr w:rsidR="00061ACD" w:rsidRPr="00061ACD" w14:paraId="61C28847" w14:textId="77777777" w:rsidTr="00061ACD">
        <w:trPr>
          <w:trHeight w:val="123"/>
          <w:jc w:val="center"/>
        </w:trPr>
        <w:tc>
          <w:tcPr>
            <w:tcW w:w="8472" w:type="dxa"/>
            <w:gridSpan w:val="7"/>
            <w:vAlign w:val="center"/>
          </w:tcPr>
          <w:p w14:paraId="7598B929" w14:textId="77777777" w:rsidR="00061ACD" w:rsidRPr="00061ACD" w:rsidRDefault="00061ACD" w:rsidP="00061ACD">
            <w:pPr>
              <w:pBdr>
                <w:top w:val="nil"/>
                <w:left w:val="nil"/>
                <w:bottom w:val="nil"/>
                <w:right w:val="nil"/>
                <w:between w:val="nil"/>
                <w:bar w:val="nil"/>
              </w:pBdr>
              <w:tabs>
                <w:tab w:val="left" w:pos="0"/>
              </w:tabs>
              <w:jc w:val="right"/>
              <w:rPr>
                <w:rFonts w:eastAsia="Arial Unicode MS"/>
                <w:b/>
                <w:bCs/>
                <w:color w:val="000000" w:themeColor="text1"/>
                <w:position w:val="6"/>
                <w:sz w:val="20"/>
                <w:bdr w:val="nil"/>
                <w:lang w:val="it-IT"/>
              </w:rPr>
            </w:pPr>
            <w:r w:rsidRPr="00061ACD">
              <w:rPr>
                <w:rFonts w:eastAsia="Arial Unicode MS"/>
                <w:b/>
                <w:bCs/>
                <w:color w:val="000000" w:themeColor="text1"/>
                <w:position w:val="6"/>
                <w:sz w:val="20"/>
                <w:bdr w:val="nil"/>
                <w:lang w:val="it-IT"/>
              </w:rPr>
              <w:t>Viso suma Eur su PVM</w:t>
            </w:r>
          </w:p>
        </w:tc>
        <w:tc>
          <w:tcPr>
            <w:tcW w:w="1304" w:type="dxa"/>
            <w:gridSpan w:val="2"/>
          </w:tcPr>
          <w:p w14:paraId="7F044470" w14:textId="77777777" w:rsidR="00061ACD" w:rsidRPr="00061ACD" w:rsidRDefault="00061ACD" w:rsidP="00061ACD">
            <w:pPr>
              <w:pBdr>
                <w:top w:val="nil"/>
                <w:left w:val="nil"/>
                <w:bottom w:val="nil"/>
                <w:right w:val="nil"/>
                <w:between w:val="nil"/>
                <w:bar w:val="nil"/>
              </w:pBdr>
              <w:tabs>
                <w:tab w:val="left" w:pos="0"/>
              </w:tabs>
              <w:rPr>
                <w:rFonts w:eastAsia="Arial Unicode MS"/>
                <w:b/>
                <w:bCs/>
                <w:color w:val="000000" w:themeColor="text1"/>
                <w:position w:val="6"/>
                <w:sz w:val="20"/>
                <w:bdr w:val="nil"/>
                <w:lang w:val="en-US"/>
              </w:rPr>
            </w:pPr>
            <w:r w:rsidRPr="00061ACD">
              <w:rPr>
                <w:rFonts w:eastAsia="Arial Unicode MS"/>
                <w:b/>
                <w:bCs/>
                <w:color w:val="000000" w:themeColor="text1"/>
                <w:position w:val="6"/>
                <w:sz w:val="20"/>
                <w:bdr w:val="nil"/>
                <w:lang w:val="en-US"/>
              </w:rPr>
              <w:t>57172,50</w:t>
            </w:r>
          </w:p>
        </w:tc>
      </w:tr>
    </w:tbl>
    <w:p w14:paraId="6FCDC23E" w14:textId="7DD23CB4" w:rsidR="00247C03" w:rsidRDefault="00247C03" w:rsidP="00E44EB8">
      <w:pPr>
        <w:rPr>
          <w:szCs w:val="24"/>
        </w:rPr>
      </w:pPr>
    </w:p>
    <w:p w14:paraId="5741AA7D" w14:textId="77777777" w:rsidR="00061ACD" w:rsidRDefault="00061ACD" w:rsidP="00E44EB8">
      <w:pPr>
        <w:rPr>
          <w:szCs w:val="24"/>
        </w:rPr>
      </w:pPr>
    </w:p>
    <w:p w14:paraId="7ACEEC1F" w14:textId="77777777" w:rsidR="00061ACD" w:rsidRDefault="00061ACD" w:rsidP="00E44EB8">
      <w:pPr>
        <w:rPr>
          <w:szCs w:val="24"/>
        </w:rPr>
      </w:pPr>
    </w:p>
    <w:p w14:paraId="7D5F6E0A" w14:textId="77777777" w:rsidR="001E2D3C" w:rsidRDefault="001E2D3C" w:rsidP="00E44EB8">
      <w:pPr>
        <w:rPr>
          <w:szCs w:val="24"/>
        </w:rPr>
      </w:pPr>
    </w:p>
    <w:p w14:paraId="0BC1EC41" w14:textId="77777777" w:rsidR="001E2D3C" w:rsidRDefault="001E2D3C" w:rsidP="00E44EB8">
      <w:pPr>
        <w:rPr>
          <w:szCs w:val="24"/>
        </w:rPr>
      </w:pPr>
    </w:p>
    <w:tbl>
      <w:tblPr>
        <w:tblW w:w="0" w:type="auto"/>
        <w:tblInd w:w="426" w:type="dxa"/>
        <w:tblLook w:val="04A0" w:firstRow="1" w:lastRow="0" w:firstColumn="1" w:lastColumn="0" w:noHBand="0" w:noVBand="1"/>
      </w:tblPr>
      <w:tblGrid>
        <w:gridCol w:w="5244"/>
        <w:gridCol w:w="4302"/>
      </w:tblGrid>
      <w:tr w:rsidR="001E2D3C" w:rsidRPr="005D3024" w14:paraId="5C02938A" w14:textId="77777777" w:rsidTr="00061ACD">
        <w:tc>
          <w:tcPr>
            <w:tcW w:w="5244" w:type="dxa"/>
          </w:tcPr>
          <w:p w14:paraId="2CF3F70E" w14:textId="77777777" w:rsidR="001E2D3C" w:rsidRPr="005D3024" w:rsidRDefault="001E2D3C" w:rsidP="002B4C19">
            <w:pPr>
              <w:spacing w:line="276" w:lineRule="auto"/>
              <w:jc w:val="both"/>
              <w:rPr>
                <w:b/>
                <w:bCs/>
                <w:sz w:val="22"/>
                <w:szCs w:val="22"/>
              </w:rPr>
            </w:pPr>
            <w:r w:rsidRPr="005D3024">
              <w:rPr>
                <w:b/>
                <w:bCs/>
                <w:sz w:val="22"/>
                <w:szCs w:val="22"/>
              </w:rPr>
              <w:t>Pirkėjas</w:t>
            </w:r>
          </w:p>
          <w:p w14:paraId="26599A5F" w14:textId="77777777" w:rsidR="001E2D3C" w:rsidRDefault="001E2D3C" w:rsidP="002B4C19">
            <w:pPr>
              <w:spacing w:line="276" w:lineRule="auto"/>
              <w:jc w:val="both"/>
              <w:rPr>
                <w:sz w:val="22"/>
                <w:szCs w:val="22"/>
              </w:rPr>
            </w:pPr>
          </w:p>
          <w:p w14:paraId="5683F086" w14:textId="77777777" w:rsidR="001E2D3C" w:rsidRDefault="001E2D3C" w:rsidP="002B4C19">
            <w:pPr>
              <w:spacing w:line="276" w:lineRule="auto"/>
              <w:jc w:val="both"/>
              <w:rPr>
                <w:sz w:val="22"/>
                <w:szCs w:val="22"/>
              </w:rPr>
            </w:pPr>
            <w:r w:rsidRPr="005D3024">
              <w:rPr>
                <w:sz w:val="22"/>
                <w:szCs w:val="22"/>
              </w:rPr>
              <w:t>VšĮ Vilniaus universiteto ligoninė</w:t>
            </w:r>
          </w:p>
          <w:p w14:paraId="1EAF1F7F" w14:textId="77777777" w:rsidR="001E2D3C" w:rsidRPr="005D3024" w:rsidRDefault="001E2D3C" w:rsidP="002B4C19">
            <w:pPr>
              <w:spacing w:line="276" w:lineRule="auto"/>
              <w:jc w:val="both"/>
              <w:rPr>
                <w:sz w:val="22"/>
                <w:szCs w:val="22"/>
              </w:rPr>
            </w:pPr>
            <w:r w:rsidRPr="005D3024">
              <w:rPr>
                <w:sz w:val="22"/>
                <w:szCs w:val="22"/>
              </w:rPr>
              <w:t>Santaros klinikos</w:t>
            </w:r>
          </w:p>
          <w:p w14:paraId="3F58044F" w14:textId="77777777" w:rsidR="001E2D3C" w:rsidRPr="005D3024" w:rsidRDefault="001E2D3C" w:rsidP="002B4C19">
            <w:pPr>
              <w:spacing w:line="276" w:lineRule="auto"/>
              <w:jc w:val="both"/>
              <w:rPr>
                <w:sz w:val="22"/>
                <w:szCs w:val="22"/>
              </w:rPr>
            </w:pPr>
          </w:p>
          <w:p w14:paraId="2EAA14E1" w14:textId="77777777" w:rsidR="001E2D3C" w:rsidRPr="005D3024" w:rsidRDefault="001E2D3C" w:rsidP="002B4C19">
            <w:pPr>
              <w:spacing w:line="276" w:lineRule="auto"/>
              <w:jc w:val="both"/>
              <w:rPr>
                <w:sz w:val="22"/>
                <w:szCs w:val="22"/>
              </w:rPr>
            </w:pPr>
            <w:r w:rsidRPr="005D3024">
              <w:rPr>
                <w:sz w:val="22"/>
                <w:szCs w:val="22"/>
              </w:rPr>
              <w:t>Generalinis direktorius</w:t>
            </w:r>
          </w:p>
          <w:p w14:paraId="4DEFCED5" w14:textId="77777777" w:rsidR="001E2D3C" w:rsidRPr="005D3024" w:rsidRDefault="001E2D3C" w:rsidP="002B4C19">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302" w:type="dxa"/>
          </w:tcPr>
          <w:p w14:paraId="03DEAC15" w14:textId="77777777" w:rsidR="001E2D3C" w:rsidRDefault="001E2D3C" w:rsidP="002B4C19">
            <w:pPr>
              <w:spacing w:line="276" w:lineRule="auto"/>
              <w:jc w:val="both"/>
              <w:rPr>
                <w:b/>
                <w:bCs/>
                <w:sz w:val="22"/>
                <w:szCs w:val="22"/>
              </w:rPr>
            </w:pPr>
            <w:r>
              <w:rPr>
                <w:b/>
                <w:bCs/>
                <w:sz w:val="22"/>
                <w:szCs w:val="22"/>
              </w:rPr>
              <w:t>Tiekėjas</w:t>
            </w:r>
          </w:p>
          <w:p w14:paraId="107C47EC" w14:textId="77777777" w:rsidR="001E2D3C" w:rsidRPr="005D3024" w:rsidRDefault="001E2D3C" w:rsidP="002B4C19">
            <w:pPr>
              <w:spacing w:line="276" w:lineRule="auto"/>
              <w:jc w:val="both"/>
              <w:rPr>
                <w:b/>
                <w:bCs/>
                <w:sz w:val="22"/>
                <w:szCs w:val="22"/>
              </w:rPr>
            </w:pPr>
          </w:p>
          <w:p w14:paraId="48048151" w14:textId="55D38495" w:rsidR="001E2D3C" w:rsidRDefault="00061ACD" w:rsidP="002B4C19">
            <w:pPr>
              <w:spacing w:line="276" w:lineRule="auto"/>
              <w:jc w:val="both"/>
              <w:rPr>
                <w:sz w:val="22"/>
                <w:szCs w:val="22"/>
              </w:rPr>
            </w:pPr>
            <w:r>
              <w:rPr>
                <w:sz w:val="22"/>
                <w:szCs w:val="22"/>
              </w:rPr>
              <w:t>UAB „Armila“</w:t>
            </w:r>
          </w:p>
          <w:p w14:paraId="6FE1D970" w14:textId="77777777" w:rsidR="001E2D3C" w:rsidRPr="005D3024" w:rsidRDefault="001E2D3C" w:rsidP="002B4C19">
            <w:pPr>
              <w:spacing w:line="276" w:lineRule="auto"/>
              <w:jc w:val="both"/>
              <w:rPr>
                <w:sz w:val="22"/>
                <w:szCs w:val="22"/>
              </w:rPr>
            </w:pPr>
          </w:p>
          <w:p w14:paraId="5A02A7AE" w14:textId="77777777" w:rsidR="00061ACD" w:rsidRDefault="00061ACD" w:rsidP="002B4C19">
            <w:pPr>
              <w:tabs>
                <w:tab w:val="center" w:pos="2352"/>
              </w:tabs>
              <w:spacing w:line="276" w:lineRule="auto"/>
              <w:jc w:val="both"/>
              <w:rPr>
                <w:sz w:val="22"/>
                <w:szCs w:val="22"/>
              </w:rPr>
            </w:pPr>
          </w:p>
          <w:p w14:paraId="28CE93EC" w14:textId="180D870C" w:rsidR="00061ACD" w:rsidRDefault="00061ACD" w:rsidP="002B4C19">
            <w:pPr>
              <w:tabs>
                <w:tab w:val="center" w:pos="2352"/>
              </w:tabs>
              <w:spacing w:line="276" w:lineRule="auto"/>
              <w:jc w:val="both"/>
              <w:rPr>
                <w:sz w:val="22"/>
                <w:szCs w:val="22"/>
              </w:rPr>
            </w:pPr>
            <w:r>
              <w:rPr>
                <w:sz w:val="22"/>
                <w:szCs w:val="22"/>
              </w:rPr>
              <w:t xml:space="preserve">Direktorius </w:t>
            </w:r>
          </w:p>
          <w:p w14:paraId="465F95CC" w14:textId="77C056CB" w:rsidR="001E2D3C" w:rsidRPr="005D3024" w:rsidRDefault="00061ACD" w:rsidP="002B4C19">
            <w:pPr>
              <w:tabs>
                <w:tab w:val="center" w:pos="2352"/>
              </w:tabs>
              <w:spacing w:line="276" w:lineRule="auto"/>
              <w:jc w:val="both"/>
              <w:rPr>
                <w:sz w:val="22"/>
                <w:szCs w:val="22"/>
              </w:rPr>
            </w:pPr>
            <w:r>
              <w:rPr>
                <w:sz w:val="22"/>
                <w:szCs w:val="22"/>
              </w:rPr>
              <w:t>Remigijus Mielinis</w:t>
            </w:r>
          </w:p>
        </w:tc>
      </w:tr>
    </w:tbl>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00"/>
        <w:gridCol w:w="3346"/>
      </w:tblGrid>
      <w:tr w:rsidR="00871D1E" w:rsidRPr="005D3024" w14:paraId="53D03958" w14:textId="77777777" w:rsidTr="000E0D6B">
        <w:tc>
          <w:tcPr>
            <w:tcW w:w="9214" w:type="dxa"/>
          </w:tcPr>
          <w:p w14:paraId="2B37B5FA" w14:textId="77777777" w:rsidR="00871D1E" w:rsidRPr="005D3024" w:rsidRDefault="00871D1E" w:rsidP="000E0D6B">
            <w:pPr>
              <w:spacing w:line="276" w:lineRule="auto"/>
              <w:rPr>
                <w:rFonts w:eastAsia="Calibri"/>
                <w:sz w:val="22"/>
                <w:szCs w:val="22"/>
              </w:rPr>
            </w:pPr>
          </w:p>
        </w:tc>
        <w:tc>
          <w:tcPr>
            <w:tcW w:w="4920" w:type="dxa"/>
          </w:tcPr>
          <w:p w14:paraId="7C2FE0CE" w14:textId="1932D070" w:rsidR="00871D1E" w:rsidRPr="005D3024" w:rsidRDefault="00871D1E" w:rsidP="000E0D6B">
            <w:pPr>
              <w:tabs>
                <w:tab w:val="center" w:pos="2352"/>
              </w:tabs>
              <w:spacing w:line="276" w:lineRule="auto"/>
              <w:jc w:val="both"/>
              <w:rPr>
                <w:sz w:val="22"/>
                <w:szCs w:val="22"/>
              </w:rPr>
            </w:pP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7DE2CCCD" w14:textId="77777777" w:rsidR="00061ACD" w:rsidRDefault="00061ACD" w:rsidP="00E44EB8">
      <w:pPr>
        <w:rPr>
          <w:szCs w:val="24"/>
        </w:rPr>
      </w:pPr>
    </w:p>
    <w:p w14:paraId="6FE7A68B" w14:textId="77777777" w:rsidR="00061ACD" w:rsidRDefault="00061ACD" w:rsidP="00E44EB8">
      <w:pPr>
        <w:rPr>
          <w:szCs w:val="24"/>
        </w:rPr>
      </w:pPr>
    </w:p>
    <w:p w14:paraId="3889E80A" w14:textId="77777777" w:rsidR="00061ACD" w:rsidRDefault="00061ACD" w:rsidP="00E44EB8">
      <w:pPr>
        <w:rPr>
          <w:szCs w:val="24"/>
        </w:rPr>
      </w:pPr>
    </w:p>
    <w:p w14:paraId="5DE0C7B4" w14:textId="77777777" w:rsidR="00061ACD" w:rsidRDefault="00061ACD" w:rsidP="00E44EB8">
      <w:pPr>
        <w:rPr>
          <w:szCs w:val="24"/>
        </w:rPr>
      </w:pPr>
    </w:p>
    <w:p w14:paraId="207EA705" w14:textId="35DA3944" w:rsidR="00AF0B8E" w:rsidRDefault="00AF0B8E" w:rsidP="00E44EB8">
      <w:pPr>
        <w:rPr>
          <w:szCs w:val="24"/>
        </w:rPr>
      </w:pPr>
    </w:p>
    <w:p w14:paraId="3710EFDD" w14:textId="77777777" w:rsidR="000731C9" w:rsidRDefault="000731C9"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487B" w14:textId="77777777" w:rsidR="008718F1" w:rsidRDefault="008718F1">
      <w:pPr>
        <w:rPr>
          <w:kern w:val="2"/>
          <w:sz w:val="22"/>
          <w:szCs w:val="22"/>
          <w:lang w:val="en-US"/>
        </w:rPr>
      </w:pPr>
      <w:r>
        <w:rPr>
          <w:kern w:val="2"/>
          <w:sz w:val="22"/>
          <w:szCs w:val="22"/>
          <w:lang w:val="en-US"/>
        </w:rPr>
        <w:separator/>
      </w:r>
    </w:p>
  </w:endnote>
  <w:endnote w:type="continuationSeparator" w:id="0">
    <w:p w14:paraId="72DC52E0" w14:textId="77777777" w:rsidR="008718F1" w:rsidRDefault="008718F1">
      <w:pPr>
        <w:rPr>
          <w:kern w:val="2"/>
          <w:sz w:val="22"/>
          <w:szCs w:val="22"/>
          <w:lang w:val="en-US"/>
        </w:rPr>
      </w:pPr>
      <w:r>
        <w:rPr>
          <w:kern w:val="2"/>
          <w:sz w:val="22"/>
          <w:szCs w:val="22"/>
          <w:lang w:val="en-US"/>
        </w:rPr>
        <w:continuationSeparator/>
      </w:r>
    </w:p>
  </w:endnote>
  <w:endnote w:type="continuationNotice" w:id="1">
    <w:p w14:paraId="65DB7F65" w14:textId="77777777" w:rsidR="008718F1" w:rsidRDefault="008718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6C88" w14:textId="77777777" w:rsidR="008718F1" w:rsidRDefault="008718F1">
      <w:pPr>
        <w:rPr>
          <w:kern w:val="2"/>
          <w:sz w:val="22"/>
          <w:szCs w:val="22"/>
          <w:lang w:val="en-US"/>
        </w:rPr>
      </w:pPr>
      <w:r>
        <w:rPr>
          <w:kern w:val="2"/>
          <w:sz w:val="22"/>
          <w:szCs w:val="22"/>
          <w:lang w:val="en-US"/>
        </w:rPr>
        <w:separator/>
      </w:r>
    </w:p>
  </w:footnote>
  <w:footnote w:type="continuationSeparator" w:id="0">
    <w:p w14:paraId="0054A904" w14:textId="77777777" w:rsidR="008718F1" w:rsidRDefault="008718F1">
      <w:pPr>
        <w:rPr>
          <w:kern w:val="2"/>
          <w:sz w:val="22"/>
          <w:szCs w:val="22"/>
          <w:lang w:val="en-US"/>
        </w:rPr>
      </w:pPr>
      <w:r>
        <w:rPr>
          <w:kern w:val="2"/>
          <w:sz w:val="22"/>
          <w:szCs w:val="22"/>
          <w:lang w:val="en-US"/>
        </w:rPr>
        <w:continuationSeparator/>
      </w:r>
    </w:p>
  </w:footnote>
  <w:footnote w:type="continuationNotice" w:id="1">
    <w:p w14:paraId="43039AB3" w14:textId="77777777" w:rsidR="008718F1" w:rsidRDefault="008718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50A49"/>
    <w:rsid w:val="00061ACD"/>
    <w:rsid w:val="00063AA0"/>
    <w:rsid w:val="00065EF4"/>
    <w:rsid w:val="000731C9"/>
    <w:rsid w:val="00074DF1"/>
    <w:rsid w:val="00076D8B"/>
    <w:rsid w:val="00083981"/>
    <w:rsid w:val="00086628"/>
    <w:rsid w:val="000978AF"/>
    <w:rsid w:val="000A7774"/>
    <w:rsid w:val="000B013D"/>
    <w:rsid w:val="000B3B61"/>
    <w:rsid w:val="000F17B4"/>
    <w:rsid w:val="001012E5"/>
    <w:rsid w:val="0011109B"/>
    <w:rsid w:val="001138C9"/>
    <w:rsid w:val="001148B9"/>
    <w:rsid w:val="0012330D"/>
    <w:rsid w:val="00126ACE"/>
    <w:rsid w:val="00135C20"/>
    <w:rsid w:val="00136AA0"/>
    <w:rsid w:val="00140EC7"/>
    <w:rsid w:val="00144D5A"/>
    <w:rsid w:val="001520A6"/>
    <w:rsid w:val="00154612"/>
    <w:rsid w:val="00166505"/>
    <w:rsid w:val="00166519"/>
    <w:rsid w:val="0017511D"/>
    <w:rsid w:val="001800E9"/>
    <w:rsid w:val="00180427"/>
    <w:rsid w:val="00183627"/>
    <w:rsid w:val="0018607E"/>
    <w:rsid w:val="001A40E4"/>
    <w:rsid w:val="001A50CD"/>
    <w:rsid w:val="001B08A1"/>
    <w:rsid w:val="001D1534"/>
    <w:rsid w:val="001D5620"/>
    <w:rsid w:val="001E007A"/>
    <w:rsid w:val="001E2D3C"/>
    <w:rsid w:val="001E3083"/>
    <w:rsid w:val="001F24B4"/>
    <w:rsid w:val="001F4040"/>
    <w:rsid w:val="001F44A3"/>
    <w:rsid w:val="001F6274"/>
    <w:rsid w:val="0021170C"/>
    <w:rsid w:val="002134B1"/>
    <w:rsid w:val="00227E7A"/>
    <w:rsid w:val="00235B8E"/>
    <w:rsid w:val="00236446"/>
    <w:rsid w:val="00244C47"/>
    <w:rsid w:val="002452C0"/>
    <w:rsid w:val="002457E6"/>
    <w:rsid w:val="00245BC4"/>
    <w:rsid w:val="00247C03"/>
    <w:rsid w:val="00257A74"/>
    <w:rsid w:val="002618E1"/>
    <w:rsid w:val="002635D6"/>
    <w:rsid w:val="0027149A"/>
    <w:rsid w:val="002731EF"/>
    <w:rsid w:val="00273FB1"/>
    <w:rsid w:val="002768E8"/>
    <w:rsid w:val="00285BE5"/>
    <w:rsid w:val="002A3378"/>
    <w:rsid w:val="002B1836"/>
    <w:rsid w:val="002B220D"/>
    <w:rsid w:val="002C09B2"/>
    <w:rsid w:val="002C5860"/>
    <w:rsid w:val="002D11E1"/>
    <w:rsid w:val="002D25EC"/>
    <w:rsid w:val="002E1B94"/>
    <w:rsid w:val="002E2F45"/>
    <w:rsid w:val="002E5159"/>
    <w:rsid w:val="002E67A5"/>
    <w:rsid w:val="002E7717"/>
    <w:rsid w:val="002F6689"/>
    <w:rsid w:val="003020F5"/>
    <w:rsid w:val="00304FC7"/>
    <w:rsid w:val="003052C1"/>
    <w:rsid w:val="0030702D"/>
    <w:rsid w:val="00307249"/>
    <w:rsid w:val="00311DB6"/>
    <w:rsid w:val="00323A29"/>
    <w:rsid w:val="00323A7C"/>
    <w:rsid w:val="0033022D"/>
    <w:rsid w:val="00332109"/>
    <w:rsid w:val="00333420"/>
    <w:rsid w:val="00357476"/>
    <w:rsid w:val="00365576"/>
    <w:rsid w:val="003719C8"/>
    <w:rsid w:val="003816F2"/>
    <w:rsid w:val="00385E8F"/>
    <w:rsid w:val="00390541"/>
    <w:rsid w:val="00395D16"/>
    <w:rsid w:val="0039613C"/>
    <w:rsid w:val="003A094C"/>
    <w:rsid w:val="003A25E4"/>
    <w:rsid w:val="003A7E92"/>
    <w:rsid w:val="003B589A"/>
    <w:rsid w:val="003B61DA"/>
    <w:rsid w:val="003C2723"/>
    <w:rsid w:val="003C4D7F"/>
    <w:rsid w:val="003E114A"/>
    <w:rsid w:val="003E1BF7"/>
    <w:rsid w:val="003F0F00"/>
    <w:rsid w:val="003F166D"/>
    <w:rsid w:val="003F2B34"/>
    <w:rsid w:val="0040618B"/>
    <w:rsid w:val="0040676D"/>
    <w:rsid w:val="004108AA"/>
    <w:rsid w:val="00414D40"/>
    <w:rsid w:val="00417FDB"/>
    <w:rsid w:val="00422DF9"/>
    <w:rsid w:val="00426C10"/>
    <w:rsid w:val="00427791"/>
    <w:rsid w:val="00431708"/>
    <w:rsid w:val="00432BF0"/>
    <w:rsid w:val="0044278D"/>
    <w:rsid w:val="004429BB"/>
    <w:rsid w:val="00442BF1"/>
    <w:rsid w:val="004441AB"/>
    <w:rsid w:val="00455BEA"/>
    <w:rsid w:val="00460B35"/>
    <w:rsid w:val="004654D6"/>
    <w:rsid w:val="00470B70"/>
    <w:rsid w:val="0047455C"/>
    <w:rsid w:val="00474E59"/>
    <w:rsid w:val="00474FE5"/>
    <w:rsid w:val="00480772"/>
    <w:rsid w:val="00482ABE"/>
    <w:rsid w:val="00482F96"/>
    <w:rsid w:val="004836FA"/>
    <w:rsid w:val="00492438"/>
    <w:rsid w:val="004937C6"/>
    <w:rsid w:val="00493810"/>
    <w:rsid w:val="004A0174"/>
    <w:rsid w:val="004A185B"/>
    <w:rsid w:val="004A562C"/>
    <w:rsid w:val="004B75C1"/>
    <w:rsid w:val="004C0DBE"/>
    <w:rsid w:val="004C2E62"/>
    <w:rsid w:val="004C317C"/>
    <w:rsid w:val="004C7C34"/>
    <w:rsid w:val="004D2B34"/>
    <w:rsid w:val="004D48B3"/>
    <w:rsid w:val="004D5824"/>
    <w:rsid w:val="004D6BF7"/>
    <w:rsid w:val="004D71DF"/>
    <w:rsid w:val="004D75B0"/>
    <w:rsid w:val="004E23E7"/>
    <w:rsid w:val="004E348D"/>
    <w:rsid w:val="004E551B"/>
    <w:rsid w:val="004E77D7"/>
    <w:rsid w:val="004F23EE"/>
    <w:rsid w:val="004F7898"/>
    <w:rsid w:val="0050193A"/>
    <w:rsid w:val="00505966"/>
    <w:rsid w:val="00522E41"/>
    <w:rsid w:val="00524683"/>
    <w:rsid w:val="00535688"/>
    <w:rsid w:val="00545422"/>
    <w:rsid w:val="00557FD4"/>
    <w:rsid w:val="00562081"/>
    <w:rsid w:val="0056465E"/>
    <w:rsid w:val="00564921"/>
    <w:rsid w:val="00566DFC"/>
    <w:rsid w:val="00570644"/>
    <w:rsid w:val="00570C67"/>
    <w:rsid w:val="00572EF0"/>
    <w:rsid w:val="005850D7"/>
    <w:rsid w:val="00586CC3"/>
    <w:rsid w:val="00592025"/>
    <w:rsid w:val="005974A8"/>
    <w:rsid w:val="005A5832"/>
    <w:rsid w:val="005A6BF7"/>
    <w:rsid w:val="005B34E3"/>
    <w:rsid w:val="005C2667"/>
    <w:rsid w:val="005C6E6F"/>
    <w:rsid w:val="005D170E"/>
    <w:rsid w:val="005D2856"/>
    <w:rsid w:val="005D47BE"/>
    <w:rsid w:val="005D574C"/>
    <w:rsid w:val="005D67B9"/>
    <w:rsid w:val="005E1EBF"/>
    <w:rsid w:val="005E63BA"/>
    <w:rsid w:val="005F2E2B"/>
    <w:rsid w:val="005F3906"/>
    <w:rsid w:val="005F5B23"/>
    <w:rsid w:val="00607A71"/>
    <w:rsid w:val="00610A8C"/>
    <w:rsid w:val="00624A57"/>
    <w:rsid w:val="00631CC4"/>
    <w:rsid w:val="006400D1"/>
    <w:rsid w:val="0064021E"/>
    <w:rsid w:val="00640A66"/>
    <w:rsid w:val="006478C6"/>
    <w:rsid w:val="006506B7"/>
    <w:rsid w:val="00656E3E"/>
    <w:rsid w:val="00660188"/>
    <w:rsid w:val="00664034"/>
    <w:rsid w:val="00666037"/>
    <w:rsid w:val="00685F29"/>
    <w:rsid w:val="00693135"/>
    <w:rsid w:val="006A2852"/>
    <w:rsid w:val="006A286D"/>
    <w:rsid w:val="006A59C1"/>
    <w:rsid w:val="006B1A1B"/>
    <w:rsid w:val="006B2293"/>
    <w:rsid w:val="006C5F73"/>
    <w:rsid w:val="006D3B27"/>
    <w:rsid w:val="006D451D"/>
    <w:rsid w:val="006D6D1D"/>
    <w:rsid w:val="006E249B"/>
    <w:rsid w:val="006E586B"/>
    <w:rsid w:val="006E624D"/>
    <w:rsid w:val="006F0A86"/>
    <w:rsid w:val="006F1C91"/>
    <w:rsid w:val="006F66B5"/>
    <w:rsid w:val="00706435"/>
    <w:rsid w:val="0070662E"/>
    <w:rsid w:val="00722E7B"/>
    <w:rsid w:val="00723B09"/>
    <w:rsid w:val="00723E33"/>
    <w:rsid w:val="00731B2C"/>
    <w:rsid w:val="0073676A"/>
    <w:rsid w:val="00741821"/>
    <w:rsid w:val="00745E73"/>
    <w:rsid w:val="007560F1"/>
    <w:rsid w:val="00760632"/>
    <w:rsid w:val="00765837"/>
    <w:rsid w:val="00766837"/>
    <w:rsid w:val="00767ECF"/>
    <w:rsid w:val="00770EF7"/>
    <w:rsid w:val="00770FB7"/>
    <w:rsid w:val="00783247"/>
    <w:rsid w:val="00786BCC"/>
    <w:rsid w:val="00797B97"/>
    <w:rsid w:val="007A25A0"/>
    <w:rsid w:val="007A4341"/>
    <w:rsid w:val="007A69A9"/>
    <w:rsid w:val="007B0011"/>
    <w:rsid w:val="007B7586"/>
    <w:rsid w:val="007C208A"/>
    <w:rsid w:val="007C727D"/>
    <w:rsid w:val="007C7BB1"/>
    <w:rsid w:val="007D2D41"/>
    <w:rsid w:val="007F03CC"/>
    <w:rsid w:val="0080412A"/>
    <w:rsid w:val="00807EF5"/>
    <w:rsid w:val="00820EED"/>
    <w:rsid w:val="0082244A"/>
    <w:rsid w:val="00840008"/>
    <w:rsid w:val="0084029F"/>
    <w:rsid w:val="00854FED"/>
    <w:rsid w:val="00856751"/>
    <w:rsid w:val="00856EF6"/>
    <w:rsid w:val="00862AE2"/>
    <w:rsid w:val="00863D4C"/>
    <w:rsid w:val="008706B0"/>
    <w:rsid w:val="008718F1"/>
    <w:rsid w:val="00871D1E"/>
    <w:rsid w:val="00872BDB"/>
    <w:rsid w:val="008739B2"/>
    <w:rsid w:val="00876ABD"/>
    <w:rsid w:val="008805C5"/>
    <w:rsid w:val="00890696"/>
    <w:rsid w:val="00892EE7"/>
    <w:rsid w:val="008930B0"/>
    <w:rsid w:val="0089399F"/>
    <w:rsid w:val="00896013"/>
    <w:rsid w:val="008B4D0B"/>
    <w:rsid w:val="008B71B3"/>
    <w:rsid w:val="008C245A"/>
    <w:rsid w:val="008C609C"/>
    <w:rsid w:val="008C7899"/>
    <w:rsid w:val="008D2699"/>
    <w:rsid w:val="008E25F7"/>
    <w:rsid w:val="008E3A37"/>
    <w:rsid w:val="008E3C28"/>
    <w:rsid w:val="008E6A46"/>
    <w:rsid w:val="009024DE"/>
    <w:rsid w:val="00912451"/>
    <w:rsid w:val="0091564A"/>
    <w:rsid w:val="009157CA"/>
    <w:rsid w:val="009160B2"/>
    <w:rsid w:val="0091690B"/>
    <w:rsid w:val="009240CB"/>
    <w:rsid w:val="009254E8"/>
    <w:rsid w:val="00927DEF"/>
    <w:rsid w:val="00930670"/>
    <w:rsid w:val="0093596C"/>
    <w:rsid w:val="0094796C"/>
    <w:rsid w:val="00947A0D"/>
    <w:rsid w:val="00952D7A"/>
    <w:rsid w:val="009605D7"/>
    <w:rsid w:val="00962E9B"/>
    <w:rsid w:val="00983C06"/>
    <w:rsid w:val="00993D23"/>
    <w:rsid w:val="009944B6"/>
    <w:rsid w:val="00995D7F"/>
    <w:rsid w:val="009A099A"/>
    <w:rsid w:val="009A2296"/>
    <w:rsid w:val="009B49FD"/>
    <w:rsid w:val="009C012F"/>
    <w:rsid w:val="009C138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27EB2"/>
    <w:rsid w:val="00A40087"/>
    <w:rsid w:val="00A43809"/>
    <w:rsid w:val="00A44D64"/>
    <w:rsid w:val="00A45B4F"/>
    <w:rsid w:val="00A56327"/>
    <w:rsid w:val="00A60196"/>
    <w:rsid w:val="00A6075B"/>
    <w:rsid w:val="00A6170C"/>
    <w:rsid w:val="00A62908"/>
    <w:rsid w:val="00A64EF8"/>
    <w:rsid w:val="00A64F7D"/>
    <w:rsid w:val="00A70A49"/>
    <w:rsid w:val="00A76226"/>
    <w:rsid w:val="00A9516C"/>
    <w:rsid w:val="00AA1293"/>
    <w:rsid w:val="00AA3736"/>
    <w:rsid w:val="00AC5901"/>
    <w:rsid w:val="00AD08E5"/>
    <w:rsid w:val="00AD0BAE"/>
    <w:rsid w:val="00AD5DA9"/>
    <w:rsid w:val="00AE3DEE"/>
    <w:rsid w:val="00AE7AD0"/>
    <w:rsid w:val="00AF0B8E"/>
    <w:rsid w:val="00AF2386"/>
    <w:rsid w:val="00AF29A3"/>
    <w:rsid w:val="00AF3571"/>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77F6D"/>
    <w:rsid w:val="00B9127C"/>
    <w:rsid w:val="00B91535"/>
    <w:rsid w:val="00B96852"/>
    <w:rsid w:val="00BA28FB"/>
    <w:rsid w:val="00BB0D5A"/>
    <w:rsid w:val="00BC23E4"/>
    <w:rsid w:val="00BC3AA2"/>
    <w:rsid w:val="00BD0F62"/>
    <w:rsid w:val="00BD140D"/>
    <w:rsid w:val="00BD60FD"/>
    <w:rsid w:val="00BE31FF"/>
    <w:rsid w:val="00BE52DD"/>
    <w:rsid w:val="00BE7672"/>
    <w:rsid w:val="00BF100A"/>
    <w:rsid w:val="00BF3D39"/>
    <w:rsid w:val="00C018F2"/>
    <w:rsid w:val="00C020F9"/>
    <w:rsid w:val="00C06A25"/>
    <w:rsid w:val="00C24E94"/>
    <w:rsid w:val="00C32FFB"/>
    <w:rsid w:val="00C358EA"/>
    <w:rsid w:val="00C35A88"/>
    <w:rsid w:val="00C46D66"/>
    <w:rsid w:val="00C52785"/>
    <w:rsid w:val="00C52B81"/>
    <w:rsid w:val="00C53537"/>
    <w:rsid w:val="00C632FD"/>
    <w:rsid w:val="00C76621"/>
    <w:rsid w:val="00C80C37"/>
    <w:rsid w:val="00C8119F"/>
    <w:rsid w:val="00C814E0"/>
    <w:rsid w:val="00C85D67"/>
    <w:rsid w:val="00C95150"/>
    <w:rsid w:val="00CB4D2E"/>
    <w:rsid w:val="00CB69F1"/>
    <w:rsid w:val="00CB7B9A"/>
    <w:rsid w:val="00CC1E73"/>
    <w:rsid w:val="00CC55F1"/>
    <w:rsid w:val="00CD5400"/>
    <w:rsid w:val="00CD620A"/>
    <w:rsid w:val="00CE1674"/>
    <w:rsid w:val="00CE2FBE"/>
    <w:rsid w:val="00CE438A"/>
    <w:rsid w:val="00CF48D4"/>
    <w:rsid w:val="00CF645F"/>
    <w:rsid w:val="00D06A4D"/>
    <w:rsid w:val="00D1688A"/>
    <w:rsid w:val="00D214FB"/>
    <w:rsid w:val="00D265FA"/>
    <w:rsid w:val="00D26FDB"/>
    <w:rsid w:val="00D31BD3"/>
    <w:rsid w:val="00D31CF7"/>
    <w:rsid w:val="00D47105"/>
    <w:rsid w:val="00D52A7C"/>
    <w:rsid w:val="00D55A48"/>
    <w:rsid w:val="00D600FF"/>
    <w:rsid w:val="00D611E1"/>
    <w:rsid w:val="00D74608"/>
    <w:rsid w:val="00D7474D"/>
    <w:rsid w:val="00D836D1"/>
    <w:rsid w:val="00D853A0"/>
    <w:rsid w:val="00D853D0"/>
    <w:rsid w:val="00D9615D"/>
    <w:rsid w:val="00DA2D23"/>
    <w:rsid w:val="00DC3ECD"/>
    <w:rsid w:val="00DC52C5"/>
    <w:rsid w:val="00DC7D72"/>
    <w:rsid w:val="00DD1CA0"/>
    <w:rsid w:val="00DD342B"/>
    <w:rsid w:val="00DE1BDD"/>
    <w:rsid w:val="00DE49C6"/>
    <w:rsid w:val="00DF5828"/>
    <w:rsid w:val="00E10269"/>
    <w:rsid w:val="00E14F92"/>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C180A"/>
    <w:rsid w:val="00EC1C35"/>
    <w:rsid w:val="00EC47EB"/>
    <w:rsid w:val="00EC624D"/>
    <w:rsid w:val="00EC64D8"/>
    <w:rsid w:val="00ED6B10"/>
    <w:rsid w:val="00ED6EDD"/>
    <w:rsid w:val="00EE43DC"/>
    <w:rsid w:val="00EF10BE"/>
    <w:rsid w:val="00EF1228"/>
    <w:rsid w:val="00EF2CF4"/>
    <w:rsid w:val="00EF689E"/>
    <w:rsid w:val="00F020F2"/>
    <w:rsid w:val="00F06A65"/>
    <w:rsid w:val="00F07589"/>
    <w:rsid w:val="00F07A32"/>
    <w:rsid w:val="00F103DC"/>
    <w:rsid w:val="00F114F6"/>
    <w:rsid w:val="00F12981"/>
    <w:rsid w:val="00F203C1"/>
    <w:rsid w:val="00F21186"/>
    <w:rsid w:val="00F2288E"/>
    <w:rsid w:val="00F26315"/>
    <w:rsid w:val="00F301EE"/>
    <w:rsid w:val="00F311A0"/>
    <w:rsid w:val="00F35F9F"/>
    <w:rsid w:val="00F405C0"/>
    <w:rsid w:val="00F453C0"/>
    <w:rsid w:val="00F53D84"/>
    <w:rsid w:val="00F54036"/>
    <w:rsid w:val="00F619D0"/>
    <w:rsid w:val="00F73054"/>
    <w:rsid w:val="00F74578"/>
    <w:rsid w:val="00F77034"/>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nius@armil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armil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65299</Words>
  <Characters>37221</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2026-02-23T12:46:00Z</dcterms:created>
  <dcterms:modified xsi:type="dcterms:W3CDTF">2026-02-23T12:51:00Z</dcterms:modified>
</cp:coreProperties>
</file>