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b/>
          <w:bCs/>
        </w:rPr>
      </w:pPr>
      <w:r>
        <w:rPr>
          <w:b/>
          <w:bCs/>
          <w:lang w:val="it-IT"/>
        </w:rPr>
        <w:t xml:space="preserve">KIBERNETINIO SAUGUMO </w:t>
      </w:r>
      <w:r>
        <w:rPr>
          <w:b/>
          <w:bCs/>
        </w:rPr>
        <w:t>SPECIALI</w:t>
      </w:r>
      <w:r>
        <w:rPr>
          <w:b/>
          <w:bCs/>
        </w:rPr>
        <w:t>S</w:t>
      </w:r>
      <w:r>
        <w:rPr>
          <w:b/>
          <w:bCs/>
        </w:rPr>
        <w:t>TO PASLAUGŲ TEIKIMO SUTARTIS</w:t>
      </w:r>
    </w:p>
    <w:p>
      <w:pPr>
        <w:pStyle w:val="NoSpacing1"/>
        <w:numPr>
          <w:ilvl w:val="0"/>
          <w:numId w:val="0"/>
        </w:numPr>
        <w:jc w:val="center"/>
        <w:outlineLvl w:val="0"/>
        <w:rPr/>
      </w:pPr>
      <w:r>
        <w:rPr/>
        <w:t>2026 m. vasario 20 d. Nr. MS-2026/4</w:t>
      </w:r>
    </w:p>
    <w:p>
      <w:pPr>
        <w:pStyle w:val="NoSpacing1"/>
        <w:numPr>
          <w:ilvl w:val="0"/>
          <w:numId w:val="0"/>
        </w:numPr>
        <w:jc w:val="center"/>
        <w:outlineLvl w:val="0"/>
        <w:rPr/>
      </w:pPr>
      <w:r>
        <w:rPr/>
        <w:t>Vilnius</w:t>
      </w:r>
    </w:p>
    <w:p>
      <w:pPr>
        <w:pStyle w:val="NoSpacing1"/>
        <w:rPr/>
      </w:pPr>
      <w:r>
        <w:rPr/>
      </w:r>
    </w:p>
    <w:p>
      <w:pPr>
        <w:pStyle w:val="Normal"/>
        <w:spacing w:lineRule="auto" w:line="240" w:before="0" w:after="0"/>
        <w:jc w:val="both"/>
        <w:rPr/>
      </w:pPr>
      <w:r>
        <w:rPr>
          <w:b/>
          <w:bCs/>
        </w:rPr>
        <w:t>Vyriausioji tarnybinės etikos komisija</w:t>
      </w:r>
      <w:r>
        <w:rPr/>
        <w:t xml:space="preserve">, juridinio asmens kodas </w:t>
      </w:r>
      <w:r>
        <w:rPr>
          <w:shd w:fill="FFFFFF" w:val="clear"/>
        </w:rPr>
        <w:t>188736355</w:t>
      </w:r>
      <w:r>
        <w:rPr>
          <w:rStyle w:val="Color15"/>
        </w:rPr>
        <w:t>, kurios buveinė registruota adresu </w:t>
      </w:r>
      <w:r>
        <w:rPr>
          <w:shd w:fill="FFFFFF" w:val="clear"/>
        </w:rPr>
        <w:t xml:space="preserve"> A. Goštauto g. 9</w:t>
      </w:r>
      <w:r>
        <w:rPr>
          <w:rStyle w:val="Color15"/>
        </w:rPr>
        <w:t xml:space="preserve">, </w:t>
      </w:r>
      <w:r>
        <w:rPr>
          <w:shd w:fill="FFFFFF" w:val="clear"/>
        </w:rPr>
        <w:t xml:space="preserve">Vilniuje, </w:t>
      </w:r>
      <w:r>
        <w:rPr/>
        <w:t xml:space="preserve">duomenys apie įstaigą kaupiami ir saugomi Lietuvos Respublikos juridinių asmenų registre, </w:t>
      </w:r>
      <w:r>
        <w:rPr>
          <w:rStyle w:val="Color15"/>
        </w:rPr>
        <w:t xml:space="preserve">atstovaujama </w:t>
      </w:r>
      <w:r>
        <w:rPr/>
        <w:t xml:space="preserve">komisijos </w:t>
      </w:r>
      <w:r>
        <w:rPr/>
        <w:t>[</w:t>
      </w:r>
      <w:r>
        <w:rPr>
          <w:i/>
          <w:iCs/>
          <w:shd w:fill="DDDDDD" w:val="clear"/>
        </w:rPr>
        <w:t>uždengti asmens duomenys</w:t>
      </w:r>
      <w:r>
        <w:rPr/>
        <w:t>]</w:t>
      </w:r>
      <w:r>
        <w:rPr/>
        <w:t xml:space="preserve">, veikiančio pagal Lietuvos Respublikos Vyriausiosios tarnybinės etikos komisijos įstatymą </w:t>
      </w:r>
      <w:r>
        <w:rPr>
          <w:b/>
          <w:bCs/>
        </w:rPr>
        <w:t xml:space="preserve">(toliau – </w:t>
      </w:r>
      <w:bookmarkStart w:id="0" w:name="_Hlk67868049"/>
      <w:r>
        <w:rPr>
          <w:b/>
          <w:bCs/>
        </w:rPr>
        <w:t>Užsakovas</w:t>
      </w:r>
      <w:bookmarkEnd w:id="0"/>
      <w:r>
        <w:rPr>
          <w:b/>
          <w:bCs/>
        </w:rPr>
        <w:t xml:space="preserve">), </w:t>
      </w:r>
      <w:r>
        <w:rPr/>
        <w:t xml:space="preserve">ir </w:t>
      </w:r>
      <w:r>
        <w:rPr>
          <w:b/>
          <w:bCs/>
        </w:rPr>
        <w:t>Deivis Kulvietis</w:t>
      </w:r>
      <w:r>
        <w:rPr/>
        <w:t>, a</w:t>
      </w:r>
      <w:r>
        <w:rPr>
          <w:rStyle w:val="Color15"/>
        </w:rPr>
        <w:t>[</w:t>
      </w:r>
      <w:r>
        <w:rPr>
          <w:rStyle w:val="Color15"/>
          <w:i/>
          <w:iCs/>
          <w:shd w:fill="DDDDDD" w:val="clear"/>
        </w:rPr>
        <w:t>uždengti asmens duomenys</w:t>
      </w:r>
      <w:r>
        <w:rPr>
          <w:rStyle w:val="Color15"/>
        </w:rPr>
        <w:t>]</w:t>
      </w:r>
      <w:r>
        <w:rPr>
          <w:rStyle w:val="Color15"/>
        </w:rPr>
        <w:t xml:space="preserve">, veikiantis pagal išduotą nuolatinio Lietuvos Respublikos gyventojo individualios veiklos vykdymo pažymą Nr. </w:t>
      </w:r>
      <w:r>
        <w:rPr/>
        <w:t>742178</w:t>
      </w:r>
      <w:r>
        <w:rPr>
          <w:rStyle w:val="Color15"/>
        </w:rPr>
        <w:t xml:space="preserve"> </w:t>
      </w:r>
      <w:r>
        <w:rPr>
          <w:b/>
          <w:bCs/>
        </w:rPr>
        <w:t>(toliau – Paslaugų teikėjas),</w:t>
      </w:r>
      <w:r>
        <w:rPr/>
        <w:t xml:space="preserve"> kurie toliau sutarties tekste atskirai gali būti vadinami </w:t>
      </w:r>
      <w:r>
        <w:rPr>
          <w:b/>
          <w:bCs/>
        </w:rPr>
        <w:t>Šalimi,</w:t>
      </w:r>
      <w:r>
        <w:rPr/>
        <w:t xml:space="preserve"> o abu kartu </w:t>
      </w:r>
      <w:bookmarkStart w:id="1" w:name="_Hlk191470113"/>
      <w:r>
        <w:rPr/>
        <w:t>–</w:t>
      </w:r>
      <w:bookmarkEnd w:id="1"/>
      <w:r>
        <w:rPr/>
        <w:t xml:space="preserve"> </w:t>
      </w:r>
      <w:r>
        <w:rPr>
          <w:b/>
          <w:bCs/>
        </w:rPr>
        <w:t xml:space="preserve">Šalimis, </w:t>
      </w:r>
      <w:r>
        <w:rPr/>
        <w:t xml:space="preserve">sudarė šią kibernetinio saugumo specialisto paslaugų teikimo sutartį </w:t>
      </w:r>
      <w:r>
        <w:rPr>
          <w:b/>
        </w:rPr>
        <w:t>(toliau – Sutartis)</w:t>
      </w:r>
      <w:r>
        <w:rPr/>
        <w:t xml:space="preserve"> ir susitarė dėl toliau išvardytų sąlygų. </w:t>
      </w:r>
    </w:p>
    <w:p>
      <w:pPr>
        <w:pStyle w:val="NoSpacing1"/>
        <w:jc w:val="both"/>
        <w:rPr/>
      </w:pPr>
      <w:r>
        <w:rPr/>
      </w:r>
    </w:p>
    <w:p>
      <w:pPr>
        <w:pStyle w:val="NoSpacing1"/>
        <w:numPr>
          <w:ilvl w:val="0"/>
          <w:numId w:val="0"/>
        </w:numPr>
        <w:jc w:val="center"/>
        <w:outlineLvl w:val="0"/>
        <w:rPr>
          <w:b/>
          <w:bCs/>
        </w:rPr>
      </w:pPr>
      <w:r>
        <w:rPr>
          <w:b/>
          <w:bCs/>
        </w:rPr>
        <w:t>I. SUTARTIES OBJEKTAS</w:t>
      </w:r>
    </w:p>
    <w:p>
      <w:pPr>
        <w:pStyle w:val="NoSpacing1"/>
        <w:numPr>
          <w:ilvl w:val="0"/>
          <w:numId w:val="0"/>
        </w:numPr>
        <w:jc w:val="center"/>
        <w:outlineLvl w:val="0"/>
        <w:rPr>
          <w:b/>
          <w:bCs/>
        </w:rPr>
      </w:pPr>
      <w:r>
        <w:rPr>
          <w:b/>
          <w:bCs/>
        </w:rPr>
      </w:r>
    </w:p>
    <w:p>
      <w:pPr>
        <w:pStyle w:val="NormalWeb"/>
        <w:shd w:val="clear" w:color="auto" w:fill="FFFFFF" w:themeFill="background1"/>
        <w:spacing w:beforeAutospacing="0" w:before="0" w:afterAutospacing="0" w:after="0"/>
        <w:jc w:val="both"/>
        <w:rPr/>
      </w:pPr>
      <w:r>
        <w:rPr/>
        <w:t>1. Pagal šią sutartį Paslaugų teikėjas vykdys kibernetinio saugumo vadovo ir saugos įgaliotinio funkcijas kaip jos apibrėžtos Lietuvos Respublikos kibernetinio saugumo įstatymo nuostatose.</w:t>
      </w:r>
    </w:p>
    <w:p>
      <w:pPr>
        <w:pStyle w:val="NormalWeb"/>
        <w:shd w:val="clear" w:color="auto" w:fill="FFFFFF" w:themeFill="background1"/>
        <w:spacing w:beforeAutospacing="0" w:before="0" w:afterAutospacing="0" w:after="0"/>
        <w:jc w:val="both"/>
        <w:rPr/>
      </w:pPr>
      <w:r>
        <w:rPr/>
      </w:r>
    </w:p>
    <w:p>
      <w:pPr>
        <w:pStyle w:val="NoSpacing1"/>
        <w:numPr>
          <w:ilvl w:val="0"/>
          <w:numId w:val="0"/>
        </w:numPr>
        <w:jc w:val="center"/>
        <w:outlineLvl w:val="0"/>
        <w:rPr>
          <w:b/>
          <w:bCs/>
        </w:rPr>
      </w:pPr>
      <w:r>
        <w:rPr>
          <w:b/>
          <w:bCs/>
        </w:rPr>
        <w:t>II. PASLAUGŲ TEIKĖJO TEISĖS IR ĮSIPAREIGOJIMAI</w:t>
      </w:r>
    </w:p>
    <w:p>
      <w:pPr>
        <w:pStyle w:val="NoSpacing1"/>
        <w:numPr>
          <w:ilvl w:val="0"/>
          <w:numId w:val="0"/>
        </w:numPr>
        <w:jc w:val="center"/>
        <w:outlineLvl w:val="0"/>
        <w:rPr>
          <w:b/>
          <w:bCs/>
        </w:rPr>
      </w:pPr>
      <w:r>
        <w:rPr>
          <w:b/>
          <w:bCs/>
        </w:rPr>
      </w:r>
    </w:p>
    <w:p>
      <w:pPr>
        <w:pStyle w:val="NoSpacing1"/>
        <w:jc w:val="both"/>
        <w:rPr/>
      </w:pPr>
      <w:r>
        <w:rPr/>
        <w:t>2.1. Paslaugų teikėjas patvirtina turintis reikiamą kvalifikaciją, patirtį ir žinias, reikalingas teikti Sutartyje numatytas paslaugas, ir įsipareigoja:</w:t>
      </w:r>
    </w:p>
    <w:p>
      <w:pPr>
        <w:pStyle w:val="NoSpacing1"/>
        <w:jc w:val="both"/>
        <w:rPr/>
      </w:pPr>
      <w:r>
        <w:rPr/>
        <w:t>2.1.1. vykdyti kibernetinio saugumo vadovo ir saugos įgaliotinio funkcijas kaip jos apibrėžtos Lietuvos Respublikos kibernetinio saugumo įstatymo nuostatose;</w:t>
      </w:r>
    </w:p>
    <w:p>
      <w:pPr>
        <w:pStyle w:val="NoSpacing1"/>
        <w:jc w:val="both"/>
        <w:rPr/>
      </w:pPr>
      <w:r>
        <w:rPr/>
        <w:t>2.1.3. peržiūrėti esamą su kibernetinio saugumo užtikrinimu susijusią dokumentaciją bei periodiškai ją atnaujinti (esant poreikiui, keičiantis teisės aktų reikalavimams);</w:t>
      </w:r>
    </w:p>
    <w:p>
      <w:pPr>
        <w:pStyle w:val="NoSpacing1"/>
        <w:jc w:val="both"/>
        <w:rPr/>
      </w:pPr>
      <w:r>
        <w:rPr/>
        <w:t>2.1.4. teikti Užsakovui konsultacijas kibernetinio saugumo klausimais;</w:t>
      </w:r>
    </w:p>
    <w:p>
      <w:pPr>
        <w:pStyle w:val="NoSpacing1"/>
        <w:jc w:val="both"/>
        <w:rPr/>
      </w:pPr>
      <w:r>
        <w:rPr/>
        <w:t>2.1.5. teikti Užsakovui pagalbą saugumo auditu metu dėl pateiktų rekomendacijų įgyvendinimo;</w:t>
      </w:r>
    </w:p>
    <w:p>
      <w:pPr>
        <w:pStyle w:val="NoSpacing1"/>
        <w:jc w:val="both"/>
        <w:rPr/>
      </w:pPr>
      <w:r>
        <w:rPr/>
        <w:t>2.1.6. teikti Užsakovui pagalbą informacinių sistemos tinkamo saugumo lygio palaikymui;</w:t>
      </w:r>
    </w:p>
    <w:p>
      <w:pPr>
        <w:pStyle w:val="NoSpacing1"/>
        <w:jc w:val="both"/>
        <w:rPr/>
      </w:pPr>
      <w:r>
        <w:rPr/>
        <w:t>2.1.7. teikti pagalbą likviduojant saugumo incidentus;</w:t>
      </w:r>
    </w:p>
    <w:p>
      <w:pPr>
        <w:pStyle w:val="NoSpacing1"/>
        <w:jc w:val="both"/>
        <w:rPr/>
      </w:pPr>
      <w:r>
        <w:rPr/>
        <w:t>2.1.8. bent kartą per metus atlikti socialinės inžinerijos simuliaciją su Užsakovo darbuotojais, kurių sąrašą pateikia Užsakovas;</w:t>
      </w:r>
    </w:p>
    <w:p>
      <w:pPr>
        <w:pStyle w:val="NoSpacing1"/>
        <w:jc w:val="both"/>
        <w:rPr/>
      </w:pPr>
      <w:r>
        <w:rPr/>
        <w:t>2.1.9. teikit pagalbą, dalyvaujant nuotoliniuose susitikimuose, pildant klausimynus, ruošiant ataskaitas kibernetinio saugumo auditus atliekančioms įmonėms bei Nacionalinio kibernetinio saugumo centrui;</w:t>
      </w:r>
    </w:p>
    <w:p>
      <w:pPr>
        <w:pStyle w:val="NoSpacing1"/>
        <w:jc w:val="both"/>
        <w:rPr/>
      </w:pPr>
      <w:r>
        <w:rPr/>
        <w:t>2.1.10. teikti Paslaugas Užsakovui pagal Sutartį už sutartą Paslaugų kainą, savo rizika bei sąskaita kaip įmanoma rūpestingai bei efektyviai, įskaitant, bet neapsiribojant, Paslaugų teikimą pagal visuotinai pripažįstamus profesinius, techninius standartus ir praktiką, panaudodamas visus reikiamus įgūdžius bei žinias;</w:t>
      </w:r>
    </w:p>
    <w:p>
      <w:pPr>
        <w:pStyle w:val="NoSpacing1"/>
        <w:jc w:val="both"/>
        <w:rPr/>
      </w:pPr>
      <w:r>
        <w:rPr/>
        <w:t>2.1.11. paslaugas teikti tinkamai, kokybiškai ir laiku pagal šioje Sutartyje nurodytas sąlygas;</w:t>
      </w:r>
    </w:p>
    <w:p>
      <w:pPr>
        <w:pStyle w:val="NoSpacing1"/>
        <w:jc w:val="both"/>
        <w:rPr/>
      </w:pPr>
      <w:r>
        <w:rPr/>
        <w:t xml:space="preserve">2.1.12. nedelsiant raštu informuoti Užsakovą apie bet kurias aplinkybes, kurios trukdo ar gali sutrukdyti Paslaugų teikėjui tinkamai suteikti Paslaugas;  </w:t>
      </w:r>
    </w:p>
    <w:p>
      <w:pPr>
        <w:pStyle w:val="NoSpacing1"/>
        <w:jc w:val="both"/>
        <w:rPr/>
      </w:pPr>
      <w:r>
        <w:rPr/>
        <w:t xml:space="preserve">2.1.13. užtikrinti iš Užsakovo Sutarties vykdymo metu gautos ir su Sutarties vykdymu susijusios informacijos konfidencialumą bei apsaugą. </w:t>
      </w:r>
    </w:p>
    <w:p>
      <w:pPr>
        <w:pStyle w:val="NoSpacing1"/>
        <w:jc w:val="both"/>
        <w:rPr/>
      </w:pPr>
      <w:r>
        <w:rPr/>
        <w:t xml:space="preserve">2.2. Paslaugų teikėjas, ne vėliau kaip prieš 5 (penkias) darbo dienas raštu informavęs Užsakovą, turi teisę šios Sutarties vykdymui pasitelkti kitus asmenis, kurie privalo užtikrinti Užsakovo pateiktos informacijos ir kitos informacijos, susijusios su šios sutarties vykdymu, konfidencialumą. </w:t>
      </w:r>
    </w:p>
    <w:p>
      <w:pPr>
        <w:pStyle w:val="NoSpacing1"/>
        <w:jc w:val="both"/>
        <w:rPr>
          <w:color w:val="000000"/>
          <w:lang w:eastAsia="lt-LT"/>
        </w:rPr>
      </w:pPr>
      <w:r>
        <w:rPr/>
        <w:t xml:space="preserve">2.3. </w:t>
      </w:r>
      <w:r>
        <w:rPr>
          <w:color w:val="000000"/>
          <w:lang w:eastAsia="lt-LT"/>
        </w:rPr>
        <w:t xml:space="preserve">Paslaugas teikti valstybine lietuvių kalba. </w:t>
      </w:r>
    </w:p>
    <w:p>
      <w:pPr>
        <w:pStyle w:val="NoSpacing1"/>
        <w:jc w:val="both"/>
        <w:rPr>
          <w:color w:val="000000"/>
          <w:lang w:eastAsia="lt-LT"/>
        </w:rPr>
      </w:pPr>
      <w:r>
        <w:rPr>
          <w:color w:val="000000"/>
          <w:lang w:eastAsia="lt-LT"/>
        </w:rPr>
        <w:t xml:space="preserve">2.4. Paslaugas teikti Vilniaus miesto ribose arba elektroninių ryšių priemonėmis, jeigu iš anksto raštu nesusitarta kitaip.  </w:t>
      </w:r>
    </w:p>
    <w:p>
      <w:pPr>
        <w:pStyle w:val="NoSpacing1"/>
        <w:jc w:val="both"/>
        <w:rPr>
          <w:color w:val="000000"/>
          <w:lang w:eastAsia="lt-LT"/>
        </w:rPr>
      </w:pPr>
      <w:r>
        <w:rPr>
          <w:color w:val="000000"/>
          <w:lang w:eastAsia="lt-LT"/>
        </w:rPr>
        <w:t>2.5. Paslaugas teikti darbo dienomis darbo metu nuo 8.00 iki 17.00 val.</w:t>
      </w:r>
    </w:p>
    <w:p>
      <w:pPr>
        <w:pStyle w:val="NoSpacing1"/>
        <w:jc w:val="both"/>
        <w:rPr/>
      </w:pPr>
      <w:r>
        <w:rPr/>
        <w:t xml:space="preserve">2.6. Paslaugų teikėjas turi ir kitas šios Sutarties ir Lietuvos Respublikoje galiojančių teisės aktų numatytas teises bei pareigas. </w:t>
      </w:r>
    </w:p>
    <w:p>
      <w:pPr>
        <w:pStyle w:val="NoSpacing1"/>
        <w:jc w:val="both"/>
        <w:rPr/>
      </w:pPr>
      <w:r>
        <w:rPr/>
      </w:r>
    </w:p>
    <w:p>
      <w:pPr>
        <w:pStyle w:val="NoSpacing1"/>
        <w:numPr>
          <w:ilvl w:val="0"/>
          <w:numId w:val="0"/>
        </w:numPr>
        <w:jc w:val="center"/>
        <w:outlineLvl w:val="0"/>
        <w:rPr>
          <w:b/>
          <w:bCs/>
        </w:rPr>
      </w:pPr>
      <w:r>
        <w:rPr>
          <w:b/>
          <w:bCs/>
        </w:rPr>
        <w:t>III. UŽSAKOVO TEISĖS IR ĮSIPAREIGOJIMAI</w:t>
      </w:r>
    </w:p>
    <w:p>
      <w:pPr>
        <w:pStyle w:val="NoSpacing1"/>
        <w:jc w:val="both"/>
        <w:rPr/>
      </w:pPr>
      <w:r>
        <w:rPr/>
      </w:r>
    </w:p>
    <w:p>
      <w:pPr>
        <w:pStyle w:val="NoSpacing1"/>
        <w:jc w:val="both"/>
        <w:rPr/>
      </w:pPr>
      <w:r>
        <w:rPr/>
        <w:t xml:space="preserve">3.1.Užsakovas įsipareigoja: </w:t>
      </w:r>
    </w:p>
    <w:p>
      <w:pPr>
        <w:pStyle w:val="NoSpacing1"/>
        <w:jc w:val="both"/>
        <w:rPr/>
      </w:pPr>
      <w:r>
        <w:rPr/>
        <w:t>3.1.1. nurodyti Paslaugų teikėjui už sutarties vykdymą atsakingą (-us) asmenį (-is), į kurį (-iuos) Paslaugų teikėjas galėtų betarpiškai kreiptis ir kuris (-ie) būtų įgalioti teikti informaciją bei pagalbą Paslaugų teikėjui;</w:t>
      </w:r>
    </w:p>
    <w:p>
      <w:pPr>
        <w:pStyle w:val="NoSpacing1"/>
        <w:jc w:val="both"/>
        <w:rPr/>
      </w:pPr>
      <w:r>
        <w:rPr/>
        <w:t>3.1.2. suteikti visą informaciją bei dokumentus, būtinus Paslaugoms teikti pagal Sutartį;</w:t>
      </w:r>
    </w:p>
    <w:p>
      <w:pPr>
        <w:pStyle w:val="NoSpacing1"/>
        <w:jc w:val="both"/>
        <w:rPr/>
      </w:pPr>
      <w:r>
        <w:rPr/>
        <w:t xml:space="preserve">3.1.3. už suteiktas Paslaugas sumokėti sutartą kainą Sutartyje nustatyta tvarka ir  terminais. </w:t>
      </w:r>
    </w:p>
    <w:p>
      <w:pPr>
        <w:pStyle w:val="NoSpacing1"/>
        <w:jc w:val="both"/>
        <w:rPr/>
      </w:pPr>
      <w:r>
        <w:rPr/>
        <w:t>3.2. užsakovas turi teisę gauti iš Paslaugų teikėjo informaciją apie Paslaugų teikimo eigą. Informacija teikiama Užsakovo prašymu arba Paslaugų teikėjo iniciatyva;</w:t>
      </w:r>
    </w:p>
    <w:p>
      <w:pPr>
        <w:pStyle w:val="NoSpacing1"/>
        <w:jc w:val="both"/>
        <w:rPr/>
      </w:pPr>
      <w:r>
        <w:rPr/>
        <w:t xml:space="preserve">3.3. užsakovas turi ir kitas šios Sutarties bei Lietuvos Respublikoje galiojančių teisės aktų numatytas teises ir pareigas. </w:t>
      </w:r>
    </w:p>
    <w:p>
      <w:pPr>
        <w:pStyle w:val="NoSpacing1"/>
        <w:tabs>
          <w:tab w:val="clear" w:pos="1296"/>
          <w:tab w:val="left" w:pos="426" w:leader="none"/>
        </w:tabs>
        <w:rPr/>
      </w:pPr>
      <w:r>
        <w:rPr/>
      </w:r>
    </w:p>
    <w:p>
      <w:pPr>
        <w:pStyle w:val="NoSpacing1"/>
        <w:numPr>
          <w:ilvl w:val="0"/>
          <w:numId w:val="0"/>
        </w:numPr>
        <w:jc w:val="center"/>
        <w:outlineLvl w:val="0"/>
        <w:rPr>
          <w:b/>
          <w:bCs/>
        </w:rPr>
      </w:pPr>
      <w:r>
        <w:rPr>
          <w:b/>
          <w:bCs/>
        </w:rPr>
        <w:t>IV. PASLAUGŲ KAINA IR KAINOS MOKĖJIMO TVARKA</w:t>
      </w:r>
    </w:p>
    <w:p>
      <w:pPr>
        <w:pStyle w:val="NoSpacing1"/>
        <w:numPr>
          <w:ilvl w:val="0"/>
          <w:numId w:val="0"/>
        </w:numPr>
        <w:jc w:val="center"/>
        <w:outlineLvl w:val="0"/>
        <w:rPr>
          <w:b/>
          <w:bCs/>
        </w:rPr>
      </w:pPr>
      <w:r>
        <w:rPr>
          <w:b/>
          <w:bCs/>
        </w:rPr>
      </w:r>
    </w:p>
    <w:p>
      <w:pPr>
        <w:pStyle w:val="Normal"/>
        <w:spacing w:lineRule="auto" w:line="240" w:before="0" w:after="0"/>
        <w:jc w:val="both"/>
        <w:rPr/>
      </w:pPr>
      <w:r>
        <w:rPr/>
        <w:t>4.1. Už suteiktas Paslaugas Užsakovas įsipareigoja mokėti Paslaugų teikėjui fiksuotą 1200,00 (vieno tūkstančio dviejų šimtų) eurų mėnesio mokestį, į</w:t>
      </w:r>
      <w:r>
        <w:rPr>
          <w:rFonts w:eastAsia="Calibri"/>
        </w:rPr>
        <w:t xml:space="preserve"> šį įkainį yra įskaičiuoti visi įmanomi mokesčiai bei  sąnaudos. Maksimali sutarties vertė be PVM 14900,00 eurų (keturiolika tūkstančių devyni šimtai eurų).</w:t>
      </w:r>
    </w:p>
    <w:p>
      <w:pPr>
        <w:pStyle w:val="NoSpacing1"/>
        <w:jc w:val="both"/>
        <w:rPr/>
      </w:pPr>
      <w:r>
        <w:rPr/>
        <w:t>4.3. Užsakovas neprivalės apmokėti jokių kitų sumų, kurios nėra nurodytos ar aptartos šioje Sutartyje, jos prieduose arba nebuvo iš anksto raštu patvirtintos Užsakovo.</w:t>
      </w:r>
    </w:p>
    <w:p>
      <w:pPr>
        <w:pStyle w:val="ListParagraph"/>
        <w:shd w:val="clear" w:color="auto" w:fill="FFFFFF" w:themeFill="background1"/>
        <w:tabs>
          <w:tab w:val="clear" w:pos="1296"/>
          <w:tab w:val="left" w:pos="567" w:leader="none"/>
          <w:tab w:val="left" w:pos="709" w:leader="none"/>
        </w:tabs>
        <w:spacing w:lineRule="auto" w:line="240"/>
        <w:ind w:left="0"/>
        <w:rPr>
          <w:rFonts w:ascii="Times New Roman" w:hAnsi="Times New Roman" w:eastAsia="Times New Roman"/>
          <w:color w:val="auto"/>
          <w:sz w:val="24"/>
          <w:szCs w:val="24"/>
          <w:lang w:val="lt-LT"/>
        </w:rPr>
      </w:pPr>
      <w:bookmarkStart w:id="2" w:name="_Hlk191549396"/>
      <w:r>
        <w:rPr>
          <w:rFonts w:eastAsia="Times New Roman" w:ascii="Times New Roman" w:hAnsi="Times New Roman"/>
          <w:color w:val="auto"/>
          <w:sz w:val="24"/>
          <w:szCs w:val="24"/>
          <w:lang w:val="lt-LT"/>
        </w:rPr>
        <w:t xml:space="preserve">4.4. Paslaugų teikėjas iki einamojo mėnesio 10 dienos Užsakovui pateikia sąskaitą-faktūrą. Jei Užsakovas gavęs sąskaitą faktūrą, per 3 d. d. nepareiškia pastabų, laikoma, kad paslaugos priimtos ir  atsiskaitoma su Paslaugos teikėju per 30 kalendorinių dienų nuo visų dokumentų gavimo dienos. Sąskaita faktūra turi būti pateikiama per Sąskaitų administravimo bendrąją informacinę sistemą, </w:t>
      </w:r>
      <w:hyperlink r:id="rId2">
        <w:r>
          <w:rPr>
            <w:rStyle w:val="Hyperlink"/>
            <w:rFonts w:eastAsia="Times New Roman" w:ascii="Times New Roman" w:hAnsi="Times New Roman"/>
            <w:color w:val="auto"/>
            <w:sz w:val="24"/>
            <w:szCs w:val="24"/>
            <w:lang w:val="lt-LT"/>
          </w:rPr>
          <w:t>https://sabis.nbfc.lt/</w:t>
        </w:r>
      </w:hyperlink>
      <w:r>
        <w:rPr>
          <w:rFonts w:eastAsia="Times New Roman" w:ascii="Times New Roman" w:hAnsi="Times New Roman"/>
          <w:color w:val="auto"/>
          <w:sz w:val="24"/>
          <w:szCs w:val="24"/>
          <w:lang w:val="lt-LT"/>
        </w:rPr>
        <w:t>.</w:t>
      </w:r>
      <w:bookmarkEnd w:id="2"/>
    </w:p>
    <w:p>
      <w:pPr>
        <w:pStyle w:val="ListParagraph"/>
        <w:shd w:val="clear" w:color="auto" w:fill="FFFFFF" w:themeFill="background1"/>
        <w:tabs>
          <w:tab w:val="clear" w:pos="1296"/>
          <w:tab w:val="left" w:pos="567" w:leader="none"/>
          <w:tab w:val="left" w:pos="709" w:leader="none"/>
        </w:tabs>
        <w:spacing w:lineRule="auto" w:line="240"/>
        <w:ind w:left="0"/>
        <w:rPr>
          <w:sz w:val="24"/>
          <w:szCs w:val="24"/>
          <w:lang w:val="lt-LT"/>
        </w:rPr>
      </w:pPr>
      <w:r>
        <w:rPr>
          <w:rFonts w:eastAsia="Times New Roman" w:ascii="Times New Roman" w:hAnsi="Times New Roman"/>
          <w:color w:val="auto"/>
          <w:sz w:val="24"/>
          <w:szCs w:val="24"/>
          <w:lang w:val="lt-LT"/>
        </w:rPr>
        <w:t xml:space="preserve">4.5. </w:t>
      </w:r>
      <w:r>
        <w:rPr>
          <w:rFonts w:ascii="Times New Roman" w:hAnsi="Times New Roman"/>
          <w:sz w:val="24"/>
          <w:szCs w:val="24"/>
          <w:lang w:val="lt-LT"/>
        </w:rPr>
        <w:t>Bet kuri šalis turi teisę inicijuoti Sutarties kainos / įkainių perskaičiavimą ne anksčiau kaip po 6 (šešių) mėnesių nuo Sutarties įsigaliojimo dienos, jeigu Valstybės duomenų agentūra viešai Oficialiosios statistikos portale</w:t>
      </w:r>
      <w:r>
        <w:rPr>
          <w:rStyle w:val="FootnoteReference"/>
          <w:rFonts w:ascii="Times New Roman" w:hAnsi="Times New Roman"/>
          <w:sz w:val="24"/>
          <w:szCs w:val="24"/>
          <w:lang w:val="lt-LT"/>
        </w:rPr>
        <w:footnoteReference w:id="2"/>
      </w:r>
      <w:r>
        <w:rPr>
          <w:rFonts w:ascii="Times New Roman" w:hAnsi="Times New Roman"/>
          <w:sz w:val="24"/>
          <w:szCs w:val="24"/>
          <w:lang w:val="lt-LT"/>
        </w:rPr>
        <w:t xml:space="preserve"> paskelbtas rodiklio Vartotojų kainų indeksas „Vartojimo prekės ir paslaugos“ pokytis viršija 10 (dešimt) procentų. </w:t>
      </w:r>
    </w:p>
    <w:p>
      <w:pPr>
        <w:pStyle w:val="Standard"/>
        <w:widowControl w:val="false"/>
        <w:tabs>
          <w:tab w:val="clear" w:pos="1296"/>
          <w:tab w:val="left" w:pos="709" w:leader="none"/>
        </w:tabs>
        <w:jc w:val="both"/>
        <w:rPr>
          <w:sz w:val="24"/>
          <w:szCs w:val="24"/>
          <w:lang w:val="lt-LT"/>
        </w:rPr>
      </w:pPr>
      <w:r>
        <w:rPr>
          <w:rFonts w:eastAsia="Calibri"/>
          <w:color w:val="000000"/>
          <w:sz w:val="24"/>
          <w:szCs w:val="24"/>
          <w:lang w:val="lt-LT"/>
        </w:rPr>
        <w:t>Sutarties kainos / įkainių peržiūra atliekama ne dažniau, kaip kas 6 (šešis) mėnesius. Sutarties kaina / įkainiai yra peržiūrimi tik tai Sutarties daliai, kuri nėra išpirkta, t. y. Paslaugoms, kurioms nėra priimtos ir apmokėtos. Vėlesnė S</w:t>
      </w:r>
      <w:r>
        <w:rPr>
          <w:rFonts w:eastAsia="Calibri"/>
          <w:color w:val="000000"/>
          <w:sz w:val="24"/>
          <w:szCs w:val="24"/>
          <w:shd w:fill="FFFFFF" w:val="clear"/>
          <w:lang w:val="lt-LT"/>
        </w:rPr>
        <w:t>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w:t>
      </w:r>
      <w:r>
        <w:rPr>
          <w:rFonts w:eastAsia="Calibri"/>
          <w:color w:val="000000"/>
          <w:sz w:val="24"/>
          <w:szCs w:val="24"/>
          <w:lang w:val="lt-LT"/>
        </w:rPr>
        <w:t>šmės mėnuo. 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 Nauja Sutarties kaina / įkainiai apskaičiuojami pagal žemiau pateiktą formulę:</w:t>
      </w:r>
    </w:p>
    <w:tbl>
      <w:tblPr>
        <w:tblW w:w="9900"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9900"/>
      </w:tblGrid>
      <w:tr>
        <w:trPr/>
        <w:tc>
          <w:tcPr>
            <w:tcW w:w="9900" w:type="dxa"/>
            <w:tcBorders>
              <w:top w:val="single" w:sz="4" w:space="0" w:color="000000"/>
              <w:left w:val="single" w:sz="4" w:space="0" w:color="000000"/>
              <w:right w:val="single" w:sz="4" w:space="0" w:color="000000"/>
            </w:tcBorders>
          </w:tcPr>
          <w:p>
            <w:pPr>
              <w:pStyle w:val="Standard"/>
              <w:widowControl w:val="false"/>
              <w:tabs>
                <w:tab w:val="clear" w:pos="1296"/>
                <w:tab w:val="left" w:pos="709" w:leader="none"/>
              </w:tabs>
              <w:jc w:val="both"/>
              <w:rPr>
                <w:color w:val="000000"/>
                <w:lang w:val="lt-LT"/>
              </w:rPr>
            </w:pPr>
            <w:r>
              <w:rPr>
                <w:color w:val="000000"/>
                <w:lang w:val="lt-LT"/>
              </w:rPr>
            </w:r>
          </w:p>
          <w:p>
            <w:pPr>
              <w:pStyle w:val="Standard"/>
              <w:widowControl w:val="false"/>
              <w:tabs>
                <w:tab w:val="clear" w:pos="1296"/>
                <w:tab w:val="left" w:pos="709" w:leader="none"/>
              </w:tabs>
              <w:jc w:val="center"/>
              <w:rPr>
                <w:lang w:val="lt-LT"/>
              </w:rPr>
            </w:pPr>
            <w:r>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Standard"/>
              <w:widowControl w:val="false"/>
              <w:tabs>
                <w:tab w:val="clear" w:pos="1296"/>
                <w:tab w:val="left" w:pos="709" w:leader="none"/>
              </w:tabs>
              <w:jc w:val="both"/>
              <w:rPr>
                <w:color w:val="000000"/>
                <w:lang w:val="lt-LT"/>
              </w:rPr>
            </w:pPr>
            <w:r>
              <w:rPr>
                <w:color w:val="000000"/>
                <w:lang w:val="lt-LT"/>
              </w:rPr>
            </w:r>
          </w:p>
        </w:tc>
      </w:tr>
      <w:tr>
        <w:trPr/>
        <w:tc>
          <w:tcPr>
            <w:tcW w:w="9900" w:type="dxa"/>
            <w:tcBorders>
              <w:left w:val="single" w:sz="4" w:space="0" w:color="000000"/>
              <w:right w:val="single" w:sz="4" w:space="0" w:color="000000"/>
            </w:tcBorders>
          </w:tcPr>
          <w:p>
            <w:pPr>
              <w:pStyle w:val="Standard"/>
              <w:rPr>
                <w:lang w:val="lt-LT"/>
              </w:rPr>
            </w:pPr>
            <w:r>
              <w:rPr>
                <w:i/>
                <w:iCs/>
                <w:lang w:val="lt-LT"/>
              </w:rPr>
              <w:t xml:space="preserve">a </w:t>
            </w:r>
            <w:r>
              <w:rPr>
                <w:lang w:val="lt-LT"/>
              </w:rPr>
              <w:t>– kaina / įkainis (Eur be PVM) (jei peržiūra jau buvo atlikta, tai po paskutinio perskaičiavimo)</w:t>
            </w:r>
          </w:p>
          <w:p>
            <w:pPr>
              <w:pStyle w:val="Standard"/>
              <w:rPr>
                <w:lang w:val="lt-LT"/>
              </w:rPr>
            </w:pPr>
            <w:r>
              <w:rPr>
                <w:i/>
                <w:iCs/>
                <w:lang w:val="lt-LT"/>
              </w:rPr>
              <w:t>a</w:t>
            </w:r>
            <w:r>
              <w:rPr>
                <w:i/>
                <w:iCs/>
                <w:vertAlign w:val="subscript"/>
                <w:lang w:val="lt-LT"/>
              </w:rPr>
              <w:t>1</w:t>
            </w:r>
            <w:r>
              <w:rPr>
                <w:lang w:val="lt-LT"/>
              </w:rPr>
              <w:t xml:space="preserve"> – perskaičiuota (pakeista) kaina / įkainis (Eur be PVM)</w:t>
            </w:r>
          </w:p>
          <w:p>
            <w:pPr>
              <w:pStyle w:val="Standard"/>
              <w:widowControl w:val="false"/>
              <w:tabs>
                <w:tab w:val="clear" w:pos="1296"/>
                <w:tab w:val="left" w:pos="709" w:leader="none"/>
              </w:tabs>
              <w:rPr>
                <w:lang w:val="lt-LT"/>
              </w:rPr>
            </w:pPr>
            <w:r>
              <w:rPr>
                <w:rFonts w:eastAsia="Calibri"/>
                <w:i/>
                <w:iCs/>
                <w:color w:val="000000"/>
                <w:lang w:val="lt-LT"/>
              </w:rPr>
              <w:t>k</w:t>
            </w:r>
            <w:r>
              <w:rPr>
                <w:rFonts w:eastAsia="Calibri"/>
                <w:color w:val="000000"/>
                <w:lang w:val="lt-LT"/>
              </w:rPr>
              <w:t xml:space="preserve"> – pagal vartotojų kainų indeksą „Vartojimo prekės ir paslaugos“ apskaičiuotas Vartojimo prekių ir paslaugų kainų pokytis (padidėjimas arba sumažėjimas) (%),</w:t>
            </w:r>
          </w:p>
          <w:p>
            <w:pPr>
              <w:pStyle w:val="Standard"/>
              <w:widowControl w:val="false"/>
              <w:tabs>
                <w:tab w:val="clear" w:pos="1296"/>
                <w:tab w:val="left" w:pos="709" w:leader="none"/>
              </w:tabs>
              <w:rPr>
                <w:lang w:val="lt-LT"/>
              </w:rPr>
            </w:pPr>
            <w:r>
              <w:rPr>
                <w:rFonts w:eastAsia="Calibri"/>
                <w:color w:val="000000"/>
                <w:lang w:val="lt-LT"/>
              </w:rPr>
              <w:t>„</w:t>
            </w:r>
            <w:r>
              <w:rPr>
                <w:rFonts w:eastAsia="Calibri"/>
                <w:color w:val="000000"/>
                <w:lang w:val="lt-LT"/>
              </w:rPr>
              <w:t>k“ reikšmė apskaičiuojama pagal tokią formulę:</w:t>
            </w:r>
          </w:p>
        </w:tc>
      </w:tr>
      <w:tr>
        <w:trPr/>
        <w:tc>
          <w:tcPr>
            <w:tcW w:w="9900" w:type="dxa"/>
            <w:tcBorders>
              <w:left w:val="single" w:sz="4" w:space="0" w:color="000000"/>
              <w:right w:val="single" w:sz="4" w:space="0" w:color="000000"/>
            </w:tcBorders>
          </w:tcPr>
          <w:p>
            <w:pPr>
              <w:pStyle w:val="Standard"/>
              <w:widowControl w:val="false"/>
              <w:tabs>
                <w:tab w:val="clear" w:pos="1296"/>
                <w:tab w:val="left" w:pos="709" w:leader="none"/>
              </w:tabs>
              <w:jc w:val="both"/>
              <w:rPr>
                <w:color w:val="000000"/>
                <w:lang w:val="lt-LT"/>
              </w:rPr>
            </w:pPr>
            <w:r>
              <w:rPr>
                <w:color w:val="000000"/>
                <w:lang w:val="lt-LT"/>
              </w:rPr>
            </w:r>
          </w:p>
          <w:p>
            <w:pPr>
              <w:pStyle w:val="Standard"/>
              <w:widowControl w:val="false"/>
              <w:tabs>
                <w:tab w:val="clear" w:pos="1296"/>
                <w:tab w:val="left" w:pos="709" w:leader="none"/>
              </w:tabs>
              <w:jc w:val="center"/>
              <w:rPr>
                <w:lang w:val="lt-LT"/>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Standard"/>
              <w:rPr>
                <w:lang w:val="lt-LT"/>
              </w:rPr>
            </w:pPr>
            <w:r>
              <w:rPr>
                <w:i/>
                <w:iCs/>
                <w:lang w:val="lt-LT"/>
              </w:rPr>
              <w:t>Ind</w:t>
            </w:r>
            <w:r>
              <w:rPr>
                <w:i/>
                <w:iCs/>
                <w:vertAlign w:val="subscript"/>
                <w:lang w:val="lt-LT"/>
              </w:rPr>
              <w:t>naujausias</w:t>
            </w:r>
            <w:r>
              <w:rPr>
                <w:lang w:val="lt-LT"/>
              </w:rPr>
              <w:t xml:space="preserve"> – kreipimosi dėl kainos / įkainių peržiūros išsiuntimo kitai šaliai dieną paskelbtas naujausias Vartotojų kainų indeksas „Vartojimo prekės ir paslaugos“</w:t>
            </w:r>
          </w:p>
          <w:p>
            <w:pPr>
              <w:pStyle w:val="Standard"/>
              <w:widowControl w:val="false"/>
              <w:tabs>
                <w:tab w:val="clear" w:pos="1296"/>
                <w:tab w:val="left" w:pos="709" w:leader="none"/>
              </w:tabs>
              <w:rPr>
                <w:lang w:val="lt-LT"/>
              </w:rPr>
            </w:pPr>
            <w:r>
              <w:rPr>
                <w:rFonts w:eastAsia="Calibri"/>
                <w:i/>
                <w:iCs/>
                <w:color w:val="000000"/>
                <w:lang w:val="lt-LT"/>
              </w:rPr>
              <w:t>Ind</w:t>
            </w:r>
            <w:r>
              <w:rPr>
                <w:rFonts w:eastAsia="Calibri"/>
                <w:i/>
                <w:iCs/>
                <w:color w:val="000000"/>
                <w:vertAlign w:val="subscript"/>
                <w:lang w:val="lt-LT"/>
              </w:rPr>
              <w:t>pradžia</w:t>
            </w:r>
            <w:r>
              <w:rPr>
                <w:rFonts w:eastAsia="Calibri"/>
                <w:color w:val="000000"/>
                <w:lang w:val="lt-LT"/>
              </w:rPr>
              <w:t xml:space="preserve"> – laikotarpio pradžios datos (mėnesio) Vartotojų kainų indeksas „Vartojimo prekės ir paslaugos</w:t>
            </w:r>
          </w:p>
          <w:p>
            <w:pPr>
              <w:pStyle w:val="Standard"/>
              <w:widowControl w:val="false"/>
              <w:tabs>
                <w:tab w:val="clear" w:pos="1296"/>
                <w:tab w:val="left" w:pos="709" w:leader="none"/>
              </w:tabs>
              <w:jc w:val="both"/>
              <w:rPr>
                <w:rFonts w:eastAsia="Calibri"/>
                <w:color w:val="000000"/>
                <w:lang w:val="lt-LT"/>
              </w:rPr>
            </w:pPr>
            <w:r>
              <w:rPr>
                <w:rFonts w:eastAsia="Calibri"/>
                <w:color w:val="000000"/>
                <w:lang w:val="lt-LT"/>
              </w:rPr>
            </w:r>
          </w:p>
        </w:tc>
      </w:tr>
      <w:tr>
        <w:trPr/>
        <w:tc>
          <w:tcPr>
            <w:tcW w:w="9900" w:type="dxa"/>
            <w:tcBorders>
              <w:left w:val="single" w:sz="4" w:space="0" w:color="000000"/>
              <w:bottom w:val="single" w:sz="4" w:space="0" w:color="000000"/>
              <w:right w:val="single" w:sz="4" w:space="0" w:color="000000"/>
            </w:tcBorders>
          </w:tcPr>
          <w:p>
            <w:pPr>
              <w:pStyle w:val="Standard"/>
              <w:widowControl w:val="false"/>
              <w:tabs>
                <w:tab w:val="clear" w:pos="1296"/>
                <w:tab w:val="left" w:pos="709" w:leader="none"/>
              </w:tabs>
              <w:jc w:val="both"/>
              <w:rPr>
                <w:color w:val="000000"/>
                <w:lang w:val="lt-LT"/>
              </w:rPr>
            </w:pPr>
            <w:r>
              <w:rPr>
                <w:color w:val="000000"/>
                <w:lang w:val="lt-LT"/>
              </w:rPr>
            </w:r>
          </w:p>
        </w:tc>
      </w:tr>
    </w:tbl>
    <w:p>
      <w:pPr>
        <w:pStyle w:val="Standard"/>
        <w:widowControl w:val="false"/>
        <w:tabs>
          <w:tab w:val="clear" w:pos="1296"/>
          <w:tab w:val="left" w:pos="709" w:leader="none"/>
        </w:tabs>
        <w:rPr>
          <w:lang w:val="lt-LT"/>
        </w:rPr>
      </w:pPr>
      <w:r>
        <w:rPr>
          <w:lang w:val="lt-LT"/>
        </w:rPr>
      </w:r>
    </w:p>
    <w:p>
      <w:pPr>
        <w:pStyle w:val="Standard"/>
        <w:jc w:val="both"/>
        <w:rPr>
          <w:sz w:val="24"/>
          <w:szCs w:val="24"/>
          <w:lang w:val="lt-LT"/>
        </w:rPr>
      </w:pPr>
      <w:r>
        <w:rPr>
          <w:rFonts w:eastAsia="Calibri"/>
          <w:color w:val="000000"/>
          <w:sz w:val="24"/>
          <w:szCs w:val="24"/>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Standard"/>
        <w:jc w:val="both"/>
        <w:rPr>
          <w:sz w:val="24"/>
          <w:szCs w:val="24"/>
          <w:lang w:val="lt-LT"/>
        </w:rPr>
      </w:pPr>
      <w:r>
        <w:rPr>
          <w:sz w:val="24"/>
          <w:szCs w:val="24"/>
          <w:lang w:val="lt-LT"/>
        </w:rPr>
      </w:r>
    </w:p>
    <w:p>
      <w:pPr>
        <w:pStyle w:val="Standard"/>
        <w:widowControl w:val="false"/>
        <w:tabs>
          <w:tab w:val="clear" w:pos="1296"/>
          <w:tab w:val="left" w:pos="709" w:leader="none"/>
        </w:tabs>
        <w:jc w:val="both"/>
        <w:rPr>
          <w:sz w:val="24"/>
          <w:szCs w:val="24"/>
          <w:lang w:val="lt-LT"/>
        </w:rPr>
      </w:pPr>
      <w:r>
        <w:rPr>
          <w:rFonts w:eastAsia="Calibri"/>
          <w:color w:val="000000"/>
          <w:sz w:val="24"/>
          <w:szCs w:val="24"/>
          <w:lang w:val="lt-LT"/>
        </w:rPr>
        <w:t>4.6. 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ListParagraph"/>
        <w:shd w:val="clear" w:color="auto" w:fill="FFFFFF" w:themeFill="background1"/>
        <w:tabs>
          <w:tab w:val="clear" w:pos="1296"/>
          <w:tab w:val="left" w:pos="567" w:leader="none"/>
          <w:tab w:val="left" w:pos="709" w:leader="none"/>
        </w:tabs>
        <w:spacing w:lineRule="auto" w:line="240"/>
        <w:ind w:left="0"/>
        <w:rPr>
          <w:rFonts w:ascii="Times New Roman" w:hAnsi="Times New Roman" w:eastAsia="Times New Roman"/>
          <w:color w:val="auto"/>
          <w:lang w:val="lt-LT"/>
        </w:rPr>
      </w:pPr>
      <w:r>
        <w:rPr>
          <w:rFonts w:ascii="Times New Roman" w:hAnsi="Times New Roman"/>
          <w:sz w:val="24"/>
          <w:szCs w:val="24"/>
          <w:lang w:val="lt-LT"/>
        </w:rPr>
        <w:t>4.7. Užsakovas Paslaugų tiekėjo pateiktus duomenis turi įvertinti per 5 (penkias) darbo dienas. Tuo atveju, jeigu Užsakovas patvirtins, kad Paslaugų tiekėjo pateikti duomenys sudaro pagrindą pakeisti Sutarties kainą / įkainius, susitarimas turi būti sudarytas per 5 (penkias) darbo dienas nuo tokios Užsakovo patvirtinimo dienos.</w:t>
      </w:r>
    </w:p>
    <w:p>
      <w:pPr>
        <w:pStyle w:val="ListParagraph"/>
        <w:shd w:val="clear" w:color="auto" w:fill="FFFFFF" w:themeFill="background1"/>
        <w:tabs>
          <w:tab w:val="clear" w:pos="1296"/>
          <w:tab w:val="left" w:pos="426" w:leader="none"/>
          <w:tab w:val="left" w:pos="567" w:leader="none"/>
          <w:tab w:val="left" w:pos="709" w:leader="none"/>
        </w:tabs>
        <w:spacing w:lineRule="auto" w:line="240"/>
        <w:ind w:left="360"/>
        <w:rPr>
          <w:rFonts w:ascii="Times New Roman" w:hAnsi="Times New Roman"/>
          <w:sz w:val="24"/>
          <w:szCs w:val="24"/>
          <w:lang w:val="lt-LT"/>
        </w:rPr>
      </w:pPr>
      <w:r>
        <w:rPr>
          <w:rFonts w:ascii="Times New Roman" w:hAnsi="Times New Roman"/>
          <w:sz w:val="24"/>
          <w:szCs w:val="24"/>
          <w:lang w:val="lt-LT"/>
        </w:rPr>
      </w:r>
    </w:p>
    <w:p>
      <w:pPr>
        <w:pStyle w:val="NoSpacing1"/>
        <w:numPr>
          <w:ilvl w:val="0"/>
          <w:numId w:val="0"/>
        </w:numPr>
        <w:jc w:val="center"/>
        <w:outlineLvl w:val="0"/>
        <w:rPr>
          <w:b/>
          <w:bCs/>
        </w:rPr>
      </w:pPr>
      <w:r>
        <w:rPr>
          <w:b/>
          <w:bCs/>
        </w:rPr>
        <w:t>V. ŠALIŲ ATSAKOMYBĖ</w:t>
      </w:r>
    </w:p>
    <w:p>
      <w:pPr>
        <w:pStyle w:val="NoSpacing1"/>
        <w:numPr>
          <w:ilvl w:val="0"/>
          <w:numId w:val="0"/>
        </w:numPr>
        <w:jc w:val="center"/>
        <w:outlineLvl w:val="0"/>
        <w:rPr>
          <w:b/>
          <w:bCs/>
        </w:rPr>
      </w:pPr>
      <w:r>
        <w:rPr>
          <w:b/>
          <w:bCs/>
        </w:rPr>
      </w:r>
    </w:p>
    <w:p>
      <w:pPr>
        <w:pStyle w:val="NoSpacing1"/>
        <w:jc w:val="both"/>
        <w:rPr/>
      </w:pPr>
      <w:r>
        <w:rPr/>
        <w:t xml:space="preserve">5.1. Šalių atsakomybė yra nustatoma pagal galiojančius Lietuvos Respublikos teisės aktus ir šią Sutartį. </w:t>
      </w:r>
    </w:p>
    <w:p>
      <w:pPr>
        <w:pStyle w:val="NoSpacing1"/>
        <w:jc w:val="both"/>
        <w:rPr/>
      </w:pPr>
      <w:r>
        <w:rPr/>
        <w:t>5.2. Paslaugų teikėjas, uždelsęs paslaugų atlikimą, moka Užsakovui 0,02 (dviejų šimtųjų) procento delspinigius už kiekvieną uždelstą dieną nuo Sutarties 4.1 punkte nurodyto fiksuoto mėnesio mokesčio. Užsakovas, uždelsęs sumokėti Paslaugų teikėjui priklausančias sumas šioje sutartyje nustatyta tvarka ir terminais, moka Paslaugų teikėjui 0,02 (dviejų šimtųjų) procento delspinigių už kiekvieną pavėluotą dieną nuo laiku neapmokėtos sumos.</w:t>
      </w:r>
    </w:p>
    <w:p>
      <w:pPr>
        <w:pStyle w:val="NoSpacing1"/>
        <w:rPr>
          <w:b/>
          <w:bCs/>
        </w:rPr>
      </w:pPr>
      <w:r>
        <w:rPr>
          <w:b/>
          <w:bCs/>
        </w:rPr>
      </w:r>
    </w:p>
    <w:p>
      <w:pPr>
        <w:pStyle w:val="NoSpacing1"/>
        <w:numPr>
          <w:ilvl w:val="0"/>
          <w:numId w:val="0"/>
        </w:numPr>
        <w:jc w:val="center"/>
        <w:outlineLvl w:val="0"/>
        <w:rPr>
          <w:b/>
          <w:bCs/>
        </w:rPr>
      </w:pPr>
      <w:r>
        <w:rPr>
          <w:b/>
          <w:bCs/>
        </w:rPr>
        <w:t>VI. NENUGALIMOS JĖGOS APLINKYBĖS (FORCE MAJEURE)</w:t>
      </w:r>
    </w:p>
    <w:p>
      <w:pPr>
        <w:pStyle w:val="NoSpacing1"/>
        <w:numPr>
          <w:ilvl w:val="0"/>
          <w:numId w:val="0"/>
        </w:numPr>
        <w:jc w:val="center"/>
        <w:outlineLvl w:val="0"/>
        <w:rPr>
          <w:b/>
          <w:bCs/>
        </w:rPr>
      </w:pPr>
      <w:r>
        <w:rPr>
          <w:b/>
          <w:bCs/>
        </w:rPr>
      </w:r>
    </w:p>
    <w:p>
      <w:pPr>
        <w:pStyle w:val="NoSpacing1"/>
        <w:jc w:val="both"/>
        <w:rPr/>
      </w:pPr>
      <w:r>
        <w:rPr/>
        <w:t xml:space="preserve">6.1. Šalis nėra laikoma atsakinga už bet kokių įsipareigojimų pagal šią Sutartį neįvykdymą ar dalinį neįvykdymą, jeigu tai įvyko dėl neįprastų  aplinkybių, kurių Šalys negalėjo numatyti, išvengti ar pašalinti jokiomis priemonėmis </w:t>
      </w:r>
      <w:r>
        <w:rPr>
          <w:bCs/>
        </w:rPr>
        <w:t>(toliau – Nenugalimos jėgos aplinkybės</w:t>
      </w:r>
      <w:r>
        <w:rPr/>
        <w:t xml:space="preserve">),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 </w:t>
      </w:r>
    </w:p>
    <w:p>
      <w:pPr>
        <w:pStyle w:val="NoSpacing1"/>
        <w:jc w:val="both"/>
        <w:rPr/>
      </w:pPr>
      <w:r>
        <w:rPr/>
        <w:t xml:space="preserve">6.2. Šalis, prašanti ją atleisti nuo atsakomybės, privalo pranešti kitai Šaliai raštu apie nenugalimos jėgos aplinkybes per penkias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pPr>
        <w:pStyle w:val="NoSpacing1"/>
        <w:jc w:val="both"/>
        <w:rPr/>
      </w:pPr>
      <w:r>
        <w:rPr/>
        <w:t xml:space="preserve">6.3.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 </w:t>
      </w:r>
    </w:p>
    <w:p>
      <w:pPr>
        <w:pStyle w:val="NoSpacing1"/>
        <w:jc w:val="both"/>
        <w:rPr/>
      </w:pPr>
      <w:r>
        <w:rPr/>
      </w:r>
    </w:p>
    <w:p>
      <w:pPr>
        <w:pStyle w:val="NoSpacing1"/>
        <w:numPr>
          <w:ilvl w:val="0"/>
          <w:numId w:val="0"/>
        </w:numPr>
        <w:jc w:val="center"/>
        <w:outlineLvl w:val="0"/>
        <w:rPr>
          <w:b/>
          <w:bCs/>
        </w:rPr>
      </w:pPr>
      <w:r>
        <w:rPr>
          <w:b/>
          <w:bCs/>
        </w:rPr>
        <w:t>VII. ŠALIŲ PAREIŠKIMAI IR GARANTIJOS</w:t>
      </w:r>
    </w:p>
    <w:p>
      <w:pPr>
        <w:pStyle w:val="NoSpacing1"/>
        <w:numPr>
          <w:ilvl w:val="0"/>
          <w:numId w:val="0"/>
        </w:numPr>
        <w:jc w:val="center"/>
        <w:outlineLvl w:val="0"/>
        <w:rPr>
          <w:b/>
          <w:bCs/>
        </w:rPr>
      </w:pPr>
      <w:r>
        <w:rPr>
          <w:b/>
          <w:bCs/>
        </w:rPr>
        <w:t xml:space="preserve"> </w:t>
      </w:r>
    </w:p>
    <w:p>
      <w:pPr>
        <w:pStyle w:val="NoSpacing1"/>
        <w:jc w:val="both"/>
        <w:rPr/>
      </w:pPr>
      <w:r>
        <w:rPr/>
        <w:t xml:space="preserve">7.1. Kiekviena Šalis pareiškia ir garantuoja kitai Šaliai, kad: </w:t>
      </w:r>
    </w:p>
    <w:p>
      <w:pPr>
        <w:pStyle w:val="NoSpacing1"/>
        <w:jc w:val="both"/>
        <w:rPr/>
      </w:pPr>
      <w:r>
        <w:rPr/>
        <w:t>7.1.1. Šalis yra tinkamai įsteigta ir teisėtai veikia pagal Lietuvos Respublikos įstatymus.</w:t>
      </w:r>
    </w:p>
    <w:p>
      <w:pPr>
        <w:pStyle w:val="NoSpacing1"/>
        <w:jc w:val="both"/>
        <w:rPr/>
      </w:pPr>
      <w:r>
        <w:rPr/>
        <w:t>7.1.2. Šalis atliko visus teisinius veiksmus, būtinus, kad Sutartis būtų tinkamai sudaryta ir galiotų, ir turi visus teisės aktais numatytus gebėjimus, reikalingus Paslaugoms teikti.</w:t>
      </w:r>
    </w:p>
    <w:p>
      <w:pPr>
        <w:pStyle w:val="NoSpacing1"/>
        <w:jc w:val="both"/>
        <w:rPr/>
      </w:pPr>
      <w:r>
        <w:rPr/>
        <w:t xml:space="preserve">7.1.3. Sudarydama sutartį, Šalis nepažeis ją saistančių įstatymų, taisyklių, nuostatų, potvarkių, įsipareigojimų ar susitarimų. </w:t>
      </w:r>
    </w:p>
    <w:p>
      <w:pPr>
        <w:pStyle w:val="NoSpacing1"/>
        <w:jc w:val="both"/>
        <w:rPr/>
      </w:pPr>
      <w:r>
        <w:rPr/>
        <w:t xml:space="preserve">7.1.4. Ši Sutartis yra Šaliai galiojantis, teisinis ir ją saistantis įsipareigojimas, kurio vykdymo galima pareikalauti pagal Sutarties sąlygas. </w:t>
      </w:r>
    </w:p>
    <w:p>
      <w:pPr>
        <w:pStyle w:val="NoSpacing1"/>
        <w:jc w:val="both"/>
        <w:rPr/>
      </w:pPr>
      <w:r>
        <w:rPr/>
        <w:t>7.2. Paslaugų teikėjas papildomai patvirtina ir garantuoja, kad jis turi įrodomą ir tinkamą kvalifikaciją, žinias, įrangą ir patirtį, kuri yra būtina, kad būtų suteiktos šioje sutartyje aptartos paslaugos.</w:t>
      </w:r>
    </w:p>
    <w:p>
      <w:pPr>
        <w:pStyle w:val="NoSpacing1"/>
        <w:jc w:val="both"/>
        <w:rPr/>
      </w:pPr>
      <w:r>
        <w:rPr/>
      </w:r>
    </w:p>
    <w:p>
      <w:pPr>
        <w:pStyle w:val="NoSpacing1"/>
        <w:numPr>
          <w:ilvl w:val="0"/>
          <w:numId w:val="0"/>
        </w:numPr>
        <w:jc w:val="center"/>
        <w:outlineLvl w:val="0"/>
        <w:rPr>
          <w:b/>
          <w:bCs/>
        </w:rPr>
      </w:pPr>
      <w:r>
        <w:rPr>
          <w:b/>
          <w:bCs/>
        </w:rPr>
        <w:t>VIII. SUTARTIES GALIOJIMAS, PASLAUGŲ TEIKIMO TERMINAI IR VIETA</w:t>
      </w:r>
    </w:p>
    <w:p>
      <w:pPr>
        <w:pStyle w:val="NoSpacing1"/>
        <w:numPr>
          <w:ilvl w:val="0"/>
          <w:numId w:val="0"/>
        </w:numPr>
        <w:jc w:val="center"/>
        <w:outlineLvl w:val="0"/>
        <w:rPr>
          <w:b/>
          <w:bCs/>
        </w:rPr>
      </w:pPr>
      <w:r>
        <w:rPr>
          <w:b/>
          <w:bCs/>
        </w:rPr>
      </w:r>
    </w:p>
    <w:p>
      <w:pPr>
        <w:pStyle w:val="NoSpacing"/>
        <w:jc w:val="both"/>
        <w:rPr>
          <w:szCs w:val="24"/>
          <w:lang w:eastAsia="lt-LT"/>
        </w:rPr>
      </w:pPr>
      <w:r>
        <w:rPr>
          <w:szCs w:val="24"/>
        </w:rPr>
        <w:t xml:space="preserve">8.1. Sutartis įsigalioja nuo 2026 m. kovo 1 d. ir galioja 12 mėnesių.   </w:t>
      </w:r>
    </w:p>
    <w:p>
      <w:pPr>
        <w:pStyle w:val="NoSpacing1"/>
        <w:jc w:val="both"/>
        <w:rPr/>
      </w:pPr>
      <w:r>
        <w:rPr/>
        <w:t xml:space="preserve">8.2. Jei bet kuri šios Sutarties nuostata tampa ar pripažįstama visiškai ar iš dalies negaliojančia, tai neturi įtakos kitų  Sutarties nuostatų galiojimui. </w:t>
      </w:r>
    </w:p>
    <w:p>
      <w:pPr>
        <w:pStyle w:val="NoSpacing1"/>
        <w:jc w:val="both"/>
        <w:rPr/>
      </w:pPr>
      <w:r>
        <w:rPr/>
        <w:t xml:space="preserve">8.3. Nutraukus Sutartį ar jai pasibaigus, lieka galioti šios Sutarties nuostatos, susijusios su atsakomybe bei atsiskaitymais tarp Šalių pagal šią Sutartį, taip pat visos kitos šios Sutarties nuostatos, kurios kaip aiškiai nurodyta, išlieka galioti po Sutarties nutraukimo ar turi išlikti galioti, kad Sutartis būtų visiškai įvykdyta. </w:t>
      </w:r>
    </w:p>
    <w:p>
      <w:pPr>
        <w:pStyle w:val="NoSpacing1"/>
        <w:jc w:val="both"/>
        <w:rPr/>
      </w:pPr>
      <w:r>
        <w:rPr/>
      </w:r>
    </w:p>
    <w:p>
      <w:pPr>
        <w:pStyle w:val="NoSpacing1"/>
        <w:keepNext w:val="true"/>
        <w:numPr>
          <w:ilvl w:val="0"/>
          <w:numId w:val="0"/>
        </w:numPr>
        <w:jc w:val="center"/>
        <w:outlineLvl w:val="0"/>
        <w:rPr>
          <w:b/>
          <w:bCs/>
        </w:rPr>
      </w:pPr>
      <w:r>
        <w:rPr>
          <w:b/>
          <w:bCs/>
        </w:rPr>
        <w:t>IX. SUTARTIES NUTRAUKIMAS</w:t>
      </w:r>
    </w:p>
    <w:p>
      <w:pPr>
        <w:pStyle w:val="NoSpacing1"/>
        <w:keepNext w:val="true"/>
        <w:numPr>
          <w:ilvl w:val="0"/>
          <w:numId w:val="0"/>
        </w:numPr>
        <w:jc w:val="center"/>
        <w:outlineLvl w:val="0"/>
        <w:rPr>
          <w:b/>
          <w:bCs/>
        </w:rPr>
      </w:pPr>
      <w:r>
        <w:rPr>
          <w:b/>
          <w:bCs/>
        </w:rPr>
      </w:r>
    </w:p>
    <w:p>
      <w:pPr>
        <w:pStyle w:val="NoSpacing1"/>
        <w:jc w:val="both"/>
        <w:rPr/>
      </w:pPr>
      <w:r>
        <w:rPr/>
        <w:t>9. Sutartis gali būti nutraukta:</w:t>
      </w:r>
    </w:p>
    <w:p>
      <w:pPr>
        <w:pStyle w:val="NoSpacing1"/>
        <w:jc w:val="both"/>
        <w:rPr/>
      </w:pPr>
      <w:r>
        <w:rPr/>
        <w:t>9.1. raštišku Šalių susitarimu bet kuriuo metu;</w:t>
      </w:r>
    </w:p>
    <w:p>
      <w:pPr>
        <w:pStyle w:val="NoSpacing1"/>
        <w:jc w:val="both"/>
        <w:rPr/>
      </w:pPr>
      <w:r>
        <w:rPr/>
        <w:t>9.2. vienašališkai, prieš pasibaigiant šios Sutarties 1.2 punkte numatytam Paslaugų teikimo terminui Sutartis gali būti nutraukta vienai iš Šalių nevykdant įsipareigojimų pagal šią Sutartį ar vykdant juos netinkamai, raštu įspėjus kitą Šalį ne mažiau kaip prieš 14 (keturiolika) kalendorinių dienų;</w:t>
      </w:r>
    </w:p>
    <w:p>
      <w:pPr>
        <w:pStyle w:val="NoSpacing1"/>
        <w:jc w:val="both"/>
        <w:rPr/>
      </w:pPr>
      <w:r>
        <w:rPr/>
        <w:t>9.3. vienašališkai, raštu įspėjus kitą Šalį ne vėliau kaip prieš 30 (trisdešimt) kalendorinių dienų;</w:t>
      </w:r>
    </w:p>
    <w:p>
      <w:pPr>
        <w:pStyle w:val="NoSpacing1"/>
        <w:jc w:val="both"/>
        <w:rPr/>
      </w:pPr>
      <w:r>
        <w:rPr/>
        <w:t xml:space="preserve">9.4. kitais Lietuvos Respublikos civilinio kodekso nustatytais atvejais. </w:t>
      </w:r>
    </w:p>
    <w:p>
      <w:pPr>
        <w:pStyle w:val="NoSpacing1"/>
        <w:jc w:val="both"/>
        <w:rPr/>
      </w:pPr>
      <w:r>
        <w:rPr/>
      </w:r>
    </w:p>
    <w:p>
      <w:pPr>
        <w:pStyle w:val="NoSpacing1"/>
        <w:keepNext w:val="true"/>
        <w:numPr>
          <w:ilvl w:val="0"/>
          <w:numId w:val="0"/>
        </w:numPr>
        <w:jc w:val="center"/>
        <w:outlineLvl w:val="0"/>
        <w:rPr>
          <w:b/>
          <w:bCs/>
        </w:rPr>
      </w:pPr>
      <w:r>
        <w:rPr>
          <w:b/>
          <w:bCs/>
        </w:rPr>
        <w:t xml:space="preserve">X. SUTARTIES SĄLYGŲ KEITIMAS IR PAPILDYMAS </w:t>
      </w:r>
    </w:p>
    <w:p>
      <w:pPr>
        <w:pStyle w:val="NoSpacing1"/>
        <w:keepNext w:val="true"/>
        <w:numPr>
          <w:ilvl w:val="0"/>
          <w:numId w:val="0"/>
        </w:numPr>
        <w:jc w:val="center"/>
        <w:outlineLvl w:val="0"/>
        <w:rPr>
          <w:b/>
          <w:bCs/>
        </w:rPr>
      </w:pPr>
      <w:r>
        <w:rPr>
          <w:b/>
          <w:bCs/>
        </w:rPr>
      </w:r>
    </w:p>
    <w:p>
      <w:pPr>
        <w:pStyle w:val="Normal"/>
        <w:spacing w:lineRule="auto" w:line="240" w:before="0" w:after="0"/>
        <w:jc w:val="both"/>
        <w:rPr/>
      </w:pPr>
      <w:r>
        <w:rPr>
          <w:rFonts w:eastAsia="Calibri"/>
        </w:rPr>
        <w:t xml:space="preserve">10.1. </w:t>
      </w:r>
      <w:r>
        <w:rPr/>
        <w:t xml:space="preserve">Visi Sutarties pakeitimai, papildymai ir priedai galioja tik tuo atveju, jei yra sudaryti raštu ir Šalių tinkamai pasirašyti. </w:t>
      </w:r>
    </w:p>
    <w:p>
      <w:pPr>
        <w:pStyle w:val="Normal"/>
        <w:spacing w:lineRule="auto" w:line="240" w:before="0" w:after="0"/>
        <w:jc w:val="both"/>
        <w:rPr/>
      </w:pPr>
      <w:r>
        <w:rPr/>
        <w:t>10.2. Sutarties keitimai atliekami vadovaujantis Lietuvos Respublikos viešųjų pirkimų įstatymo 89 straipsnyje nustatyta tvarka.</w:t>
      </w:r>
    </w:p>
    <w:p>
      <w:pPr>
        <w:pStyle w:val="Normal"/>
        <w:spacing w:lineRule="auto" w:line="240" w:before="0" w:after="0"/>
        <w:jc w:val="both"/>
        <w:rPr>
          <w:rFonts w:eastAsia="Calibri"/>
        </w:rPr>
      </w:pPr>
      <w:r>
        <w:rPr>
          <w:rFonts w:eastAsia="Calibri"/>
        </w:rPr>
      </w:r>
    </w:p>
    <w:p>
      <w:pPr>
        <w:pStyle w:val="NoSpacing1"/>
        <w:numPr>
          <w:ilvl w:val="0"/>
          <w:numId w:val="0"/>
        </w:numPr>
        <w:jc w:val="center"/>
        <w:outlineLvl w:val="0"/>
        <w:rPr>
          <w:b/>
          <w:bCs/>
        </w:rPr>
      </w:pPr>
      <w:r>
        <w:rPr>
          <w:b/>
          <w:bCs/>
        </w:rPr>
        <w:t xml:space="preserve">XI. TAIKYTINA TEISĖ </w:t>
      </w:r>
    </w:p>
    <w:p>
      <w:pPr>
        <w:pStyle w:val="NoSpacing1"/>
        <w:numPr>
          <w:ilvl w:val="0"/>
          <w:numId w:val="0"/>
        </w:numPr>
        <w:jc w:val="center"/>
        <w:outlineLvl w:val="0"/>
        <w:rPr>
          <w:b/>
          <w:bCs/>
        </w:rPr>
      </w:pPr>
      <w:r>
        <w:rPr>
          <w:b/>
          <w:bCs/>
        </w:rPr>
      </w:r>
    </w:p>
    <w:p>
      <w:pPr>
        <w:pStyle w:val="NoSpacing1"/>
        <w:numPr>
          <w:ilvl w:val="0"/>
          <w:numId w:val="0"/>
        </w:numPr>
        <w:jc w:val="both"/>
        <w:outlineLvl w:val="0"/>
        <w:rPr/>
      </w:pPr>
      <w:r>
        <w:rPr/>
        <w:t xml:space="preserve">11.1. Šiai Sutarčiai taikoma ir ji aiškinama pagal Lietuvos Respublikos teisę. </w:t>
      </w:r>
    </w:p>
    <w:p>
      <w:pPr>
        <w:pStyle w:val="NoSpacing1"/>
        <w:jc w:val="both"/>
        <w:rPr/>
      </w:pPr>
      <w:r>
        <w:rPr/>
        <w:t>11.2. Sutartyje vartojamos sąvokos atitinka sąvokas, vartojamas Bendrajame duomenų apsaugos reglamente (ES) 2016/679, Lietuvos Respublikos civiliniame kodekse (Žin., 2000, Nr. 74-2262) ir kituose teisės aktuose.</w:t>
      </w:r>
    </w:p>
    <w:p>
      <w:pPr>
        <w:pStyle w:val="NoSpacing1"/>
        <w:rPr/>
      </w:pPr>
      <w:r>
        <w:rPr/>
      </w:r>
    </w:p>
    <w:p>
      <w:pPr>
        <w:pStyle w:val="NoSpacing1"/>
        <w:numPr>
          <w:ilvl w:val="0"/>
          <w:numId w:val="0"/>
        </w:numPr>
        <w:jc w:val="center"/>
        <w:outlineLvl w:val="0"/>
        <w:rPr>
          <w:b/>
          <w:bCs/>
        </w:rPr>
      </w:pPr>
      <w:r>
        <w:rPr>
          <w:b/>
          <w:bCs/>
        </w:rPr>
        <w:t>XII. GINČŲ SPRENDIMAS</w:t>
      </w:r>
    </w:p>
    <w:p>
      <w:pPr>
        <w:pStyle w:val="NoSpacing1"/>
        <w:numPr>
          <w:ilvl w:val="0"/>
          <w:numId w:val="0"/>
        </w:numPr>
        <w:jc w:val="center"/>
        <w:outlineLvl w:val="0"/>
        <w:rPr>
          <w:b/>
          <w:bCs/>
        </w:rPr>
      </w:pPr>
      <w:r>
        <w:rPr>
          <w:b/>
          <w:bCs/>
        </w:rPr>
      </w:r>
    </w:p>
    <w:p>
      <w:pPr>
        <w:pStyle w:val="NoSpacing1"/>
        <w:jc w:val="both"/>
        <w:rPr/>
      </w:pPr>
      <w:r>
        <w:rPr/>
        <w:t xml:space="preserve">12.1. Bet kokie nesutarimai ar ginčai, kylantys tarp Šalių dėl šios Sutarties, sprendžiami Šalių sutarimu. Šalims nepavykus susitarti, bet kokie ginčai, nesutarimai ar reikalavimai, kylantys iš šios Sutarties ar susiję su ja, jos pažeidimu, nutraukimu ar galiojimu, neišspręsti Šalių susitarimu, sprendžiami kompetentingame Lietuvos Respublikos teisme. </w:t>
      </w:r>
    </w:p>
    <w:p>
      <w:pPr>
        <w:pStyle w:val="NoSpacing1"/>
        <w:jc w:val="both"/>
        <w:rPr>
          <w:b/>
          <w:bCs/>
        </w:rPr>
      </w:pPr>
      <w:r>
        <w:rPr>
          <w:b/>
          <w:bCs/>
        </w:rPr>
      </w:r>
    </w:p>
    <w:p>
      <w:pPr>
        <w:pStyle w:val="NoSpacing1"/>
        <w:numPr>
          <w:ilvl w:val="0"/>
          <w:numId w:val="0"/>
        </w:numPr>
        <w:jc w:val="center"/>
        <w:outlineLvl w:val="0"/>
        <w:rPr>
          <w:b/>
          <w:bCs/>
        </w:rPr>
      </w:pPr>
      <w:r>
        <w:rPr>
          <w:b/>
          <w:bCs/>
        </w:rPr>
        <w:t>XIII. PRANEŠIMAI</w:t>
      </w:r>
    </w:p>
    <w:p>
      <w:pPr>
        <w:pStyle w:val="NoSpacing1"/>
        <w:numPr>
          <w:ilvl w:val="0"/>
          <w:numId w:val="0"/>
        </w:numPr>
        <w:jc w:val="center"/>
        <w:outlineLvl w:val="0"/>
        <w:rPr>
          <w:b/>
          <w:bCs/>
        </w:rPr>
      </w:pPr>
      <w:r>
        <w:rPr>
          <w:b/>
          <w:bCs/>
        </w:rPr>
      </w:r>
    </w:p>
    <w:p>
      <w:pPr>
        <w:pStyle w:val="NoSpacing1"/>
        <w:jc w:val="both"/>
        <w:rPr/>
      </w:pPr>
      <w:r>
        <w:rPr/>
        <w:t xml:space="preserve">13.1. Bet kurie ir  visi pranešimai, sutikimai ir kitas susižinojimas, kuriuos Šalis gali pateikti pagal šią Sutartį, bus laikomi galiojančiais, jeigu yra asmeniškai pateikti kitai Šaliai ir gautas patvirtinimas  apie gavimą arba išsiųsti registruotu paštu Sutartyje nurodytais adresais, įskaitant elektroninio pašto adresą, kitais adresais, kuriuos nurodė Šalis. </w:t>
      </w:r>
    </w:p>
    <w:p>
      <w:pPr>
        <w:pStyle w:val="NoSpacing1"/>
        <w:jc w:val="both"/>
        <w:rPr/>
      </w:pPr>
      <w:r>
        <w:rPr/>
        <w:t xml:space="preserve">13.2. Jei pasikeičia Šalies adresas ir (ar) kiti duomenys, tokia Šalis turi informuoti kitą Šalį pranešdama mažiausiai prieš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pPr>
        <w:pStyle w:val="NoSpacing1"/>
        <w:jc w:val="both"/>
        <w:rPr/>
      </w:pPr>
      <w:r>
        <w:rPr/>
      </w:r>
    </w:p>
    <w:p>
      <w:pPr>
        <w:pStyle w:val="NoSpacing1"/>
        <w:numPr>
          <w:ilvl w:val="0"/>
          <w:numId w:val="0"/>
        </w:numPr>
        <w:jc w:val="center"/>
        <w:outlineLvl w:val="0"/>
        <w:rPr>
          <w:b/>
          <w:bCs/>
        </w:rPr>
      </w:pPr>
      <w:r>
        <w:rPr>
          <w:b/>
          <w:bCs/>
        </w:rPr>
        <w:t>XIV. ASMENS DUOMENŲ APSAUGA</w:t>
      </w:r>
    </w:p>
    <w:p>
      <w:pPr>
        <w:pStyle w:val="NoSpacing1"/>
        <w:numPr>
          <w:ilvl w:val="0"/>
          <w:numId w:val="0"/>
        </w:numPr>
        <w:jc w:val="center"/>
        <w:outlineLvl w:val="0"/>
        <w:rPr>
          <w:b/>
          <w:bCs/>
        </w:rPr>
      </w:pPr>
      <w:r>
        <w:rPr>
          <w:b/>
          <w:bCs/>
        </w:rPr>
      </w:r>
    </w:p>
    <w:p>
      <w:pPr>
        <w:pStyle w:val="NoSpacing1"/>
        <w:jc w:val="both"/>
        <w:rPr/>
      </w:pPr>
      <w:r>
        <w:rPr>
          <w:bCs/>
        </w:rPr>
        <w:t>14.1. Kiekviena Šalis kitos Šalies</w:t>
      </w:r>
      <w:r>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pPr>
        <w:pStyle w:val="NoSpacing1"/>
        <w:jc w:val="both"/>
        <w:rPr/>
      </w:pPr>
      <w:r>
        <w:rPr/>
        <w:t xml:space="preserve">14.2. </w:t>
      </w:r>
      <w:r>
        <w:rPr>
          <w:bCs/>
        </w:rPr>
        <w:t>Kiekviena Šalis kitos Šalies</w:t>
      </w:r>
      <w:r>
        <w:rPr/>
        <w:t xml:space="preserve"> pateiktus 14.1 punkte nurodytus asmens duomenis saugos visą Sutarties galiojimo laikotarpį, o taip pat po jos pasibaigimo – tiek, kiek būtina pareikšti ar apsiginti nuo ieškinių ar kitų reikalavimų, įvykdyti Šaliai taikomuose teisės aktuose numatytas pareigas.</w:t>
      </w:r>
    </w:p>
    <w:p>
      <w:pPr>
        <w:pStyle w:val="NoSpacing1"/>
        <w:jc w:val="both"/>
        <w:rPr/>
      </w:pPr>
      <w:r>
        <w:rPr/>
        <w:t>14.3. Kiekviena Šalis kitos Šalies pateiktus 14.1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14.1 punkte nurodytus Užsakovo pateiktus asmens duomenis gali teikti asmenims, kuriuos jis turi teisę pasitelkti šios Sutarties vykdymui vadovaujantis šios Sutarties 2.2 punktu.</w:t>
      </w:r>
    </w:p>
    <w:p>
      <w:pPr>
        <w:pStyle w:val="ListParagraph"/>
        <w:spacing w:lineRule="auto" w:line="240"/>
        <w:ind w:left="0"/>
        <w:rPr>
          <w:rFonts w:ascii="Times New Roman" w:hAnsi="Times New Roman" w:eastAsia="Times New Roman"/>
          <w:color w:val="auto"/>
          <w:sz w:val="24"/>
          <w:szCs w:val="24"/>
          <w:lang w:val="lt-LT"/>
        </w:rPr>
      </w:pPr>
      <w:r>
        <w:rPr>
          <w:rFonts w:eastAsia="Times New Roman" w:ascii="Times New Roman" w:hAnsi="Times New Roman"/>
          <w:color w:val="auto"/>
          <w:sz w:val="24"/>
          <w:szCs w:val="24"/>
          <w:lang w:val="lt-LT"/>
        </w:rPr>
        <w:t>14.4.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14.1 – 14.3 punktuose, ir pagal Bendrąjį duomenų apsaugos reglamentą (ES) 2016/679 turimas teises.</w:t>
      </w:r>
    </w:p>
    <w:p>
      <w:pPr>
        <w:pStyle w:val="NoSpacing1"/>
        <w:jc w:val="both"/>
        <w:rPr/>
      </w:pPr>
      <w:r>
        <w:rPr/>
      </w:r>
    </w:p>
    <w:p>
      <w:pPr>
        <w:pStyle w:val="NoSpacing1"/>
        <w:numPr>
          <w:ilvl w:val="0"/>
          <w:numId w:val="0"/>
        </w:numPr>
        <w:jc w:val="center"/>
        <w:outlineLvl w:val="0"/>
        <w:rPr>
          <w:b/>
          <w:bCs/>
        </w:rPr>
      </w:pPr>
      <w:r>
        <w:rPr>
          <w:b/>
          <w:bCs/>
        </w:rPr>
        <w:t>XV. KITOS NUOSTATOS</w:t>
      </w:r>
    </w:p>
    <w:p>
      <w:pPr>
        <w:pStyle w:val="NoSpacing1"/>
        <w:numPr>
          <w:ilvl w:val="0"/>
          <w:numId w:val="0"/>
        </w:numPr>
        <w:jc w:val="center"/>
        <w:outlineLvl w:val="0"/>
        <w:rPr>
          <w:b/>
          <w:bCs/>
        </w:rPr>
      </w:pPr>
      <w:r>
        <w:rPr>
          <w:b/>
          <w:bCs/>
        </w:rPr>
      </w:r>
    </w:p>
    <w:p>
      <w:pPr>
        <w:pStyle w:val="NoSpacing1"/>
        <w:jc w:val="both"/>
        <w:rPr/>
      </w:pPr>
      <w:r>
        <w:rPr/>
        <w:t xml:space="preserve">15.1. Nė viena Šalis neturi teisės perleisti visų arba dalies teisių ir pareigų pagal šią Sutartį jokiai trečiajai šaliai. </w:t>
      </w:r>
    </w:p>
    <w:p>
      <w:pPr>
        <w:pStyle w:val="NoSpacing1"/>
        <w:numPr>
          <w:ilvl w:val="0"/>
          <w:numId w:val="0"/>
        </w:numPr>
        <w:jc w:val="both"/>
        <w:outlineLvl w:val="0"/>
        <w:rPr/>
      </w:pPr>
      <w:r>
        <w:rPr/>
        <w:t xml:space="preserve">15.2. Ši Sutartis sudaryta 2 (dviem) egzemplioriais, po 1 (vieną) egzempliorių kiekvienai iš Šalių. </w:t>
      </w:r>
    </w:p>
    <w:p>
      <w:pPr>
        <w:pStyle w:val="NoSpacing1"/>
        <w:jc w:val="both"/>
        <w:rPr/>
      </w:pPr>
      <w:r>
        <w:rPr/>
        <w:t xml:space="preserve">15.3. Už sutarties vykdymą atsakingas Paslaugų teikėjo asmuo – </w:t>
      </w:r>
      <w:r>
        <w:rPr/>
        <w:t>[</w:t>
      </w:r>
      <w:r>
        <w:rPr>
          <w:i/>
          <w:iCs/>
          <w:shd w:fill="DDDDDD" w:val="clear"/>
        </w:rPr>
        <w:t>uždengti asmens duomenys</w:t>
      </w:r>
      <w:r>
        <w:rPr/>
        <w:t>]</w:t>
      </w:r>
      <w:r>
        <w:rPr/>
        <w:t xml:space="preserve"> . </w:t>
      </w:r>
    </w:p>
    <w:p>
      <w:pPr>
        <w:pStyle w:val="NoSpacing1"/>
        <w:numPr>
          <w:ilvl w:val="0"/>
          <w:numId w:val="0"/>
        </w:numPr>
        <w:jc w:val="both"/>
        <w:outlineLvl w:val="0"/>
        <w:rPr/>
      </w:pPr>
      <w:r>
        <w:rPr/>
        <w:t xml:space="preserve">15.4. Už sutarties vykdymą atsakingi Užsakovo asmenys – </w:t>
      </w:r>
      <w:hyperlink r:id="rId3">
        <w:r>
          <w:rPr>
            <w:rStyle w:val="Hyperlink"/>
          </w:rPr>
          <w:t>[</w:t>
        </w:r>
      </w:hyperlink>
      <w:r>
        <w:rPr>
          <w:rStyle w:val="Hyperlink"/>
          <w:i/>
          <w:iCs/>
          <w:shd w:fill="DDDDDD" w:val="clear"/>
        </w:rPr>
        <w:t>uždengti asmens duomenys</w:t>
      </w:r>
      <w:r>
        <w:rPr>
          <w:rStyle w:val="Hyperlink"/>
        </w:rPr>
        <w:t>]</w:t>
      </w:r>
      <w:r>
        <w:rPr/>
        <w:t xml:space="preserve">. </w:t>
      </w:r>
    </w:p>
    <w:p>
      <w:pPr>
        <w:pStyle w:val="NoSpacing1"/>
        <w:jc w:val="center"/>
        <w:rPr>
          <w:b/>
        </w:rPr>
      </w:pPr>
      <w:r>
        <w:rPr>
          <w:b/>
        </w:rPr>
      </w:r>
    </w:p>
    <w:p>
      <w:pPr>
        <w:pStyle w:val="NoSpacing1"/>
        <w:numPr>
          <w:ilvl w:val="0"/>
          <w:numId w:val="0"/>
        </w:numPr>
        <w:jc w:val="center"/>
        <w:outlineLvl w:val="0"/>
        <w:rPr>
          <w:b/>
          <w:bCs/>
        </w:rPr>
      </w:pPr>
      <w:r>
        <w:rPr>
          <w:b/>
          <w:bCs/>
        </w:rPr>
        <w:t>XVI. ŠALIŲ REKVIZITAI IR PARAŠAI</w:t>
      </w:r>
    </w:p>
    <w:p>
      <w:pPr>
        <w:pStyle w:val="NoSpacing1"/>
        <w:rPr>
          <w:b/>
          <w:bCs/>
        </w:rPr>
      </w:pPr>
      <w:r>
        <w:rPr>
          <w:b/>
          <w:bCs/>
        </w:rPr>
      </w:r>
    </w:p>
    <w:tbl>
      <w:tblPr>
        <w:tblW w:w="985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927"/>
        <w:gridCol w:w="4926"/>
      </w:tblGrid>
      <w:tr>
        <w:trPr/>
        <w:tc>
          <w:tcPr>
            <w:tcW w:w="4927" w:type="dxa"/>
            <w:tcBorders>
              <w:top w:val="single" w:sz="4" w:space="0" w:color="000000"/>
              <w:left w:val="single" w:sz="4" w:space="0" w:color="000000"/>
              <w:bottom w:val="single" w:sz="4" w:space="0" w:color="000000"/>
              <w:right w:val="single" w:sz="4" w:space="0" w:color="000000"/>
            </w:tcBorders>
          </w:tcPr>
          <w:p>
            <w:pPr>
              <w:pStyle w:val="NoSpacing1"/>
              <w:rPr>
                <w:b/>
                <w:bCs/>
              </w:rPr>
            </w:pPr>
            <w:r>
              <w:rPr>
                <w:b/>
                <w:bCs/>
              </w:rPr>
              <w:t>Užsakovo  vardu:</w:t>
            </w:r>
          </w:p>
        </w:tc>
        <w:tc>
          <w:tcPr>
            <w:tcW w:w="4926" w:type="dxa"/>
            <w:tcBorders>
              <w:top w:val="single" w:sz="4" w:space="0" w:color="000000"/>
              <w:left w:val="single" w:sz="4" w:space="0" w:color="000000"/>
              <w:bottom w:val="single" w:sz="4" w:space="0" w:color="000000"/>
              <w:right w:val="single" w:sz="4" w:space="0" w:color="000000"/>
            </w:tcBorders>
          </w:tcPr>
          <w:p>
            <w:pPr>
              <w:pStyle w:val="NoSpacing1"/>
              <w:rPr>
                <w:b/>
                <w:bCs/>
              </w:rPr>
            </w:pPr>
            <w:r>
              <w:rPr>
                <w:b/>
                <w:bCs/>
              </w:rPr>
              <w:t>Paslaugų teikėjo vardu:</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540" w:leader="none"/>
              </w:tabs>
              <w:spacing w:lineRule="auto" w:line="240" w:before="0" w:after="0"/>
              <w:ind w:hanging="34" w:left="34"/>
              <w:rPr/>
            </w:pPr>
            <w:r>
              <w:rPr>
                <w:b/>
                <w:bCs/>
              </w:rPr>
              <w:t>Vyriausioji tarnybinės etikos komisija</w:t>
            </w:r>
            <w:r>
              <w:rPr/>
              <w:t xml:space="preserve"> </w:t>
              <w:br/>
            </w:r>
          </w:p>
          <w:p>
            <w:pPr>
              <w:pStyle w:val="NoSpacing1"/>
              <w:rPr/>
            </w:pPr>
            <w:r>
              <w:rPr/>
            </w:r>
          </w:p>
        </w:tc>
        <w:tc>
          <w:tcPr>
            <w:tcW w:w="4926" w:type="dxa"/>
            <w:tcBorders>
              <w:top w:val="single" w:sz="4" w:space="0" w:color="000000"/>
              <w:left w:val="single" w:sz="4" w:space="0" w:color="000000"/>
              <w:bottom w:val="single" w:sz="4" w:space="0" w:color="000000"/>
              <w:right w:val="single" w:sz="4" w:space="0" w:color="000000"/>
            </w:tcBorders>
          </w:tcPr>
          <w:p>
            <w:pPr>
              <w:pStyle w:val="NoSpacing1"/>
              <w:rPr>
                <w:b/>
                <w:bCs/>
              </w:rPr>
            </w:pPr>
            <w:r>
              <w:rPr>
                <w:b/>
                <w:bCs/>
                <w:lang w:val="en-US"/>
              </w:rPr>
              <w:t>Deivis Kulvietis</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Spacing1"/>
              <w:rPr/>
            </w:pPr>
            <w:r>
              <w:rPr/>
              <w:t>A. Goštauto g. 9, LT-01108, Vilnius</w:t>
            </w:r>
          </w:p>
        </w:tc>
        <w:tc>
          <w:tcPr>
            <w:tcW w:w="4926" w:type="dxa"/>
            <w:tcBorders>
              <w:top w:val="single" w:sz="4" w:space="0" w:color="000000"/>
              <w:left w:val="single" w:sz="4" w:space="0" w:color="000000"/>
              <w:bottom w:val="single" w:sz="4" w:space="0" w:color="000000"/>
              <w:right w:val="single" w:sz="4" w:space="0" w:color="000000"/>
            </w:tcBorders>
          </w:tcPr>
          <w:p>
            <w:pPr>
              <w:pStyle w:val="NoSpacing1"/>
              <w:rPr/>
            </w:pPr>
            <w:r>
              <w:rPr/>
              <w:t>[</w:t>
            </w:r>
            <w:r>
              <w:rPr>
                <w:i/>
                <w:iCs/>
                <w:shd w:fill="DDDDDD" w:val="clear"/>
              </w:rPr>
              <w:t>uždengti asmens duomenys</w:t>
            </w:r>
            <w:r>
              <w:rPr/>
              <w:t>]</w:t>
            </w:r>
          </w:p>
          <w:p>
            <w:pPr>
              <w:pStyle w:val="NoSpacing1"/>
              <w:rPr/>
            </w:pPr>
            <w:r>
              <w:rPr/>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540" w:leader="none"/>
              </w:tabs>
              <w:spacing w:lineRule="auto" w:line="240" w:before="0" w:after="0"/>
              <w:ind w:left="34"/>
              <w:rPr/>
            </w:pPr>
            <w:r>
              <w:rPr/>
              <w:t xml:space="preserve">Tel. </w:t>
            </w:r>
            <w:r>
              <w:rPr>
                <w:lang w:val="en-US"/>
              </w:rPr>
              <w:t>+370</w:t>
            </w:r>
            <w:r>
              <w:rPr/>
              <w:t xml:space="preserve"> 5 2124396</w:t>
            </w:r>
          </w:p>
        </w:tc>
        <w:tc>
          <w:tcPr>
            <w:tcW w:w="4926" w:type="dxa"/>
            <w:tcBorders>
              <w:top w:val="single" w:sz="4" w:space="0" w:color="000000"/>
              <w:left w:val="single" w:sz="4" w:space="0" w:color="000000"/>
              <w:bottom w:val="single" w:sz="4" w:space="0" w:color="000000"/>
              <w:right w:val="single" w:sz="4" w:space="0" w:color="000000"/>
            </w:tcBorders>
          </w:tcPr>
          <w:p>
            <w:pPr>
              <w:pStyle w:val="NoSpacing1"/>
              <w:rPr/>
            </w:pPr>
            <w:r>
              <w:rPr/>
              <w:t xml:space="preserve">Tel. </w:t>
            </w:r>
            <w:r>
              <w:rPr>
                <w:lang w:val="en-US"/>
              </w:rPr>
              <w:t>[</w:t>
            </w:r>
            <w:r>
              <w:rPr>
                <w:i/>
                <w:iCs/>
                <w:shd w:fill="DDDDDD" w:val="clear"/>
                <w:lang w:val="en-US"/>
              </w:rPr>
              <w:t>uždengti asmens duomenys</w:t>
            </w:r>
            <w:r>
              <w:rPr>
                <w:lang w:val="en-US"/>
              </w:rPr>
              <w:t>]</w:t>
            </w:r>
          </w:p>
        </w:tc>
      </w:tr>
      <w:tr>
        <w:trPr>
          <w:trHeight w:val="1832" w:hRule="atLeast"/>
        </w:trPr>
        <w:tc>
          <w:tcPr>
            <w:tcW w:w="4927" w:type="dxa"/>
            <w:tcBorders>
              <w:top w:val="single" w:sz="4" w:space="0" w:color="000000"/>
              <w:left w:val="single" w:sz="4" w:space="0" w:color="000000"/>
              <w:bottom w:val="single" w:sz="4" w:space="0" w:color="000000"/>
              <w:right w:val="single" w:sz="4" w:space="0" w:color="000000"/>
            </w:tcBorders>
          </w:tcPr>
          <w:p>
            <w:pPr>
              <w:pStyle w:val="NoSpacing1"/>
              <w:rPr>
                <w:lang w:val="pl-PL"/>
              </w:rPr>
            </w:pPr>
            <w:r>
              <w:rPr/>
              <w:t xml:space="preserve">El. p. </w:t>
            </w:r>
            <w:hyperlink r:id="rId4">
              <w:r>
                <w:rPr>
                  <w:rStyle w:val="Hyperlink"/>
                </w:rPr>
                <w:t>vtek</w:t>
              </w:r>
              <w:r>
                <w:rPr>
                  <w:rStyle w:val="Hyperlink"/>
                  <w:lang w:val="pl-PL"/>
                </w:rPr>
                <w:t>@vtek.lt</w:t>
              </w:r>
            </w:hyperlink>
          </w:p>
          <w:p>
            <w:pPr>
              <w:pStyle w:val="NoSpacing1"/>
              <w:rPr/>
            </w:pPr>
            <w:r>
              <w:rPr/>
              <w:t>AB Bankas Swedbank</w:t>
            </w:r>
          </w:p>
          <w:p>
            <w:pPr>
              <w:pStyle w:val="NoSpacing1"/>
              <w:rPr/>
            </w:pPr>
            <w:r>
              <w:rPr/>
              <w:t>A/s LT267300010091146802</w:t>
            </w:r>
          </w:p>
          <w:p>
            <w:pPr>
              <w:pStyle w:val="NoSpacing1"/>
              <w:rPr/>
            </w:pPr>
            <w:r>
              <w:rPr/>
              <w:t>Komisijos pirmininkas</w:t>
            </w:r>
          </w:p>
          <w:p>
            <w:pPr>
              <w:pStyle w:val="NoSpacing1"/>
              <w:rPr/>
            </w:pPr>
            <w:r>
              <w:rPr/>
            </w:r>
          </w:p>
          <w:p>
            <w:pPr>
              <w:pStyle w:val="NoSpacing1"/>
              <w:rPr/>
            </w:pPr>
            <w:r>
              <w:rPr/>
              <w:t>_____________________________</w:t>
            </w:r>
          </w:p>
          <w:p>
            <w:pPr>
              <w:pStyle w:val="NoSpacing1"/>
              <w:rPr/>
            </w:pPr>
            <w:r>
              <w:rPr/>
              <w:t>[</w:t>
            </w:r>
            <w:r>
              <w:rPr>
                <w:i/>
                <w:iCs/>
                <w:shd w:fill="DDDDDD" w:val="clear"/>
              </w:rPr>
              <w:t>uždengti asmens duomenys</w:t>
            </w:r>
            <w:r>
              <w:rPr/>
              <w:t>]</w:t>
            </w:r>
          </w:p>
          <w:p>
            <w:pPr>
              <w:pStyle w:val="NoSpacing1"/>
              <w:rPr/>
            </w:pPr>
            <w:r>
              <w:rPr/>
            </w:r>
          </w:p>
          <w:p>
            <w:pPr>
              <w:pStyle w:val="NoSpacing1"/>
              <w:rPr/>
            </w:pPr>
            <w:r>
              <w:rPr/>
            </w:r>
          </w:p>
          <w:p>
            <w:pPr>
              <w:pStyle w:val="NoSpacing1"/>
              <w:rPr/>
            </w:pPr>
            <w:r>
              <w:rPr/>
            </w:r>
          </w:p>
        </w:tc>
        <w:tc>
          <w:tcPr>
            <w:tcW w:w="4926" w:type="dxa"/>
            <w:tcBorders>
              <w:top w:val="single" w:sz="4" w:space="0" w:color="000000"/>
              <w:left w:val="single" w:sz="4" w:space="0" w:color="000000"/>
              <w:bottom w:val="single" w:sz="4" w:space="0" w:color="000000"/>
              <w:right w:val="single" w:sz="4" w:space="0" w:color="000000"/>
            </w:tcBorders>
          </w:tcPr>
          <w:p>
            <w:pPr>
              <w:pStyle w:val="NoSpacing1"/>
              <w:rPr/>
            </w:pPr>
            <w:r>
              <w:rPr/>
              <w:t xml:space="preserve">El. p. </w:t>
            </w:r>
            <w:r>
              <w:rPr/>
              <w:t>[</w:t>
            </w:r>
            <w:r>
              <w:rPr>
                <w:i/>
                <w:iCs/>
                <w:shd w:fill="DDDDDD" w:val="clear"/>
              </w:rPr>
              <w:t>uždengti asmens duomenys</w:t>
            </w:r>
            <w:r>
              <w:rPr/>
              <w:t>]</w:t>
            </w:r>
          </w:p>
          <w:p>
            <w:pPr>
              <w:pStyle w:val="NoSpacing1"/>
              <w:rPr/>
            </w:pPr>
            <w:r>
              <w:rPr/>
              <w:t>[</w:t>
            </w:r>
            <w:r>
              <w:rPr>
                <w:i/>
                <w:iCs/>
                <w:shd w:fill="DDDDDD" w:val="clear"/>
              </w:rPr>
              <w:t>uždengti asmens duomenys</w:t>
            </w:r>
            <w:r>
              <w:rPr/>
              <w:t>]</w:t>
            </w:r>
          </w:p>
          <w:p>
            <w:pPr>
              <w:pStyle w:val="NoSpacing1"/>
              <w:rPr/>
            </w:pPr>
            <w:r>
              <w:rPr/>
            </w:r>
          </w:p>
          <w:p>
            <w:pPr>
              <w:pStyle w:val="NoSpacing1"/>
              <w:rPr/>
            </w:pPr>
            <w:r>
              <w:rPr/>
            </w:r>
          </w:p>
          <w:p>
            <w:pPr>
              <w:pStyle w:val="NoSpacing1"/>
              <w:rPr/>
            </w:pPr>
            <w:r>
              <w:rPr/>
            </w:r>
          </w:p>
          <w:p>
            <w:pPr>
              <w:pStyle w:val="NoSpacing1"/>
              <w:rPr/>
            </w:pPr>
            <w:r>
              <w:rPr/>
              <w:t>______________________________</w:t>
            </w:r>
          </w:p>
          <w:p>
            <w:pPr>
              <w:pStyle w:val="NoSpacing1"/>
              <w:rPr>
                <w:lang w:val="en-US"/>
              </w:rPr>
            </w:pPr>
            <w:r>
              <w:rPr>
                <w:lang w:val="en-US"/>
              </w:rPr>
              <w:t>[</w:t>
            </w:r>
            <w:r>
              <w:rPr>
                <w:i/>
                <w:iCs/>
                <w:shd w:fill="DDDDDD" w:val="clear"/>
                <w:lang w:val="en-US"/>
              </w:rPr>
              <w:t>uždengti asmens duomenys</w:t>
            </w:r>
            <w:r>
              <w:rPr>
                <w:lang w:val="en-US"/>
              </w:rPr>
              <w:t>]</w:t>
            </w:r>
          </w:p>
          <w:p>
            <w:pPr>
              <w:pStyle w:val="NoSpacing1"/>
              <w:rPr/>
            </w:pPr>
            <w:r>
              <w:rPr/>
            </w:r>
          </w:p>
          <w:p>
            <w:pPr>
              <w:pStyle w:val="NoSpacing1"/>
              <w:rPr/>
            </w:pPr>
            <w:r>
              <w:rPr/>
            </w:r>
          </w:p>
        </w:tc>
      </w:tr>
    </w:tbl>
    <w:p>
      <w:pPr>
        <w:pStyle w:val="Normal"/>
        <w:spacing w:lineRule="auto" w:line="240" w:before="0" w:after="0"/>
        <w:ind w:firstLine="527" w:left="5708"/>
        <w:jc w:val="center"/>
        <w:rPr>
          <w:lang w:eastAsia="lt-LT"/>
        </w:rPr>
      </w:pPr>
      <w:r>
        <w:rPr>
          <w:lang w:eastAsia="lt-LT"/>
        </w:rPr>
      </w:r>
    </w:p>
    <w:sectPr>
      <w:headerReference w:type="default" r:id="rId5"/>
      <w:footerReference w:type="default" r:id="rId6"/>
      <w:footnotePr>
        <w:numFmt w:val="decimal"/>
      </w:footnotePr>
      <w:type w:val="nextPage"/>
      <w:pgSz w:w="11906" w:h="16838"/>
      <w:pgMar w:left="1701" w:right="567" w:gutter="0" w:header="167" w:top="22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 w:name="Book Antiqu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spacing w:before="0" w:after="20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rStyle w:val="Internetlink"/>
          <w:lang w:val="it-IT"/>
        </w:rPr>
      </w:pPr>
      <w:r>
        <w:rPr>
          <w:rStyle w:val="FootnoteCharacters"/>
        </w:rPr>
        <w:footnoteRef/>
      </w:r>
      <w:r>
        <w:rPr>
          <w:lang w:val="it-IT"/>
        </w:rPr>
        <w:tab/>
        <w:t xml:space="preserve"> </w:t>
      </w:r>
      <w:r>
        <w:fldChar w:fldCharType="begin"/>
      </w:r>
      <w:r>
        <w:rPr>
          <w:rStyle w:val="Internetlink"/>
          <w:lang w:val="it-IT"/>
        </w:rPr>
        <w:instrText xml:space="preserve"> HYPERLINK "https://osp.stat.gov.lt/statistiniu-rodikliu-analize?indicator=S7R260" \l "/"</w:instrText>
      </w:r>
      <w:r>
        <w:rPr>
          <w:rStyle w:val="Internetlink"/>
          <w:lang w:val="it-IT"/>
        </w:rPr>
        <w:fldChar w:fldCharType="separate"/>
      </w:r>
      <w:r>
        <w:rPr>
          <w:rStyle w:val="Internetlink"/>
          <w:lang w:val="it-IT"/>
        </w:rPr>
        <w:t>https://osp.stat.gov.lt/</w:t>
      </w:r>
      <w:r>
        <w:rPr>
          <w:rStyle w:val="Internetlink"/>
          <w:lang w:val="it-IT"/>
        </w:rPr>
        <w:fldChar w:fldCharType="end"/>
      </w:r>
    </w:p>
    <w:p>
      <w:pPr>
        <w:pStyle w:val="Footnote"/>
        <w:rPr>
          <w:rStyle w:val="Internetlink"/>
          <w:lang w:val="it-IT"/>
        </w:rPr>
      </w:pPr>
      <w:r>
        <w:rPr>
          <w:lang w:val="it-IT"/>
        </w:rPr>
      </w:r>
    </w:p>
    <w:p>
      <w:pPr>
        <w:pStyle w:val="Footnote"/>
        <w:rPr>
          <w:lang w:val="it-I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37"/>
      <w:gridCol w:w="3237"/>
      <w:gridCol w:w="3237"/>
    </w:tblGrid>
    <w:tr>
      <w:trPr>
        <w:trHeight w:val="142" w:hRule="atLeast"/>
      </w:trPr>
      <w:tc>
        <w:tcPr>
          <w:tcW w:w="3237" w:type="dxa"/>
          <w:tcBorders/>
        </w:tcPr>
        <w:p>
          <w:pPr>
            <w:pStyle w:val="Header"/>
            <w:spacing w:before="0" w:after="200"/>
            <w:rPr/>
          </w:pPr>
          <w:r>
            <w:rPr/>
          </w:r>
        </w:p>
      </w:tc>
      <w:tc>
        <w:tcPr>
          <w:tcW w:w="3237" w:type="dxa"/>
          <w:tcBorders/>
        </w:tcPr>
        <w:p>
          <w:pPr>
            <w:pStyle w:val="Header"/>
            <w:spacing w:before="0" w:after="200"/>
            <w:jc w:val="center"/>
            <w:rPr/>
          </w:pPr>
          <w:r>
            <w:rPr/>
          </w:r>
        </w:p>
      </w:tc>
      <w:tc>
        <w:tcPr>
          <w:tcW w:w="3237" w:type="dxa"/>
          <w:tcBorders/>
        </w:tcPr>
        <w:p>
          <w:pPr>
            <w:pStyle w:val="Header"/>
            <w:spacing w:before="0" w:after="200"/>
            <w:ind w:right="-115"/>
            <w:jc w:val="right"/>
            <w:rPr/>
          </w:pPr>
          <w:r>
            <w:rPr/>
          </w:r>
        </w:p>
      </w:tc>
    </w:tr>
  </w:tbl>
  <w:p>
    <w:pPr>
      <w:pStyle w:val="Header"/>
      <w:spacing w:before="0" w:after="200"/>
      <w:rPr/>
    </w:pPr>
    <w:r>
      <w:rPr/>
    </w:r>
  </w:p>
</w:hdr>
</file>

<file path=word/settings.xml><?xml version="1.0" encoding="utf-8"?>
<w:settings xmlns:w="http://schemas.openxmlformats.org/wordprocessingml/2006/main">
  <w:zoom w:percent="100"/>
  <w:trackRevisions/>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auto"/>
      <w:kern w:val="0"/>
      <w:sz w:val="24"/>
      <w:szCs w:val="24"/>
      <w:lang w:val="lt-LT" w:eastAsia="en-US" w:bidi="ar-SA"/>
    </w:rPr>
  </w:style>
  <w:style w:type="paragraph" w:styleId="Heading1">
    <w:name w:val="Heading 1"/>
    <w:basedOn w:val="Normal"/>
    <w:next w:val="Normal"/>
    <w:link w:val="Antrat1Diagrama"/>
    <w:qFormat/>
    <w:pPr>
      <w:keepNext w:val="true"/>
      <w:spacing w:lineRule="auto" w:line="240" w:before="0" w:after="0"/>
      <w:jc w:val="both"/>
      <w:outlineLvl w:val="0"/>
    </w:pPr>
    <w:rPr>
      <w:b/>
      <w:bCs/>
    </w:rPr>
  </w:style>
  <w:style w:type="character" w:styleId="DefaultParagraphFont" w:default="1">
    <w:name w:val="Default Paragraph Font"/>
    <w:uiPriority w:val="1"/>
    <w:semiHidden/>
    <w:unhideWhenUsed/>
    <w:qFormat/>
    <w:rPr/>
  </w:style>
  <w:style w:type="character" w:styleId="Annotationreference">
    <w:name w:val="annotation reference"/>
    <w:uiPriority w:val="99"/>
    <w:unhideWhenUsed/>
    <w:qFormat/>
    <w:rPr>
      <w:sz w:val="16"/>
      <w:szCs w:val="16"/>
    </w:rPr>
  </w:style>
  <w:style w:type="character" w:styleId="AntratsDiagrama" w:customStyle="1">
    <w:name w:val="Antraštės Diagrama"/>
    <w:link w:val="Header"/>
    <w:uiPriority w:val="99"/>
    <w:qFormat/>
    <w:rPr>
      <w:sz w:val="24"/>
      <w:szCs w:val="24"/>
      <w:lang w:eastAsia="en-US"/>
    </w:rPr>
  </w:style>
  <w:style w:type="character" w:styleId="Antrat1Diagrama" w:customStyle="1">
    <w:name w:val="Antraštė 1 Diagrama"/>
    <w:link w:val="Heading1"/>
    <w:qFormat/>
    <w:rPr>
      <w:b/>
      <w:bCs/>
      <w:sz w:val="24"/>
      <w:szCs w:val="24"/>
      <w:lang w:eastAsia="en-US"/>
    </w:rPr>
  </w:style>
  <w:style w:type="character" w:styleId="PoratDiagrama" w:customStyle="1">
    <w:name w:val="Poraštė Diagrama"/>
    <w:link w:val="Footer"/>
    <w:uiPriority w:val="99"/>
    <w:qFormat/>
    <w:rPr>
      <w:sz w:val="24"/>
      <w:szCs w:val="24"/>
      <w:lang w:eastAsia="en-US"/>
    </w:rPr>
  </w:style>
  <w:style w:type="character" w:styleId="Hyperlink">
    <w:name w:val="Hyperlink"/>
    <w:rPr>
      <w:rFonts w:cs="Times New Roman"/>
      <w:color w:val="0000FF"/>
      <w:u w:val="single"/>
    </w:rPr>
  </w:style>
  <w:style w:type="character" w:styleId="KomentarotemaDiagrama" w:customStyle="1">
    <w:name w:val="Komentaro tema Diagrama"/>
    <w:link w:val="Annotationsubject"/>
    <w:uiPriority w:val="99"/>
    <w:semiHidden/>
    <w:qFormat/>
    <w:rPr>
      <w:b/>
      <w:bCs/>
      <w:lang w:eastAsia="en-US"/>
    </w:rPr>
  </w:style>
  <w:style w:type="character" w:styleId="KomentarotekstasDiagrama" w:customStyle="1">
    <w:name w:val="Komentaro tekstas Diagrama"/>
    <w:link w:val="Annotationtext"/>
    <w:uiPriority w:val="99"/>
    <w:semiHidden/>
    <w:qFormat/>
    <w:rPr>
      <w:lang w:eastAsia="en-US"/>
    </w:rPr>
  </w:style>
  <w:style w:type="character" w:styleId="Color15" w:customStyle="1">
    <w:name w:val="color_15"/>
    <w:qFormat/>
    <w:rsid w:val="00655224"/>
    <w:rPr/>
  </w:style>
  <w:style w:type="character" w:styleId="SraopastraipaDiagrama" w:customStyle="1">
    <w:name w:val="Sąrašo pastraipa Diagrama"/>
    <w:link w:val="ListParagraph"/>
    <w:uiPriority w:val="34"/>
    <w:qFormat/>
    <w:locked/>
    <w:rsid w:val="00206a38"/>
    <w:rPr>
      <w:rFonts w:ascii="Arial" w:hAnsi="Arial" w:eastAsia="Calibri"/>
      <w:color w:val="000000"/>
      <w:szCs w:val="22"/>
      <w:lang w:val="en-GB"/>
    </w:rPr>
  </w:style>
  <w:style w:type="character" w:styleId="UnresolvedMention">
    <w:name w:val="Unresolved Mention"/>
    <w:basedOn w:val="DefaultParagraphFont"/>
    <w:uiPriority w:val="99"/>
    <w:semiHidden/>
    <w:unhideWhenUsed/>
    <w:qFormat/>
    <w:rsid w:val="0090207a"/>
    <w:rPr>
      <w:color w:val="605E5C"/>
      <w:shd w:fill="E1DFDD" w:val="clear"/>
    </w:rPr>
  </w:style>
  <w:style w:type="character" w:styleId="Linenumber1" w:customStyle="1">
    <w:name w:val="line number1"/>
    <w:qFormat/>
    <w:rPr/>
  </w:style>
  <w:style w:type="character" w:styleId="DefaultParagraphFontWW" w:customStyle="1">
    <w:name w:val="Default Paragraph Font (WW)"/>
    <w:qFormat/>
    <w:rPr/>
  </w:style>
  <w:style w:type="character" w:styleId="Internetlink" w:customStyle="1">
    <w:name w:val="Internet link"/>
    <w:basedOn w:val="DefaultParagraphFontWW"/>
    <w:qFormat/>
    <w:rPr>
      <w:strike w:val="false"/>
      <w:dstrike w:val="false"/>
      <w:color w:val="auto"/>
      <w:u w:val="none"/>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Linenumber2">
    <w:name w:val="line number2"/>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Annotationtext">
    <w:name w:val="annotation text"/>
    <w:basedOn w:val="Normal"/>
    <w:link w:val="KomentarotekstasDiagrama"/>
    <w:uiPriority w:val="99"/>
    <w:unhideWhenUsed/>
    <w:qFormat/>
    <w:pPr/>
    <w:rPr>
      <w:sz w:val="20"/>
      <w:szCs w:val="20"/>
    </w:rPr>
  </w:style>
  <w:style w:type="paragraph" w:styleId="BalloonText">
    <w:name w:val="Balloon Text"/>
    <w:basedOn w:val="Normal"/>
    <w:semiHidden/>
    <w:qFormat/>
    <w:pPr/>
    <w:rPr>
      <w:rFonts w:ascii="Tahoma" w:hAnsi="Tahoma" w:cs="Tahoma"/>
      <w:sz w:val="16"/>
      <w:szCs w:val="16"/>
    </w:rPr>
  </w:style>
  <w:style w:type="paragraph" w:styleId="CharChar4DiagramaCharCharDiagramaCharCharDiagramaCharCharDiagramaDiagramaDiagramaDiagramaCharCharDiagramaDiagramaDiagramaDiagramaDiagrama" w:customStyle="1">
    <w:name w:val="Char Char4 Diagrama Char Char Diagrama Char Char Diagrama Char Char Diagrama Diagrama Diagrama Diagrama Char Char Diagrama Diagrama Diagrama Diagrama Diagrama"/>
    <w:basedOn w:val="Normal"/>
    <w:semiHidden/>
    <w:qFormat/>
    <w:pPr>
      <w:spacing w:lineRule="exact" w:line="240" w:before="0" w:after="160"/>
    </w:pPr>
    <w:rPr>
      <w:rFonts w:ascii="Verdana" w:hAnsi="Verdana" w:cs="Verdana"/>
      <w:sz w:val="20"/>
      <w:lang w:val="en-US" w:eastAsia="lt-LT"/>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pPr>
      <w:tabs>
        <w:tab w:val="clear" w:pos="1296"/>
        <w:tab w:val="center" w:pos="4819" w:leader="none"/>
        <w:tab w:val="right" w:pos="9638" w:leader="none"/>
      </w:tabs>
    </w:pPr>
    <w:rPr/>
  </w:style>
  <w:style w:type="paragraph" w:styleId="NoSpacing">
    <w:name w:val="No Spacing"/>
    <w:uiPriority w:val="1"/>
    <w:qFormat/>
    <w:pPr>
      <w:widowControl/>
      <w:suppressAutoHyphens w:val="true"/>
      <w:bidi w:val="0"/>
      <w:spacing w:before="0" w:after="0"/>
      <w:jc w:val="left"/>
    </w:pPr>
    <w:rPr>
      <w:rFonts w:eastAsia="Calibri" w:ascii="Times New Roman" w:hAnsi="Times New Roman" w:cs="Times New Roman"/>
      <w:color w:val="auto"/>
      <w:kern w:val="0"/>
      <w:sz w:val="24"/>
      <w:szCs w:val="22"/>
      <w:lang w:val="lt-LT" w:eastAsia="en-US" w:bidi="ar-SA"/>
    </w:rPr>
  </w:style>
  <w:style w:type="paragraph" w:styleId="Footer">
    <w:name w:val="Footer"/>
    <w:basedOn w:val="Normal"/>
    <w:link w:val="PoratDiagrama"/>
    <w:uiPriority w:val="99"/>
    <w:unhideWhenUsed/>
    <w:pPr>
      <w:tabs>
        <w:tab w:val="clear" w:pos="1296"/>
        <w:tab w:val="center" w:pos="4819" w:leader="none"/>
        <w:tab w:val="right" w:pos="9638" w:leader="none"/>
      </w:tabs>
    </w:pPr>
    <w:rPr/>
  </w:style>
  <w:style w:type="paragraph" w:styleId="Annotationsubject">
    <w:name w:val="annotation subject"/>
    <w:basedOn w:val="Annotationtext"/>
    <w:next w:val="Annotationtext"/>
    <w:link w:val="KomentarotemaDiagrama"/>
    <w:uiPriority w:val="99"/>
    <w:unhideWhenUsed/>
    <w:qFormat/>
    <w:pPr/>
    <w:rPr>
      <w:b/>
      <w:bCs/>
    </w:rPr>
  </w:style>
  <w:style w:type="paragraph" w:styleId="Prastasis1" w:customStyle="1">
    <w:name w:val="Įprastasis1"/>
    <w:qFormat/>
    <w:pPr>
      <w:widowControl/>
      <w:suppressAutoHyphens w:val="true"/>
      <w:bidi w:val="0"/>
      <w:spacing w:before="0" w:after="0"/>
      <w:jc w:val="left"/>
    </w:pPr>
    <w:rPr>
      <w:rFonts w:ascii="Book Antiqua" w:hAnsi="Book Antiqua" w:eastAsia="ヒラギノ角ゴ Pro W3" w:cs="Times New Roman"/>
      <w:color w:val="000000"/>
      <w:kern w:val="0"/>
      <w:sz w:val="24"/>
      <w:szCs w:val="20"/>
      <w:lang w:val="lt-LT" w:eastAsia="lt-LT" w:bidi="ar-SA"/>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Font9" w:customStyle="1">
    <w:name w:val="font_9"/>
    <w:basedOn w:val="Normal"/>
    <w:qFormat/>
    <w:rsid w:val="00655224"/>
    <w:pPr>
      <w:spacing w:lineRule="auto" w:line="240" w:beforeAutospacing="1" w:afterAutospacing="1"/>
    </w:pPr>
    <w:rPr>
      <w:lang w:val="en-US"/>
    </w:rPr>
  </w:style>
  <w:style w:type="paragraph" w:styleId="NormalWeb">
    <w:name w:val="Normal (Web)"/>
    <w:basedOn w:val="Normal"/>
    <w:uiPriority w:val="99"/>
    <w:unhideWhenUsed/>
    <w:qFormat/>
    <w:rsid w:val="0012446e"/>
    <w:pPr>
      <w:spacing w:lineRule="auto" w:line="240" w:beforeAutospacing="1" w:afterAutospacing="1"/>
    </w:pPr>
    <w:rPr>
      <w:lang w:eastAsia="lt-LT"/>
    </w:rPr>
  </w:style>
  <w:style w:type="paragraph" w:styleId="ListParagraph">
    <w:name w:val="List Paragraph"/>
    <w:basedOn w:val="Normal"/>
    <w:link w:val="SraopastraipaDiagrama"/>
    <w:uiPriority w:val="34"/>
    <w:qFormat/>
    <w:rsid w:val="00da3744"/>
    <w:pPr>
      <w:spacing w:lineRule="exact" w:line="240" w:before="0" w:after="0"/>
      <w:ind w:left="720"/>
      <w:contextualSpacing/>
      <w:jc w:val="both"/>
    </w:pPr>
    <w:rPr>
      <w:rFonts w:ascii="Arial" w:hAnsi="Arial" w:eastAsia="Calibri"/>
      <w:color w:val="000000"/>
      <w:sz w:val="20"/>
      <w:szCs w:val="22"/>
      <w:lang w:val="en-GB"/>
    </w:rPr>
  </w:style>
  <w:style w:type="paragraph" w:styleId="Normal1" w:customStyle="1">
    <w:name w:val="Normal1"/>
    <w:basedOn w:val="Normal"/>
    <w:qFormat/>
    <w:rsid w:val="00bd3f71"/>
    <w:pPr>
      <w:spacing w:lineRule="auto" w:line="240" w:beforeAutospacing="1" w:afterAutospacing="1"/>
    </w:pPr>
    <w:rPr>
      <w:lang w:eastAsia="lt-LT"/>
    </w:rPr>
  </w:style>
  <w:style w:type="paragraph" w:styleId="Revision">
    <w:name w:val="Revision"/>
    <w:uiPriority w:val="99"/>
    <w:semiHidden/>
    <w:qFormat/>
    <w:rsid w:val="005a780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en-US" w:eastAsia="en-US" w:bidi="ar-SA"/>
    </w:rPr>
  </w:style>
  <w:style w:type="paragraph" w:styleId="FootnoteText">
    <w:name w:val="Footnote Text"/>
    <w:basedOn w:val="Normal"/>
    <w:pPr>
      <w:suppressLineNumbers/>
      <w:ind w:hanging="340" w:left="340"/>
    </w:pPr>
    <w:rPr>
      <w:sz w:val="20"/>
      <w:szCs w:val="20"/>
    </w:rPr>
  </w:style>
  <w:style w:type="paragraph" w:styleId="Footnote" w:customStyle="1">
    <w:name w:val="Footnote"/>
    <w:basedOn w:val="Standard"/>
    <w:qFormat/>
    <w:pPr>
      <w:suppressLineNumbers/>
      <w:ind w:hanging="340" w:left="340"/>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bis.nbfc.lt/" TargetMode="External"/><Relationship Id="rId3" Type="http://schemas.openxmlformats.org/officeDocument/2006/relationships/hyperlink" Target="mailto:laima@vtek.lt" TargetMode="External"/><Relationship Id="rId4" Type="http://schemas.openxmlformats.org/officeDocument/2006/relationships/hyperlink" Target="mailto:vtek@vtek.l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34D17-262E-4951-B0C5-391FDB45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LibreOffice/7.6.4.1$Windows_X86_64 LibreOffice_project/e19e193f88cd6c0525a17fb7a176ed8e6a3e2aa1</Application>
  <AppVersion>15.0000</AppVersion>
  <Pages>6</Pages>
  <Words>2225</Words>
  <Characters>15347</Characters>
  <CharactersWithSpaces>17526</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2026-02-19T07:32:00Z</dcterms:created>
  <dc:creator>BPCPKKS</dc:creator>
  <dc:description/>
  <dc:language>en-US</dc:language>
  <cp:lastModifiedBy/>
  <cp:lastPrinted>2025-02-26T11:12:00Z</cp:lastPrinted>
  <dcterms:modified xsi:type="dcterms:W3CDTF">2026-02-24T11:12:29Z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