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5DCD3AA7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435291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54970527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B239B" w:rsidRPr="008B239B">
        <w:rPr>
          <w:rFonts w:ascii="Times New Roman" w:hAnsi="Times New Roman" w:cs="Times New Roman"/>
          <w:b/>
          <w:sz w:val="24"/>
          <w:szCs w:val="24"/>
          <w:lang w:val="lt-LT"/>
        </w:rPr>
        <w:t>CPO267540-18688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614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500B280F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435291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435291">
        <w:rPr>
          <w:rFonts w:ascii="Times New Roman" w:hAnsi="Times New Roman" w:cs="Times New Roman"/>
          <w:bCs/>
          <w:sz w:val="24"/>
          <w:szCs w:val="24"/>
          <w:lang w:val="lt-LT"/>
        </w:rPr>
        <w:t>vasario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4FD9D023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35291" w:rsidRPr="00D03B75">
        <w:rPr>
          <w:rFonts w:ascii="Times New Roman" w:hAnsi="Times New Roman" w:cs="Times New Roman"/>
          <w:sz w:val="24"/>
          <w:szCs w:val="24"/>
        </w:rPr>
        <w:t>5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435291">
        <w:rPr>
          <w:rFonts w:ascii="Times New Roman" w:hAnsi="Times New Roman" w:cs="Times New Roman"/>
          <w:sz w:val="24"/>
          <w:szCs w:val="24"/>
        </w:rPr>
        <w:t>11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B239B">
        <w:rPr>
          <w:rFonts w:ascii="Times New Roman" w:hAnsi="Times New Roman" w:cs="Times New Roman"/>
          <w:sz w:val="24"/>
          <w:szCs w:val="24"/>
          <w:lang w:val="lt-LT"/>
        </w:rPr>
        <w:t>rugpjūčio 30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8B239B" w:rsidRPr="008B239B">
        <w:rPr>
          <w:rFonts w:ascii="Times New Roman" w:hAnsi="Times New Roman" w:cs="Times New Roman"/>
          <w:sz w:val="24"/>
          <w:szCs w:val="24"/>
          <w:lang w:val="lt-LT"/>
        </w:rPr>
        <w:t>CPO267540-18688 / 1VS-0614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2ADAE96" w14:textId="6D36E1DE" w:rsidR="0098184B" w:rsidRPr="00435291" w:rsidRDefault="006F543B" w:rsidP="00435291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148712BF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435291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 w:rsidR="004352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rugpjūčio </w:t>
      </w:r>
      <w:r w:rsidR="00435291">
        <w:rPr>
          <w:rFonts w:ascii="Times New Roman" w:hAnsi="Times New Roman" w:cs="Times New Roman"/>
          <w:b/>
          <w:sz w:val="24"/>
          <w:szCs w:val="24"/>
        </w:rPr>
        <w:t>29</w:t>
      </w:r>
      <w:r w:rsidR="004352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9D53622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53CFCEE1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92E927D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4EFAD423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21132784" w:rsidR="00754E29" w:rsidRPr="00754E29" w:rsidRDefault="0043529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7BF544DB" w:rsidR="00754E29" w:rsidRPr="00754E29" w:rsidRDefault="0043529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Egita Brazaitienė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52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33006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35291"/>
    <w:rsid w:val="00461211"/>
    <w:rsid w:val="00476F84"/>
    <w:rsid w:val="00481BD6"/>
    <w:rsid w:val="004A7CC3"/>
    <w:rsid w:val="004B0B01"/>
    <w:rsid w:val="004C477F"/>
    <w:rsid w:val="004E39E5"/>
    <w:rsid w:val="004F690D"/>
    <w:rsid w:val="00506DC5"/>
    <w:rsid w:val="00510F23"/>
    <w:rsid w:val="0051184F"/>
    <w:rsid w:val="00542877"/>
    <w:rsid w:val="00561A6E"/>
    <w:rsid w:val="00563932"/>
    <w:rsid w:val="0058727C"/>
    <w:rsid w:val="005979A3"/>
    <w:rsid w:val="005B0A6D"/>
    <w:rsid w:val="005B62A1"/>
    <w:rsid w:val="006058E9"/>
    <w:rsid w:val="006152EB"/>
    <w:rsid w:val="0062116C"/>
    <w:rsid w:val="006340A9"/>
    <w:rsid w:val="00646CF0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B5E66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B239B"/>
    <w:rsid w:val="008C0CB2"/>
    <w:rsid w:val="008C0F8F"/>
    <w:rsid w:val="008C2E1A"/>
    <w:rsid w:val="008E510A"/>
    <w:rsid w:val="009208A4"/>
    <w:rsid w:val="0095084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2026-02-24T08:42:00Z</dcterms:created>
  <dcterms:modified xsi:type="dcterms:W3CDTF">2026-02-24T08:42:00Z</dcterms:modified>
</cp:coreProperties>
</file>