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7B58B22D" w14:textId="2F4DFEC2" w:rsidR="00474047" w:rsidRDefault="003876BF" w:rsidP="00615F8D">
      <w:pPr>
        <w:jc w:val="center"/>
        <w:rPr>
          <w:rFonts w:ascii="Arial" w:hAnsi="Arial" w:cs="Arial"/>
          <w:b/>
          <w:bCs/>
          <w:color w:val="000000" w:themeColor="text1"/>
          <w:sz w:val="22"/>
          <w:szCs w:val="22"/>
        </w:rPr>
      </w:pPr>
      <w:r w:rsidRPr="003876BF">
        <w:rPr>
          <w:rFonts w:ascii="Arial" w:hAnsi="Arial" w:cs="Arial"/>
          <w:b/>
          <w:bCs/>
          <w:color w:val="000000" w:themeColor="text1"/>
          <w:sz w:val="22"/>
          <w:szCs w:val="22"/>
        </w:rPr>
        <w:t>VALSTYBINĖS REIKŠMĖS RAJONINIO KELIO NR. 5212 PILAITĖ–ČEKONIŠKĖS–SUDERVĖ RUOŽO NUO 4,143 IKI 6,303 KM KAPITALINI</w:t>
      </w:r>
      <w:r>
        <w:rPr>
          <w:rFonts w:ascii="Arial" w:hAnsi="Arial" w:cs="Arial"/>
          <w:b/>
          <w:bCs/>
          <w:color w:val="000000" w:themeColor="text1"/>
          <w:sz w:val="22"/>
          <w:szCs w:val="22"/>
        </w:rPr>
        <w:t>S</w:t>
      </w:r>
      <w:r w:rsidRPr="003876BF">
        <w:rPr>
          <w:rFonts w:ascii="Arial" w:hAnsi="Arial" w:cs="Arial"/>
          <w:b/>
          <w:bCs/>
          <w:color w:val="000000" w:themeColor="text1"/>
          <w:sz w:val="22"/>
          <w:szCs w:val="22"/>
        </w:rPr>
        <w:t xml:space="preserve"> REMONT</w:t>
      </w:r>
      <w:r>
        <w:rPr>
          <w:rFonts w:ascii="Arial" w:hAnsi="Arial" w:cs="Arial"/>
          <w:b/>
          <w:bCs/>
          <w:color w:val="000000" w:themeColor="text1"/>
          <w:sz w:val="22"/>
          <w:szCs w:val="22"/>
        </w:rPr>
        <w:t>AS</w:t>
      </w:r>
    </w:p>
    <w:p w14:paraId="146A3736" w14:textId="77777777" w:rsidR="003876BF" w:rsidRPr="00183F61" w:rsidRDefault="003876BF"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3896" w14:textId="77777777" w:rsidR="00D423F4" w:rsidRDefault="00D423F4" w:rsidP="00EC4D0B">
      <w:r>
        <w:separator/>
      </w:r>
    </w:p>
  </w:endnote>
  <w:endnote w:type="continuationSeparator" w:id="0">
    <w:p w14:paraId="35AD3601" w14:textId="77777777" w:rsidR="00D423F4" w:rsidRDefault="00D423F4" w:rsidP="00EC4D0B">
      <w:r>
        <w:continuationSeparator/>
      </w:r>
    </w:p>
  </w:endnote>
  <w:endnote w:type="continuationNotice" w:id="1">
    <w:p w14:paraId="765F19AE" w14:textId="77777777" w:rsidR="00D13C3B" w:rsidRDefault="00D1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AA5B" w14:textId="77777777" w:rsidR="00D423F4" w:rsidRDefault="00D423F4" w:rsidP="00EC4D0B">
      <w:r>
        <w:separator/>
      </w:r>
    </w:p>
  </w:footnote>
  <w:footnote w:type="continuationSeparator" w:id="0">
    <w:p w14:paraId="4049D181" w14:textId="77777777" w:rsidR="00D423F4" w:rsidRDefault="00D423F4" w:rsidP="00EC4D0B">
      <w:r>
        <w:continuationSeparator/>
      </w:r>
    </w:p>
  </w:footnote>
  <w:footnote w:type="continuationNotice" w:id="1">
    <w:p w14:paraId="0C8AEB28" w14:textId="77777777" w:rsidR="00D13C3B" w:rsidRDefault="00D1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3" w:type="dxa"/>
      <w:tblLook w:val="04A0" w:firstRow="1" w:lastRow="0" w:firstColumn="1" w:lastColumn="0" w:noHBand="0" w:noVBand="1"/>
    </w:tblPr>
    <w:tblGrid>
      <w:gridCol w:w="2503"/>
      <w:gridCol w:w="6990"/>
    </w:tblGrid>
    <w:tr w:rsidR="00B206A5" w14:paraId="27E68F0D" w14:textId="77777777" w:rsidTr="00B206A5">
      <w:trPr>
        <w:trHeight w:val="229"/>
      </w:trPr>
      <w:tc>
        <w:tcPr>
          <w:tcW w:w="2503" w:type="dxa"/>
          <w:vMerge w:val="restart"/>
          <w:vAlign w:val="center"/>
        </w:tcPr>
        <w:p w14:paraId="4E0FBFE7" w14:textId="78A1A86C" w:rsidR="00B206A5" w:rsidRDefault="00B206A5"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990" w:type="dxa"/>
          <w:vMerge w:val="restart"/>
          <w:vAlign w:val="center"/>
        </w:tcPr>
        <w:p w14:paraId="4D41CFE4" w14:textId="0F3B03FF" w:rsidR="00B206A5" w:rsidRPr="00500F46" w:rsidRDefault="00B206A5" w:rsidP="00B31D3F">
          <w:pPr>
            <w:pStyle w:val="Header"/>
            <w:jc w:val="center"/>
            <w:rPr>
              <w:b/>
              <w:bCs/>
              <w:sz w:val="24"/>
              <w:szCs w:val="28"/>
            </w:rPr>
          </w:pPr>
          <w:r w:rsidRPr="002C1403">
            <w:rPr>
              <w:b/>
              <w:caps/>
              <w:sz w:val="24"/>
              <w:szCs w:val="28"/>
            </w:rPr>
            <w:t>Techninė specifikacija</w:t>
          </w:r>
        </w:p>
      </w:tc>
    </w:tr>
    <w:tr w:rsidR="00B206A5" w14:paraId="41082ECB" w14:textId="77777777" w:rsidTr="00B206A5">
      <w:trPr>
        <w:trHeight w:val="229"/>
      </w:trPr>
      <w:tc>
        <w:tcPr>
          <w:tcW w:w="2503" w:type="dxa"/>
          <w:vMerge/>
        </w:tcPr>
        <w:p w14:paraId="530AA3FD" w14:textId="77777777" w:rsidR="00B206A5" w:rsidRDefault="00B206A5" w:rsidP="00B31D3F">
          <w:pPr>
            <w:pStyle w:val="Header"/>
          </w:pPr>
        </w:p>
      </w:tc>
      <w:tc>
        <w:tcPr>
          <w:tcW w:w="6990" w:type="dxa"/>
          <w:vMerge/>
        </w:tcPr>
        <w:p w14:paraId="5A41F893" w14:textId="77777777" w:rsidR="00B206A5" w:rsidRDefault="00B206A5" w:rsidP="00B31D3F">
          <w:pPr>
            <w:pStyle w:val="Header"/>
          </w:pPr>
        </w:p>
      </w:tc>
    </w:tr>
    <w:tr w:rsidR="00B206A5" w14:paraId="6C6C8041" w14:textId="77777777" w:rsidTr="00B206A5">
      <w:trPr>
        <w:trHeight w:val="229"/>
      </w:trPr>
      <w:tc>
        <w:tcPr>
          <w:tcW w:w="2503" w:type="dxa"/>
          <w:vMerge/>
        </w:tcPr>
        <w:p w14:paraId="71F80B78" w14:textId="77777777" w:rsidR="00B206A5" w:rsidRDefault="00B206A5" w:rsidP="00B31D3F">
          <w:pPr>
            <w:pStyle w:val="Header"/>
          </w:pPr>
        </w:p>
      </w:tc>
      <w:tc>
        <w:tcPr>
          <w:tcW w:w="6990" w:type="dxa"/>
          <w:vMerge/>
        </w:tcPr>
        <w:p w14:paraId="53DCDFBF" w14:textId="77777777" w:rsidR="00B206A5" w:rsidRDefault="00B206A5" w:rsidP="00B31D3F">
          <w:pPr>
            <w:pStyle w:val="Header"/>
          </w:pP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B206A5" w14:paraId="6C6DAD52" w14:textId="77777777" w:rsidTr="00B206A5">
      <w:trPr>
        <w:trHeight w:val="708"/>
      </w:trPr>
      <w:tc>
        <w:tcPr>
          <w:tcW w:w="2503" w:type="dxa"/>
          <w:vAlign w:val="center"/>
        </w:tcPr>
        <w:p w14:paraId="12CEC5CA" w14:textId="609C9B24" w:rsidR="00B206A5" w:rsidRDefault="00B206A5"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vAlign w:val="center"/>
        </w:tcPr>
        <w:p w14:paraId="4049DB45" w14:textId="6AF60412" w:rsidR="00B206A5" w:rsidRPr="00FD42B8" w:rsidRDefault="00B206A5" w:rsidP="00B206A5">
          <w:pPr>
            <w:pStyle w:val="Header"/>
            <w:jc w:val="center"/>
            <w:rPr>
              <w:rFonts w:cs="Calibri"/>
              <w:color w:val="000000"/>
              <w:szCs w:val="20"/>
            </w:rPr>
          </w:pPr>
          <w:r w:rsidRPr="002C1403">
            <w:rPr>
              <w:b/>
              <w:caps/>
              <w:sz w:val="24"/>
              <w:szCs w:val="28"/>
            </w:rPr>
            <w:t>Techninė specifikacija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876BF"/>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047"/>
    <w:rsid w:val="004742EC"/>
    <w:rsid w:val="00475E4C"/>
    <w:rsid w:val="00480C7E"/>
    <w:rsid w:val="004877C3"/>
    <w:rsid w:val="00492BFE"/>
    <w:rsid w:val="00492EB2"/>
    <w:rsid w:val="00493146"/>
    <w:rsid w:val="004952A7"/>
    <w:rsid w:val="004A262F"/>
    <w:rsid w:val="004A29B1"/>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0B78"/>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1C1F"/>
    <w:rsid w:val="00677CF2"/>
    <w:rsid w:val="00677E40"/>
    <w:rsid w:val="006808DF"/>
    <w:rsid w:val="00680EA0"/>
    <w:rsid w:val="00683FAC"/>
    <w:rsid w:val="006902A7"/>
    <w:rsid w:val="0069136D"/>
    <w:rsid w:val="0069268A"/>
    <w:rsid w:val="00693D2E"/>
    <w:rsid w:val="006960BA"/>
    <w:rsid w:val="00696A4E"/>
    <w:rsid w:val="00697F70"/>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2001"/>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96A4D"/>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D177D"/>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678D"/>
    <w:rsid w:val="00867969"/>
    <w:rsid w:val="0087202B"/>
    <w:rsid w:val="00876CE1"/>
    <w:rsid w:val="00891678"/>
    <w:rsid w:val="00893D82"/>
    <w:rsid w:val="008A1EC5"/>
    <w:rsid w:val="008A30EA"/>
    <w:rsid w:val="008A3157"/>
    <w:rsid w:val="008B3D89"/>
    <w:rsid w:val="008C1991"/>
    <w:rsid w:val="008C3DF6"/>
    <w:rsid w:val="008E397B"/>
    <w:rsid w:val="008E4684"/>
    <w:rsid w:val="008F069C"/>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29EB"/>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34D4C"/>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06A5"/>
    <w:rsid w:val="00B22376"/>
    <w:rsid w:val="00B224B0"/>
    <w:rsid w:val="00B25E77"/>
    <w:rsid w:val="00B270C3"/>
    <w:rsid w:val="00B2770D"/>
    <w:rsid w:val="00B31D3F"/>
    <w:rsid w:val="00B42C55"/>
    <w:rsid w:val="00B4322F"/>
    <w:rsid w:val="00B44E58"/>
    <w:rsid w:val="00B46435"/>
    <w:rsid w:val="00B47E45"/>
    <w:rsid w:val="00B501F2"/>
    <w:rsid w:val="00B56571"/>
    <w:rsid w:val="00B5716E"/>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67D8E"/>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A292F"/>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63BF"/>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E6C2E"/>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15CD"/>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7cd939debd2eda5beadc844e02a8c5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53ac2cbac838b121e695f2096e19792b"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2.xml><?xml version="1.0" encoding="utf-8"?>
<ds:datastoreItem xmlns:ds="http://schemas.openxmlformats.org/officeDocument/2006/customXml" ds:itemID="{37CBC20B-1CA2-4A09-88FB-944411FF3D00}">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15a6b705-cd0a-4d82-9117-6b2fa02c6b32"/>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9B0B5CF5-6224-4269-919D-D2D3AE2B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29007</Words>
  <Characters>16534</Characters>
  <Application>Microsoft Office Word</Application>
  <DocSecurity>0</DocSecurity>
  <Lines>137</Lines>
  <Paragraphs>90</Paragraphs>
  <ScaleCrop>false</ScaleCrop>
  <Company/>
  <LinksUpToDate>false</LinksUpToDate>
  <CharactersWithSpaces>45451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39</cp:revision>
  <dcterms:created xsi:type="dcterms:W3CDTF">2023-11-22T21:44:00Z</dcterms:created>
  <dcterms:modified xsi:type="dcterms:W3CDTF">2026-01-30T07:29:00Z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