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5939741B"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F02F12">
        <w:rPr>
          <w:bCs/>
        </w:rPr>
        <w:t>18</w:t>
      </w:r>
      <w:r w:rsidRPr="00D76AC9">
        <w:rPr>
          <w:bCs/>
        </w:rPr>
        <w:t xml:space="preserve">   d. Nr. S-</w:t>
      </w:r>
      <w:r w:rsidR="00F02F12">
        <w:rPr>
          <w:bCs/>
        </w:rPr>
        <w:t>316</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4A0AB30F"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FB4AEF">
        <w:rPr>
          <w:b/>
          <w:bCs/>
        </w:rPr>
        <w:t>Kulautuvos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60912EA3" w:rsidR="00062C2B" w:rsidRPr="00103395" w:rsidRDefault="00FB4AEF" w:rsidP="004862D9">
            <w:pPr>
              <w:pStyle w:val="Sraopastraipa"/>
              <w:ind w:left="0"/>
            </w:pPr>
            <w:r w:rsidRPr="00FB4AEF">
              <w:rPr>
                <w:noProof/>
              </w:rPr>
              <w:t>Dalia Šiušienė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0D2C8554" w:rsidR="00062C2B" w:rsidRPr="00A927B4" w:rsidRDefault="00FB4AEF" w:rsidP="005E5E7B">
            <w:pPr>
              <w:pStyle w:val="Sraopastraipa"/>
              <w:spacing w:line="240" w:lineRule="auto"/>
              <w:ind w:left="0"/>
              <w:jc w:val="left"/>
            </w:pPr>
            <w:r w:rsidRPr="00FB4AEF">
              <w:t>Poilsio g. 5, 53484</w:t>
            </w:r>
            <w:r>
              <w:t xml:space="preserve"> </w:t>
            </w:r>
            <w:r w:rsidRPr="00FB4AEF">
              <w:t>Kulautuva, 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186886FF" w:rsidR="00062C2B" w:rsidRPr="00A927B4" w:rsidRDefault="00FB4AEF" w:rsidP="00505385">
            <w:pPr>
              <w:pStyle w:val="Sraopastraipa"/>
              <w:ind w:left="0"/>
              <w:jc w:val="left"/>
            </w:pPr>
            <w:r w:rsidRPr="00FB4AEF">
              <w:t>(+370 37) 543 223</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5119C864" w:rsidR="00062C2B" w:rsidRPr="00FB4AEF" w:rsidRDefault="00FB4AEF" w:rsidP="00505385">
            <w:pPr>
              <w:pStyle w:val="Sraopastraipa"/>
              <w:ind w:left="0"/>
              <w:jc w:val="left"/>
            </w:pPr>
            <w:r w:rsidRPr="00FB4AEF">
              <w:t>seniunija@kulautuva.krs.lt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proofErr w:type="spellStart"/>
            <w:r w:rsidR="00FD68F7" w:rsidRPr="008D0981">
              <w:t>info</w:t>
            </w:r>
            <w:proofErr w:type="spellEnd"/>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C831" w14:textId="77777777" w:rsidR="000C5DFF" w:rsidRDefault="000C5DFF" w:rsidP="00420370">
      <w:pPr>
        <w:spacing w:line="240" w:lineRule="auto"/>
      </w:pPr>
      <w:r>
        <w:separator/>
      </w:r>
    </w:p>
  </w:endnote>
  <w:endnote w:type="continuationSeparator" w:id="0">
    <w:p w14:paraId="535449F5" w14:textId="77777777" w:rsidR="000C5DFF" w:rsidRDefault="000C5DFF"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B0CC" w14:textId="77777777" w:rsidR="000C5DFF" w:rsidRDefault="000C5DFF" w:rsidP="00420370">
      <w:pPr>
        <w:spacing w:line="240" w:lineRule="auto"/>
      </w:pPr>
      <w:r>
        <w:separator/>
      </w:r>
    </w:p>
  </w:footnote>
  <w:footnote w:type="continuationSeparator" w:id="0">
    <w:p w14:paraId="1AB3069C" w14:textId="77777777" w:rsidR="000C5DFF" w:rsidRDefault="000C5DFF"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C5DFF"/>
    <w:rsid w:val="000D1AD7"/>
    <w:rsid w:val="000D2FC1"/>
    <w:rsid w:val="000D32EF"/>
    <w:rsid w:val="000D7D36"/>
    <w:rsid w:val="000E6982"/>
    <w:rsid w:val="000E7CBD"/>
    <w:rsid w:val="000F343B"/>
    <w:rsid w:val="000F51EC"/>
    <w:rsid w:val="00103395"/>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A1214"/>
    <w:rsid w:val="002A136C"/>
    <w:rsid w:val="002A36AE"/>
    <w:rsid w:val="002A5B2B"/>
    <w:rsid w:val="002B0C80"/>
    <w:rsid w:val="002C5594"/>
    <w:rsid w:val="002D6D7E"/>
    <w:rsid w:val="002F27F3"/>
    <w:rsid w:val="002F5595"/>
    <w:rsid w:val="00312946"/>
    <w:rsid w:val="003175EF"/>
    <w:rsid w:val="003259D8"/>
    <w:rsid w:val="00340487"/>
    <w:rsid w:val="0035723C"/>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AF4C3B"/>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C175BC"/>
    <w:rsid w:val="00C32580"/>
    <w:rsid w:val="00C350C9"/>
    <w:rsid w:val="00C357C4"/>
    <w:rsid w:val="00C3642F"/>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02F12"/>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AEF"/>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15476</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2026-02-26T13:58:00Z</dcterms:created>
  <dcterms:modified xsi:type="dcterms:W3CDTF">2026-02-26T13:58:00Z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