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ės Jovitos Rudėnienės</w:t>
      </w:r>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atstovaujamas rinkotyros skyriaus specialistės Vilmos Kazakevičiūtės</w:t>
      </w:r>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3163"/>
        <w:gridCol w:w="3163"/>
      </w:tblGrid>
      <w:tr w:rsidR="003E033C" w:rsidRPr="003E033C" w14:paraId="0C95A1FA" w14:textId="77777777" w:rsidTr="003E033C">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3163" w:type="dxa"/>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163"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B91721" w:rsidRPr="003E033C" w14:paraId="7D45062F" w14:textId="77777777" w:rsidTr="003E033C">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B91721" w:rsidRPr="003E033C" w:rsidRDefault="00B91721" w:rsidP="00B91721">
            <w:pPr>
              <w:pStyle w:val="Default"/>
            </w:pPr>
            <w:r w:rsidRPr="003E033C">
              <w:t>Švenčionių rajono bevariklio transporto infrastruktūros įrengimas</w:t>
            </w:r>
          </w:p>
        </w:tc>
        <w:tc>
          <w:tcPr>
            <w:tcW w:w="3163" w:type="dxa"/>
            <w:tcBorders>
              <w:top w:val="single" w:sz="4" w:space="0" w:color="auto"/>
              <w:left w:val="single" w:sz="4" w:space="0" w:color="auto"/>
              <w:bottom w:val="single" w:sz="4" w:space="0" w:color="auto"/>
              <w:right w:val="single" w:sz="4" w:space="0" w:color="auto"/>
            </w:tcBorders>
          </w:tcPr>
          <w:p w14:paraId="681F322F" w14:textId="2C7A7AF5" w:rsidR="00B91721" w:rsidRPr="003E033C" w:rsidRDefault="00B91721" w:rsidP="00B91721">
            <w:pPr>
              <w:pStyle w:val="Default"/>
              <w:jc w:val="both"/>
            </w:pPr>
            <w:r w:rsidRPr="00AE7470">
              <w:t>Dviračių tako bei dviračių juostų įrengimas Švenčionėlių Kaltanėnų g. atkarpoje tarp Priestočio g. ir Žemutinės g.</w:t>
            </w:r>
          </w:p>
        </w:tc>
        <w:tc>
          <w:tcPr>
            <w:tcW w:w="3163" w:type="dxa"/>
            <w:tcBorders>
              <w:top w:val="single" w:sz="4" w:space="0" w:color="auto"/>
              <w:left w:val="single" w:sz="4" w:space="0" w:color="auto"/>
              <w:bottom w:val="single" w:sz="4" w:space="0" w:color="auto"/>
              <w:right w:val="single" w:sz="4" w:space="0" w:color="auto"/>
            </w:tcBorders>
          </w:tcPr>
          <w:p w14:paraId="0FD519A2" w14:textId="71CBC698" w:rsidR="00B91721" w:rsidRPr="003E033C" w:rsidRDefault="00B91721" w:rsidP="00B91721">
            <w:pPr>
              <w:pStyle w:val="Default"/>
              <w:jc w:val="both"/>
            </w:pPr>
            <w:r w:rsidRPr="00AE7470">
              <w:t>Gatvių paskirties (susisiekimo komunikacijų statinių grupės) Kaltanėnų gatvės atkarpos tarp Priestočio g. ir Žemutinės g.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 xml:space="preserve">Užsakovas turi teisę iki Projekto ekspertizės iš dalies pakeisti ir (ar) patikslinti rengiamo Projekto sprendinius iš esmės nedidinant Paslaugų apimties, apie tai raštu informuodamas Projektuotoją. Jeigu Užsakovo pateikti Projekto sprendinių pakeitimai 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perleisti visas autoriaus asmenines turtines teises, numatytas Lietuvos Respublikos autorių teisių ir gretutinių teisių įstatyme, į visą projektinę dokumentaciją ir (arba) jos 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w:t>
      </w:r>
      <w:r w:rsidRPr="00DA36D2">
        <w:rPr>
          <w:szCs w:val="24"/>
        </w:rPr>
        <w:lastRenderedPageBreak/>
        <w:t xml:space="preserve">pareigybes), vykdžiusiems Sutartį darbuotojams sumokėtą darbo užmokestį, per praėjusį mėnesį darbuotojams sumokėtą vidutinį  darbo užmokestį, SODROS duomenų 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t </w:t>
      </w:r>
      <w:r w:rsidRPr="00DA36D2">
        <w:rPr>
          <w:szCs w:val="24"/>
        </w:rPr>
        <w:t>= P</w:t>
      </w:r>
      <w:r w:rsidRPr="00DA36D2">
        <w:rPr>
          <w:szCs w:val="24"/>
          <w:vertAlign w:val="subscript"/>
        </w:rPr>
        <w:t xml:space="preserve">t  </w:t>
      </w:r>
      <w:r w:rsidRPr="00DA36D2">
        <w:rPr>
          <w:szCs w:val="24"/>
        </w:rPr>
        <w:t>x K</w:t>
      </w:r>
      <w:r w:rsidRPr="00DA36D2">
        <w:rPr>
          <w:szCs w:val="24"/>
          <w:vertAlign w:val="subscript"/>
        </w:rPr>
        <w:t xml:space="preserve">t,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t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r w:rsidRPr="00DA36D2">
        <w:rPr>
          <w:szCs w:val="24"/>
        </w:rPr>
        <w:t>K</w:t>
      </w:r>
      <w:r w:rsidRPr="00DA36D2">
        <w:rPr>
          <w:szCs w:val="24"/>
          <w:vertAlign w:val="subscript"/>
        </w:rPr>
        <w:t xml:space="preserve">t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r w:rsidRPr="00DA36D2">
        <w:rPr>
          <w:szCs w:val="24"/>
        </w:rPr>
        <w:t>P</w:t>
      </w:r>
      <w:r w:rsidRPr="00DA36D2">
        <w:rPr>
          <w:szCs w:val="24"/>
          <w:vertAlign w:val="subscript"/>
        </w:rPr>
        <w:t xml:space="preserve">t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p </w:t>
      </w:r>
      <w:r w:rsidRPr="00DA36D2">
        <w:rPr>
          <w:szCs w:val="24"/>
        </w:rPr>
        <w:t>= P</w:t>
      </w:r>
      <w:r w:rsidRPr="00DA36D2">
        <w:rPr>
          <w:szCs w:val="24"/>
          <w:vertAlign w:val="subscript"/>
        </w:rPr>
        <w:t xml:space="preserve">p </w:t>
      </w:r>
      <w:r w:rsidRPr="00DA36D2">
        <w:rPr>
          <w:szCs w:val="24"/>
        </w:rPr>
        <w:t>x K</w:t>
      </w:r>
      <w:r w:rsidRPr="00DA36D2">
        <w:rPr>
          <w:szCs w:val="24"/>
          <w:vertAlign w:val="subscript"/>
        </w:rPr>
        <w:t>p,</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r w:rsidRPr="00DA36D2">
        <w:rPr>
          <w:szCs w:val="24"/>
        </w:rPr>
        <w:t>S</w:t>
      </w:r>
      <w:r w:rsidRPr="00DA36D2">
        <w:rPr>
          <w:szCs w:val="24"/>
          <w:vertAlign w:val="subscript"/>
        </w:rPr>
        <w:t xml:space="preserve">p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r w:rsidRPr="00DA36D2">
        <w:rPr>
          <w:szCs w:val="24"/>
        </w:rPr>
        <w:t>K</w:t>
      </w:r>
      <w:r w:rsidRPr="00DA36D2">
        <w:rPr>
          <w:szCs w:val="24"/>
          <w:vertAlign w:val="subscript"/>
        </w:rPr>
        <w:t>p</w:t>
      </w:r>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r w:rsidRPr="00DA36D2">
        <w:rPr>
          <w:szCs w:val="24"/>
        </w:rPr>
        <w:lastRenderedPageBreak/>
        <w:t>P</w:t>
      </w:r>
      <w:r w:rsidRPr="00DA36D2">
        <w:rPr>
          <w:szCs w:val="24"/>
          <w:vertAlign w:val="subscript"/>
        </w:rPr>
        <w:t>p</w:t>
      </w:r>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Projektuotojas, vėluodamas suteikti Paslaugas privalo sumokėti Užsakovui 0,2 % delspinigius, skaičiuojamus nuo Sutarties kainos už kiekvieną uždelstą dieną. Jeigu Projektuotojas uždelsia </w:t>
      </w:r>
      <w:r w:rsidRPr="00DA36D2">
        <w:rPr>
          <w:szCs w:val="24"/>
        </w:rPr>
        <w:lastRenderedPageBreak/>
        <w:t>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w:t>
      </w:r>
      <w:r w:rsidRPr="00DA36D2">
        <w:rPr>
          <w:szCs w:val="24"/>
        </w:rPr>
        <w:lastRenderedPageBreak/>
        <w:t>nurodyto Sutarties pažeidimo, nukentėjusi Šalis turi teisę bet kada, nedelsdama ir nesikreipdama į teismą ar kitą ginčus nagrinėjančią instituciją, vienašališkai nutraukti šią 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xml:space="preserve">) aplinkybes liudijančių pažymų išdavimo tvarkos patvirtinimo“. Esant nenugalimos jėgos aplinkybėms Sutarties Šalys Lietuvos Respublikos teisės aktuose nustatyta tvarka yra atleidžiamos nuo atsakomybės už Sutartyje numatytų </w:t>
      </w:r>
      <w:r w:rsidRPr="00DA36D2">
        <w:rPr>
          <w:szCs w:val="24"/>
        </w:rPr>
        <w:lastRenderedPageBreak/>
        <w:t>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atstovas: Vitalijus Aleksandrovas, el.p.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Užsakovo atstovas: Juozas Urbanavičius, el.p. juozas.urbanavicius@svencionys.lt,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 xml:space="preserve">asmenys, pasirašantys šią Sutartį, turi visus teisės aktų ir Šalių nustatyta tvarka tam tikslui išduotus reikalingus įgaliojimus ir patvirtinimus; ši Sutartis buvo tinkamai patvirtinta visų reikalingų kiekvienos iš Šalies valdymo organų; Šalių valdymo organų </w:t>
      </w:r>
      <w:r w:rsidRPr="00DA36D2">
        <w:rPr>
          <w:szCs w:val="24"/>
        </w:rPr>
        <w:lastRenderedPageBreak/>
        <w:t>sprendimai atitinka tikrovę, yra teisėtai priimti tam teises ir įgalinimus turinčių Šalių valdymo organų, kurie buvo sušaukti ir sprendimus priėmė, nepažeisdami teisės aktų ir 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Šios Sutarties Šalys Sutartį perskaitė, suprato jos turinį, pasekmes ir tai paliudydamos bei niekieno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a.s.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r w:rsidRPr="0008157B">
              <w:rPr>
                <w:rFonts w:eastAsia="Arial Unicode MS"/>
                <w:iCs/>
              </w:rPr>
              <w:t>Luminor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Jovita Rudėnienė</w:t>
            </w:r>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r w:rsidRPr="00D2764E">
              <w:rPr>
                <w:szCs w:val="24"/>
              </w:rPr>
              <w:t>a.s. LT96 4010 0424 0184 3784</w:t>
            </w:r>
          </w:p>
          <w:p w14:paraId="67063C69" w14:textId="77777777" w:rsidR="005C4402" w:rsidRDefault="005C4402" w:rsidP="00260E12">
            <w:pPr>
              <w:spacing w:after="0" w:line="240" w:lineRule="auto"/>
              <w:ind w:left="580"/>
              <w:rPr>
                <w:szCs w:val="24"/>
              </w:rPr>
            </w:pPr>
            <w:r w:rsidRPr="00D2764E">
              <w:rPr>
                <w:szCs w:val="24"/>
              </w:rPr>
              <w:t>Lumino</w:t>
            </w:r>
            <w:r>
              <w:rPr>
                <w:szCs w:val="24"/>
              </w:rPr>
              <w:t>r</w:t>
            </w:r>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112319"/>
    <w:rsid w:val="00152619"/>
    <w:rsid w:val="001D7D3C"/>
    <w:rsid w:val="00227F18"/>
    <w:rsid w:val="003B3FED"/>
    <w:rsid w:val="003E033C"/>
    <w:rsid w:val="003F7329"/>
    <w:rsid w:val="004B506F"/>
    <w:rsid w:val="005C4402"/>
    <w:rsid w:val="007420F5"/>
    <w:rsid w:val="00795D32"/>
    <w:rsid w:val="0087619D"/>
    <w:rsid w:val="009433CE"/>
    <w:rsid w:val="00A70C03"/>
    <w:rsid w:val="00A87971"/>
    <w:rsid w:val="00B664DE"/>
    <w:rsid w:val="00B91721"/>
    <w:rsid w:val="00DB1C66"/>
    <w:rsid w:val="00E16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19715</Words>
  <Characters>11238</Characters>
  <Application>Microsoft Office Word</Application>
  <DocSecurity>0</DocSecurity>
  <Lines>93</Lines>
  <Paragraphs>61</Paragraphs>
  <ScaleCrop>false</ScaleCrop>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2025-09-15T08:26:00Z</dcterms:created>
  <dcterms:modified xsi:type="dcterms:W3CDTF">2025-09-15T08:26:00Z</dcterms:modified>
</cp:coreProperties>
</file>