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48" w:rsidRPr="00CE52E6" w:rsidRDefault="005E4648" w:rsidP="005E4648">
      <w:pPr>
        <w:pStyle w:val="linija"/>
        <w:spacing w:before="0" w:beforeAutospacing="0" w:after="0" w:afterAutospacing="0"/>
      </w:pPr>
      <w:r w:rsidRPr="00CE52E6">
        <w:rPr>
          <w:b/>
        </w:rPr>
        <w:tab/>
      </w:r>
      <w:r w:rsidRPr="00CE52E6">
        <w:rPr>
          <w:b/>
        </w:rPr>
        <w:tab/>
      </w:r>
      <w:r w:rsidRPr="00CE52E6">
        <w:rPr>
          <w:b/>
        </w:rPr>
        <w:tab/>
      </w:r>
      <w:r w:rsidRPr="00CE52E6">
        <w:rPr>
          <w:b/>
        </w:rPr>
        <w:tab/>
      </w:r>
      <w:r w:rsidRPr="00CE52E6">
        <w:rPr>
          <w:b/>
        </w:rPr>
        <w:tab/>
      </w:r>
      <w:r w:rsidRPr="00CE52E6">
        <w:rPr>
          <w:b/>
        </w:rPr>
        <w:tab/>
      </w:r>
      <w:bookmarkStart w:id="0" w:name="_Hlk534773817"/>
    </w:p>
    <w:bookmarkEnd w:id="0"/>
    <w:p w:rsidR="005E4648" w:rsidRPr="00CE52E6" w:rsidRDefault="005E4648" w:rsidP="00CB1B55">
      <w:pPr>
        <w:rPr>
          <w:rFonts w:ascii="Times New Roman" w:hAnsi="Times New Roman" w:cs="Times New Roman"/>
          <w:b/>
          <w:sz w:val="24"/>
          <w:szCs w:val="24"/>
        </w:rPr>
      </w:pPr>
    </w:p>
    <w:p w:rsidR="005E4648" w:rsidRPr="00CE52E6" w:rsidRDefault="005E4648" w:rsidP="00CB1B55">
      <w:pPr>
        <w:rPr>
          <w:rFonts w:ascii="Times New Roman" w:hAnsi="Times New Roman" w:cs="Times New Roman"/>
          <w:b/>
          <w:sz w:val="24"/>
          <w:szCs w:val="24"/>
        </w:rPr>
      </w:pPr>
      <w:r w:rsidRPr="00CE52E6">
        <w:rPr>
          <w:rFonts w:ascii="Times New Roman" w:hAnsi="Times New Roman" w:cs="Times New Roman"/>
          <w:b/>
          <w:sz w:val="24"/>
          <w:szCs w:val="24"/>
        </w:rPr>
        <w:t xml:space="preserve">PANEVĖŽIO KASTYČIO </w:t>
      </w:r>
      <w:proofErr w:type="gramStart"/>
      <w:r w:rsidRPr="00CE52E6">
        <w:rPr>
          <w:rFonts w:ascii="Times New Roman" w:hAnsi="Times New Roman" w:cs="Times New Roman"/>
          <w:b/>
          <w:sz w:val="24"/>
          <w:szCs w:val="24"/>
        </w:rPr>
        <w:t>RAMANAUSKO  LOPŠELIS</w:t>
      </w:r>
      <w:proofErr w:type="gramEnd"/>
      <w:r w:rsidRPr="00CE52E6">
        <w:rPr>
          <w:rFonts w:ascii="Times New Roman" w:hAnsi="Times New Roman" w:cs="Times New Roman"/>
          <w:b/>
          <w:sz w:val="24"/>
          <w:szCs w:val="24"/>
        </w:rPr>
        <w:t xml:space="preserve">-DARŽELIS </w:t>
      </w:r>
    </w:p>
    <w:p w:rsidR="005E4648" w:rsidRPr="00CE52E6" w:rsidRDefault="005E4648" w:rsidP="00CB1B55">
      <w:pPr>
        <w:rPr>
          <w:rFonts w:ascii="Times New Roman" w:hAnsi="Times New Roman" w:cs="Times New Roman"/>
          <w:b/>
          <w:sz w:val="24"/>
          <w:szCs w:val="24"/>
        </w:rPr>
      </w:pPr>
      <w:r w:rsidRPr="00CE52E6"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5E4648" w:rsidRPr="00CE52E6" w:rsidRDefault="005E4648" w:rsidP="00CB1B55">
      <w:pPr>
        <w:rPr>
          <w:rFonts w:ascii="Times New Roman" w:hAnsi="Times New Roman" w:cs="Times New Roman"/>
          <w:b/>
          <w:sz w:val="24"/>
          <w:szCs w:val="24"/>
        </w:rPr>
      </w:pPr>
      <w:r w:rsidRPr="00CE52E6">
        <w:rPr>
          <w:rFonts w:ascii="Times New Roman" w:hAnsi="Times New Roman" w:cs="Times New Roman"/>
          <w:b/>
          <w:sz w:val="24"/>
          <w:szCs w:val="24"/>
        </w:rPr>
        <w:t>ŠVIEŽIA PAUKŠTIENA KODAS 15112100-7</w:t>
      </w:r>
    </w:p>
    <w:p w:rsidR="005E4648" w:rsidRPr="00CE52E6" w:rsidRDefault="005E4648" w:rsidP="00C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Prekės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įsigyjamos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perkančios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poreikį</w:t>
      </w:r>
      <w:proofErr w:type="spellEnd"/>
    </w:p>
    <w:p w:rsidR="005E4648" w:rsidRPr="00CE52E6" w:rsidRDefault="005E4648" w:rsidP="00C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52E6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orientaciniai</w:t>
      </w:r>
      <w:proofErr w:type="spellEnd"/>
    </w:p>
    <w:p w:rsidR="005E4648" w:rsidRPr="00CE52E6" w:rsidRDefault="00653F0B" w:rsidP="00C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2025-09</w:t>
      </w:r>
      <w:r w:rsidR="005E4648" w:rsidRPr="00CE52E6">
        <w:rPr>
          <w:rFonts w:ascii="Times New Roman" w:hAnsi="Times New Roman" w:cs="Times New Roman"/>
          <w:sz w:val="24"/>
          <w:szCs w:val="24"/>
        </w:rPr>
        <w:t>-</w:t>
      </w:r>
      <w:r w:rsidR="005E4648">
        <w:rPr>
          <w:rFonts w:ascii="Times New Roman" w:hAnsi="Times New Roman" w:cs="Times New Roman"/>
          <w:sz w:val="24"/>
          <w:szCs w:val="24"/>
        </w:rPr>
        <w:t>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69"/>
      </w:tblGrid>
      <w:tr w:rsidR="005E4648" w:rsidRPr="00CE52E6" w:rsidTr="00866E17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48" w:rsidRPr="00CE52E6" w:rsidTr="00866E17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48" w:rsidRPr="00CE52E6" w:rsidTr="00866E17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atsakingo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48" w:rsidRPr="00CE52E6" w:rsidTr="00866E17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48" w:rsidRPr="00CE52E6" w:rsidTr="00866E17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El.pašto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648" w:rsidRPr="00CE52E6" w:rsidRDefault="005E4648" w:rsidP="00CB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648" w:rsidRPr="00CE52E6" w:rsidRDefault="005E4648" w:rsidP="00CB1B55">
      <w:pPr>
        <w:rPr>
          <w:rFonts w:ascii="Times New Roman" w:hAnsi="Times New Roman" w:cs="Times New Roman"/>
          <w:b/>
          <w:sz w:val="24"/>
          <w:szCs w:val="24"/>
        </w:rPr>
      </w:pPr>
      <w:r w:rsidRPr="00CE52E6">
        <w:rPr>
          <w:rFonts w:ascii="Times New Roman" w:hAnsi="Times New Roman" w:cs="Times New Roman"/>
          <w:b/>
          <w:sz w:val="24"/>
          <w:szCs w:val="24"/>
        </w:rPr>
        <w:t>ŠVIEŽIA PAUKŠTIENA KODAS 15112100-7</w:t>
      </w:r>
    </w:p>
    <w:p w:rsidR="005E4648" w:rsidRPr="00CE52E6" w:rsidRDefault="005E4648" w:rsidP="00CB1B55">
      <w:pPr>
        <w:rPr>
          <w:rFonts w:ascii="Times New Roman" w:hAnsi="Times New Roman" w:cs="Times New Roman"/>
          <w:b/>
          <w:sz w:val="24"/>
          <w:szCs w:val="24"/>
        </w:rPr>
      </w:pPr>
      <w:r w:rsidRPr="00CE52E6">
        <w:rPr>
          <w:rFonts w:ascii="Times New Roman" w:hAnsi="Times New Roman" w:cs="Times New Roman"/>
          <w:b/>
          <w:sz w:val="24"/>
          <w:szCs w:val="24"/>
        </w:rPr>
        <w:t xml:space="preserve">PRELIMINARUS PIRKIMO PLANAS </w:t>
      </w:r>
      <w:bookmarkStart w:id="1" w:name="_Hlk534745223"/>
    </w:p>
    <w:tbl>
      <w:tblPr>
        <w:tblW w:w="10080" w:type="dxa"/>
        <w:tblInd w:w="93" w:type="dxa"/>
        <w:tblLayout w:type="fixed"/>
        <w:tblLook w:val="04A0"/>
      </w:tblPr>
      <w:tblGrid>
        <w:gridCol w:w="910"/>
        <w:gridCol w:w="2791"/>
        <w:gridCol w:w="1134"/>
        <w:gridCol w:w="1701"/>
        <w:gridCol w:w="1559"/>
        <w:gridCol w:w="1985"/>
      </w:tblGrid>
      <w:tr w:rsidR="005E4648" w:rsidRPr="00CE52E6" w:rsidTr="00866E17">
        <w:trPr>
          <w:trHeight w:val="15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Eil.Nr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vnt</w:t>
            </w:r>
            <w:proofErr w:type="spellEnd"/>
            <w:proofErr w:type="gram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Preliminarus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kiekis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per 3</w:t>
            </w:r>
            <w:r w:rsidR="005E4648"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5E4648"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   </w:t>
            </w:r>
          </w:p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Kaina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vieneto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Eur</w:t>
            </w:r>
            <w:proofErr w:type="gram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PVM)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Suma, Eur.</w:t>
            </w:r>
          </w:p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PVM)</w:t>
            </w:r>
          </w:p>
        </w:tc>
      </w:tr>
      <w:tr w:rsidR="005E4648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Vištienos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filė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krūtinėlės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934,70</w:t>
            </w:r>
          </w:p>
        </w:tc>
      </w:tr>
      <w:tr w:rsidR="005E4648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Kalakutų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krūtinėlės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84069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558,00</w:t>
            </w:r>
          </w:p>
        </w:tc>
      </w:tr>
      <w:tr w:rsidR="005E4648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Vištienos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šlaunelių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mėsa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40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383,90</w:t>
            </w:r>
          </w:p>
        </w:tc>
      </w:tr>
      <w:tr w:rsidR="005E4648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Kalakutų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šlaunelių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mėsa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40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4C6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523,60</w:t>
            </w:r>
          </w:p>
        </w:tc>
      </w:tr>
      <w:tr w:rsidR="005E4648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48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280</w:t>
            </w:r>
            <w:r w:rsidR="005E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648" w:rsidRPr="00CE52E6" w:rsidRDefault="005E4648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DC04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2400,20</w:t>
            </w:r>
          </w:p>
        </w:tc>
      </w:tr>
      <w:bookmarkEnd w:id="1"/>
    </w:tbl>
    <w:p w:rsidR="005E4648" w:rsidRPr="00CE52E6" w:rsidRDefault="005E4648" w:rsidP="00CB1B55">
      <w:pPr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5E4648" w:rsidRPr="00CE52E6" w:rsidRDefault="005E4648" w:rsidP="00CB1B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52E6">
        <w:rPr>
          <w:rFonts w:ascii="Times New Roman" w:hAnsi="Times New Roman" w:cs="Times New Roman"/>
          <w:sz w:val="24"/>
          <w:szCs w:val="24"/>
        </w:rPr>
        <w:t>Bendra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kaina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PVM </w:t>
      </w:r>
      <w:r w:rsidR="00DC04C6">
        <w:rPr>
          <w:rFonts w:ascii="Times New Roman" w:hAnsi="Times New Roman" w:cs="Times New Roman"/>
          <w:sz w:val="24"/>
          <w:szCs w:val="24"/>
        </w:rPr>
        <w:t>2400</w:t>
      </w:r>
      <w:proofErr w:type="gramStart"/>
      <w:r w:rsidR="00DC04C6">
        <w:rPr>
          <w:rFonts w:ascii="Times New Roman" w:hAnsi="Times New Roman" w:cs="Times New Roman"/>
          <w:sz w:val="24"/>
          <w:szCs w:val="24"/>
        </w:rPr>
        <w:t>,20</w:t>
      </w:r>
      <w:proofErr w:type="gram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DC04C6">
        <w:rPr>
          <w:rFonts w:ascii="Times New Roman" w:hAnsi="Times New Roman" w:cs="Times New Roman"/>
          <w:sz w:val="24"/>
          <w:szCs w:val="24"/>
        </w:rPr>
        <w:t>du</w:t>
      </w:r>
      <w:proofErr w:type="gram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tūkstančiai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keturi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šimtai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>. 20 ct</w:t>
      </w:r>
      <w:r w:rsidRPr="00CE52E6">
        <w:rPr>
          <w:rFonts w:ascii="Times New Roman" w:hAnsi="Times New Roman" w:cs="Times New Roman"/>
          <w:sz w:val="24"/>
          <w:szCs w:val="24"/>
        </w:rPr>
        <w:t>.</w:t>
      </w:r>
    </w:p>
    <w:p w:rsidR="005E4648" w:rsidRPr="00CE52E6" w:rsidRDefault="005E4648" w:rsidP="00CB1B55">
      <w:pPr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CE52E6">
        <w:rPr>
          <w:rFonts w:ascii="Times New Roman" w:hAnsi="Times New Roman" w:cs="Times New Roman"/>
          <w:sz w:val="24"/>
          <w:szCs w:val="24"/>
        </w:rPr>
        <w:t xml:space="preserve">Į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šią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sumą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įeina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išlaidos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mokesčiai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</w:t>
      </w:r>
      <w:r w:rsidR="00DC04C6">
        <w:rPr>
          <w:rFonts w:ascii="Times New Roman" w:hAnsi="Times New Roman" w:cs="Times New Roman"/>
          <w:sz w:val="24"/>
          <w:szCs w:val="24"/>
        </w:rPr>
        <w:t>aip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pat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PVM, kuris </w:t>
      </w:r>
      <w:proofErr w:type="spellStart"/>
      <w:proofErr w:type="gramStart"/>
      <w:r w:rsidR="00DC04C6">
        <w:rPr>
          <w:rFonts w:ascii="Times New Roman" w:hAnsi="Times New Roman" w:cs="Times New Roman"/>
          <w:sz w:val="24"/>
          <w:szCs w:val="24"/>
        </w:rPr>
        <w:t>sudaro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 416,56</w:t>
      </w:r>
      <w:proofErr w:type="gram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r w:rsidRPr="00CE52E6">
        <w:rPr>
          <w:rFonts w:ascii="Times New Roman" w:hAnsi="Times New Roman" w:cs="Times New Roman"/>
          <w:sz w:val="24"/>
          <w:szCs w:val="24"/>
        </w:rPr>
        <w:t>Eur.</w:t>
      </w:r>
      <w:r w:rsidR="00DC04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keturi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šimtai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šešiolika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4C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C04C6">
        <w:rPr>
          <w:rFonts w:ascii="Times New Roman" w:hAnsi="Times New Roman" w:cs="Times New Roman"/>
          <w:sz w:val="24"/>
          <w:szCs w:val="24"/>
        </w:rPr>
        <w:t>. 56ct.)</w:t>
      </w:r>
    </w:p>
    <w:p w:rsidR="005E4648" w:rsidRPr="00CE52E6" w:rsidRDefault="005E4648" w:rsidP="00CB1B55">
      <w:pPr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5E4648" w:rsidRPr="00CE52E6" w:rsidRDefault="005E4648" w:rsidP="00CB1B5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E52E6">
        <w:rPr>
          <w:rFonts w:ascii="Times New Roman" w:hAnsi="Times New Roman" w:cs="Times New Roman"/>
          <w:b/>
          <w:i/>
          <w:sz w:val="24"/>
          <w:szCs w:val="24"/>
        </w:rPr>
        <w:lastRenderedPageBreak/>
        <w:t>Reikalavimai</w:t>
      </w:r>
      <w:proofErr w:type="spellEnd"/>
      <w:r w:rsidRPr="00CE52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b/>
          <w:i/>
          <w:sz w:val="24"/>
          <w:szCs w:val="24"/>
        </w:rPr>
        <w:t>teikiamai</w:t>
      </w:r>
      <w:proofErr w:type="spellEnd"/>
      <w:r w:rsidRPr="00CE52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b/>
          <w:i/>
          <w:sz w:val="24"/>
          <w:szCs w:val="24"/>
        </w:rPr>
        <w:t>produkcijai</w:t>
      </w:r>
      <w:proofErr w:type="spellEnd"/>
      <w:r w:rsidRPr="00CE52E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E4648" w:rsidRPr="00CE52E6" w:rsidRDefault="005E4648" w:rsidP="00CB1B55">
      <w:pPr>
        <w:numPr>
          <w:ilvl w:val="0"/>
          <w:numId w:val="1"/>
        </w:numPr>
        <w:tabs>
          <w:tab w:val="left" w:pos="9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52E6">
        <w:rPr>
          <w:rFonts w:ascii="Times New Roman" w:hAnsi="Times New Roman" w:cs="Times New Roman"/>
          <w:sz w:val="24"/>
          <w:szCs w:val="24"/>
        </w:rPr>
        <w:t>Maisto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produktai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švieži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kokybiški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galiojančius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standartus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>.</w:t>
      </w:r>
    </w:p>
    <w:p w:rsidR="005E4648" w:rsidRPr="00CE52E6" w:rsidRDefault="005E4648" w:rsidP="00CB1B55">
      <w:pPr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52E6">
        <w:rPr>
          <w:rFonts w:ascii="Times New Roman" w:hAnsi="Times New Roman" w:cs="Times New Roman"/>
          <w:sz w:val="24"/>
          <w:szCs w:val="24"/>
        </w:rPr>
        <w:t>Nurodyti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prekės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realizacijos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kainą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PVM (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eurais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b/>
          <w:sz w:val="24"/>
          <w:szCs w:val="24"/>
        </w:rPr>
        <w:t>bendra</w:t>
      </w:r>
      <w:proofErr w:type="spellEnd"/>
      <w:r w:rsidRPr="00CE52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b/>
          <w:sz w:val="24"/>
          <w:szCs w:val="24"/>
        </w:rPr>
        <w:t>suma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52E6">
        <w:rPr>
          <w:rFonts w:ascii="Times New Roman" w:hAnsi="Times New Roman" w:cs="Times New Roman"/>
          <w:sz w:val="24"/>
          <w:szCs w:val="24"/>
        </w:rPr>
        <w:t>dalis</w:t>
      </w:r>
      <w:proofErr w:type="spellEnd"/>
      <w:proofErr w:type="gramEnd"/>
      <w:r w:rsidRPr="00CE52E6">
        <w:rPr>
          <w:rFonts w:ascii="Times New Roman" w:hAnsi="Times New Roman" w:cs="Times New Roman"/>
          <w:sz w:val="24"/>
          <w:szCs w:val="24"/>
        </w:rPr>
        <w:t xml:space="preserve">. Į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prekės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kainą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įskaitytos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išlaidos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susijusios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realizavimu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transportavimu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mokesčiais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>.</w:t>
      </w:r>
    </w:p>
    <w:p w:rsidR="005E4648" w:rsidRPr="00CE52E6" w:rsidRDefault="005E4648" w:rsidP="00CB1B55">
      <w:pPr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Prekes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pateiktą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paraišką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pristatyti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transportu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Vilties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g. 18a,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Vilties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g. 10 </w:t>
      </w:r>
      <w:proofErr w:type="spellStart"/>
      <w:r w:rsidR="00840696"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 w:rsidR="00840696">
        <w:rPr>
          <w:rFonts w:ascii="Times New Roman" w:hAnsi="Times New Roman" w:cs="Times New Roman"/>
          <w:sz w:val="24"/>
          <w:szCs w:val="24"/>
        </w:rPr>
        <w:t xml:space="preserve"> LT-35129, </w:t>
      </w:r>
      <w:proofErr w:type="spellStart"/>
      <w:r w:rsidR="00840696"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 w:rsidR="00840696">
        <w:rPr>
          <w:rFonts w:ascii="Times New Roman" w:hAnsi="Times New Roman" w:cs="Times New Roman"/>
          <w:sz w:val="24"/>
          <w:szCs w:val="24"/>
        </w:rPr>
        <w:t>, 2</w:t>
      </w:r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kartus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savaitę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sutartomis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savaitės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dienomis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6.30 val. </w:t>
      </w:r>
      <w:proofErr w:type="spellStart"/>
      <w:r w:rsidRPr="00CE52E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CE52E6">
        <w:rPr>
          <w:rFonts w:ascii="Times New Roman" w:hAnsi="Times New Roman" w:cs="Times New Roman"/>
          <w:sz w:val="24"/>
          <w:szCs w:val="24"/>
        </w:rPr>
        <w:t xml:space="preserve"> 8.00 </w:t>
      </w:r>
      <w:proofErr w:type="gramStart"/>
      <w:r w:rsidRPr="00CE52E6">
        <w:rPr>
          <w:rFonts w:ascii="Times New Roman" w:hAnsi="Times New Roman" w:cs="Times New Roman"/>
          <w:sz w:val="24"/>
          <w:szCs w:val="24"/>
        </w:rPr>
        <w:t>val</w:t>
      </w:r>
      <w:proofErr w:type="gramEnd"/>
      <w:r w:rsidRPr="00CE52E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Look w:val="01E0"/>
      </w:tblPr>
      <w:tblGrid>
        <w:gridCol w:w="3284"/>
        <w:gridCol w:w="604"/>
        <w:gridCol w:w="1980"/>
        <w:gridCol w:w="701"/>
        <w:gridCol w:w="2611"/>
        <w:gridCol w:w="648"/>
      </w:tblGrid>
      <w:tr w:rsidR="005E4648" w:rsidRPr="00CE52E6" w:rsidTr="00866E17">
        <w:trPr>
          <w:trHeight w:val="324"/>
        </w:trPr>
        <w:tc>
          <w:tcPr>
            <w:tcW w:w="9828" w:type="dxa"/>
            <w:gridSpan w:val="6"/>
          </w:tcPr>
          <w:p w:rsidR="005E4648" w:rsidRPr="00CE52E6" w:rsidRDefault="005E4648" w:rsidP="00CB1B55">
            <w:pPr>
              <w:suppressAutoHyphens/>
              <w:ind w:right="-108" w:firstLine="7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Pasiūlymas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galioja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termino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nustatyto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dokumentuose</w:t>
            </w:r>
            <w:proofErr w:type="spellEnd"/>
            <w:r w:rsidRPr="00CE5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648" w:rsidRPr="00CE52E6" w:rsidTr="00866E17">
        <w:tblPrEx>
          <w:tblLook w:val="00A0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E4648" w:rsidRPr="00CE52E6" w:rsidTr="00723336">
        <w:tblPrEx>
          <w:tblLook w:val="00A0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648" w:rsidRPr="00CE52E6" w:rsidRDefault="005E4648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</w:t>
            </w:r>
            <w:proofErr w:type="spellStart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Parašas</w:t>
            </w:r>
            <w:proofErr w:type="spellEnd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:rsidR="005E4648" w:rsidRPr="00CE52E6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648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</w:t>
            </w:r>
            <w:proofErr w:type="spellStart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Vardas</w:t>
            </w:r>
            <w:proofErr w:type="spellEnd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ir</w:t>
            </w:r>
            <w:proofErr w:type="spellEnd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pavardė</w:t>
            </w:r>
            <w:proofErr w:type="spellEnd"/>
            <w:r w:rsidRPr="00CE52E6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)</w:t>
            </w:r>
          </w:p>
          <w:p w:rsidR="00723336" w:rsidRPr="00CE52E6" w:rsidRDefault="00723336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</w:tcPr>
          <w:p w:rsidR="005E4648" w:rsidRDefault="005E4648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53F0B" w:rsidRDefault="00653F0B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53F0B" w:rsidRPr="00CE52E6" w:rsidRDefault="00653F0B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3336" w:rsidRPr="00CE52E6" w:rsidTr="00866E17">
        <w:tblPrEx>
          <w:tblLook w:val="00A0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  <w:p w:rsidR="00723336" w:rsidRPr="00CE52E6" w:rsidRDefault="00723336" w:rsidP="00CB1B55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</w:p>
        </w:tc>
        <w:tc>
          <w:tcPr>
            <w:tcW w:w="604" w:type="dxa"/>
          </w:tcPr>
          <w:p w:rsidR="00723336" w:rsidRPr="00CE52E6" w:rsidRDefault="00723336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3336" w:rsidRPr="00CE52E6" w:rsidRDefault="0072333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701" w:type="dxa"/>
          </w:tcPr>
          <w:p w:rsidR="00723336" w:rsidRPr="00CE52E6" w:rsidRDefault="00723336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3336" w:rsidRDefault="0072333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840696" w:rsidRPr="00CE52E6" w:rsidRDefault="00840696" w:rsidP="00CB1B55">
            <w:pPr>
              <w:suppressAutoHyphens/>
              <w:ind w:right="-1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648" w:type="dxa"/>
          </w:tcPr>
          <w:p w:rsidR="00723336" w:rsidRDefault="00723336" w:rsidP="00CB1B55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53F0B" w:rsidRPr="00CE52E6" w:rsidRDefault="00653F0B" w:rsidP="00CB1B55">
      <w:pPr>
        <w:pStyle w:val="linija"/>
        <w:spacing w:before="0" w:beforeAutospacing="0" w:after="0" w:afterAutospacing="0"/>
      </w:pPr>
      <w:r w:rsidRPr="00CE52E6">
        <w:lastRenderedPageBreak/>
        <w:tab/>
      </w:r>
      <w:bookmarkStart w:id="2" w:name="_Hlk534774171"/>
    </w:p>
    <w:p w:rsidR="00653F0B" w:rsidRPr="00CE52E6" w:rsidRDefault="00653F0B" w:rsidP="00CB1B55">
      <w:pPr>
        <w:pStyle w:val="linija"/>
        <w:spacing w:before="0" w:beforeAutospacing="0" w:after="0" w:afterAutospacing="0"/>
      </w:pPr>
      <w:r>
        <w:t xml:space="preserve">                                                                                                                        </w:t>
      </w:r>
    </w:p>
    <w:p w:rsidR="00653F0B" w:rsidRPr="00CE52E6" w:rsidRDefault="00653F0B" w:rsidP="00CB1B5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534774743"/>
      <w:bookmarkStart w:id="4" w:name="_Hlk534773925"/>
      <w:bookmarkEnd w:id="2"/>
      <w:r w:rsidRPr="00CE52E6">
        <w:rPr>
          <w:rFonts w:ascii="Times New Roman" w:hAnsi="Times New Roman" w:cs="Times New Roman"/>
          <w:b/>
          <w:sz w:val="24"/>
          <w:szCs w:val="24"/>
        </w:rPr>
        <w:t xml:space="preserve">ŠVIEŽIOS PAUKŠTIENOS </w:t>
      </w:r>
      <w:r w:rsidRPr="00CE52E6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  <w:bookmarkEnd w:id="3"/>
    </w:p>
    <w:p w:rsidR="00653F0B" w:rsidRPr="00CE52E6" w:rsidRDefault="00653F0B" w:rsidP="00CB1B5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534774757"/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534745684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1.Visos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prekės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privalo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atitikti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Maitinimo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organizavimo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ikimokyklinio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ugdymo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bendrojo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ugdymo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mokyklose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socialinės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įstaigose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tvarkos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apraše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patvirtintame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Respublikos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sveikatos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apsaugos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2011 m.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lapkričio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11 d.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įsakymu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Nr. V-964 (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aktuali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redakcija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kituose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teisės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aktuose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įtvirtintus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1.1. 2011 m.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spalio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25 d.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Europos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Parlamento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reglamentas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(ES) Nr. 1169/2011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informacijos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maistą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teikimo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vartotojams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>1.2. HN 15:2005 „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Maisto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higiena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1.3. 2004 m.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balandžio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29 d.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Europos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Parlamento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reglamentas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(EB) Nr. 852/2004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maisto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produktų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higienos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1.4. 2006 m.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gruodžio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19 d.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Komisijos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reglamentas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(EB) Nr. 1881/2006,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nustatantis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didžiausias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leistinas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tikrų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teršalų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maisto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produktuose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koncentracijas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1.5. 2008 m.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liepos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31 d.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Komisijos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Reglamentas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(EB) Nr. 839/2008,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kuriuo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dalies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keičiamos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Europos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Parlamento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(EB) Nr. 396/2005 II, III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priedų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nuostatos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didžiausių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pesticidų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likučių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kiekių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tikruose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produktuose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ant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Ekologiški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maisto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produktai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sertifikuoti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(EB) Nr. 834/2007,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(EB) Nr. 889/2008, 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Ekologinio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ūkio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taisyklių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Codex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Standart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for Named Vegetable Oils (CODEX STAN 210-1999).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>Pristatoma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>su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>trumpesniu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>nei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2/3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>viso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>termino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4"/>
    <w:bookmarkEnd w:id="5"/>
    <w:bookmarkEnd w:id="6"/>
    <w:p w:rsidR="00653F0B" w:rsidRPr="00CE52E6" w:rsidRDefault="00653F0B" w:rsidP="00CB1B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21" w:type="dxa"/>
        <w:tblInd w:w="93" w:type="dxa"/>
        <w:tblLayout w:type="fixed"/>
        <w:tblLook w:val="04A0"/>
      </w:tblPr>
      <w:tblGrid>
        <w:gridCol w:w="910"/>
        <w:gridCol w:w="2345"/>
        <w:gridCol w:w="3706"/>
        <w:gridCol w:w="1276"/>
        <w:gridCol w:w="1984"/>
      </w:tblGrid>
      <w:tr w:rsidR="00653F0B" w:rsidRPr="00CE52E6" w:rsidTr="00866E17">
        <w:trPr>
          <w:trHeight w:val="15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Eil.Nr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Reikalavimai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prekei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techninė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specifikacija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vnt</w:t>
            </w:r>
            <w:proofErr w:type="spellEnd"/>
            <w:proofErr w:type="gram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Preliminarus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kiekis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per 12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mėnesius</w:t>
            </w:r>
            <w:proofErr w:type="spellEnd"/>
          </w:p>
        </w:tc>
      </w:tr>
      <w:tr w:rsidR="00653F0B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Vištienos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filė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krūtinėlės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Aukščiausia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rūšis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atvėsintos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kaulo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odos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vidinės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filė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nevakumuotos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sveriamos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standartinio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dydžio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švariu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lygiu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paviršiumi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dėmių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mechaninių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pažeidimų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</w:tr>
      <w:tr w:rsidR="00653F0B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Kalakutų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krūtinėlės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filė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Aukščiausia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rūšis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atvėsintos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kaulo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odos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nevakumuotos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sveriamos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standartinio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dydžio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švariu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lygiu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paviršiumi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dėmių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mechaninių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pažeidimų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</w:tr>
      <w:tr w:rsidR="00653F0B" w:rsidRPr="00CE52E6" w:rsidTr="00866E17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Vištienos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šlaunelių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mėsa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Aukščiausia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rūšis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atvėsintos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kaulo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odos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nevakumuotos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proofErr w:type="gram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sveriamos</w:t>
            </w:r>
            <w:proofErr w:type="spellEnd"/>
            <w:proofErr w:type="gram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  <w:tr w:rsidR="00653F0B" w:rsidRPr="00CE52E6" w:rsidTr="00866E17">
        <w:trPr>
          <w:trHeight w:val="89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Kalakutų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šlaunelių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mėsa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Aukščiausia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rūšis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atvėsintos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kaulo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be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odos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nevakumuotos</w:t>
            </w:r>
            <w:proofErr w:type="spellEnd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sveriamos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653F0B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2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0B" w:rsidRPr="00CE52E6" w:rsidRDefault="00DC04C6" w:rsidP="00CB1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</w:tbl>
    <w:p w:rsidR="00653F0B" w:rsidRPr="00CE52E6" w:rsidRDefault="00653F0B" w:rsidP="00CB1B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52E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bookmarkStart w:id="7" w:name="_Hlk534774800"/>
    </w:p>
    <w:p w:rsidR="00653F0B" w:rsidRPr="00CE52E6" w:rsidRDefault="00653F0B" w:rsidP="00CB1B5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_Hlk534773982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Pagrindiniai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ženklinimo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reikalavimai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2.1.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Žaliavos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ženklinimo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etiketėje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pateikta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privaloma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informacija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2.1.1.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Pavadinimas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2.1.2.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Grynasis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kiekis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2.1.3</w:t>
      </w:r>
      <w:proofErr w:type="gram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Gamintojas</w:t>
      </w:r>
      <w:proofErr w:type="spellEnd"/>
      <w:proofErr w:type="gram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pardavėjas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),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adresas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Transportuojama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švariomis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maisto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produktams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pritaikytomis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reikalingą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temperatūrą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palaikančiomis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transporto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priemonėmis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proofErr w:type="gram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Nėra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papildomai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apdorota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cheminėmis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medžiagomis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proofErr w:type="gramEnd"/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653F0B" w:rsidRPr="00CE52E6" w:rsidRDefault="00653F0B" w:rsidP="00CB1B55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Pakuotė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supakuota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saugiai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apsaugant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žaliavą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galimos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taršos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išorės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proofErr w:type="gram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Pakavimo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medžiaga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pritaikyta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pakuoti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maisto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produktus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esant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poreikiui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pateikiama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atitikties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deklaraciją</w:t>
      </w:r>
      <w:proofErr w:type="spellEnd"/>
      <w:r w:rsidRPr="00CE52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  <w:proofErr w:type="gramEnd"/>
    </w:p>
    <w:p w:rsidR="00653F0B" w:rsidRPr="00CE52E6" w:rsidRDefault="00653F0B" w:rsidP="00CB1B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F0B" w:rsidRPr="00CE52E6" w:rsidRDefault="00653F0B" w:rsidP="00CB1B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Esant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nekokybiškai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produkcijai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pasibaigęs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galiojimo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laikas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pažeista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pakuotė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netinkama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produkto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temperatūra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nešvari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52E6">
        <w:rPr>
          <w:rFonts w:ascii="Times New Roman" w:eastAsia="Times New Roman" w:hAnsi="Times New Roman" w:cs="Times New Roman"/>
          <w:sz w:val="24"/>
          <w:szCs w:val="24"/>
        </w:rPr>
        <w:t>tara</w:t>
      </w:r>
      <w:proofErr w:type="spellEnd"/>
      <w:proofErr w:type="gram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pirkėjas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teisę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gražinti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produkciją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tiekėjas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privalo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trūkumus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2E6">
        <w:rPr>
          <w:rFonts w:ascii="Times New Roman" w:eastAsia="Times New Roman" w:hAnsi="Times New Roman" w:cs="Times New Roman"/>
          <w:sz w:val="24"/>
          <w:szCs w:val="24"/>
        </w:rPr>
        <w:t>ištaisyti</w:t>
      </w:r>
      <w:proofErr w:type="spellEnd"/>
      <w:r w:rsidRPr="00CE5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bookmarkEnd w:id="8"/>
    <w:p w:rsidR="00653F0B" w:rsidRPr="00CE52E6" w:rsidRDefault="00653F0B" w:rsidP="00CB1B5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53F0B" w:rsidRPr="00CE52E6" w:rsidRDefault="00653F0B" w:rsidP="00CB1B55">
      <w:pPr>
        <w:rPr>
          <w:rFonts w:ascii="Times New Roman" w:hAnsi="Times New Roman" w:cs="Times New Roman"/>
          <w:sz w:val="24"/>
          <w:szCs w:val="24"/>
        </w:rPr>
      </w:pPr>
    </w:p>
    <w:p w:rsidR="00653F0B" w:rsidRPr="00CE52E6" w:rsidRDefault="00653F0B" w:rsidP="00CB1B55">
      <w:pPr>
        <w:rPr>
          <w:rFonts w:ascii="Times New Roman" w:hAnsi="Times New Roman" w:cs="Times New Roman"/>
          <w:sz w:val="24"/>
          <w:szCs w:val="24"/>
        </w:rPr>
      </w:pPr>
    </w:p>
    <w:p w:rsidR="00653F0B" w:rsidRPr="00CE52E6" w:rsidRDefault="00653F0B" w:rsidP="00653F0B">
      <w:pPr>
        <w:rPr>
          <w:rFonts w:ascii="Times New Roman" w:hAnsi="Times New Roman" w:cs="Times New Roman"/>
          <w:sz w:val="24"/>
          <w:szCs w:val="24"/>
        </w:rPr>
      </w:pPr>
    </w:p>
    <w:p w:rsidR="002139CE" w:rsidRDefault="002139CE"/>
    <w:sectPr w:rsidR="002139CE" w:rsidSect="005E4648">
      <w:pgSz w:w="12240" w:h="15840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5235D"/>
    <w:multiLevelType w:val="hybridMultilevel"/>
    <w:tmpl w:val="656EC0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E133E"/>
    <w:multiLevelType w:val="hybridMultilevel"/>
    <w:tmpl w:val="D2DE0A14"/>
    <w:lvl w:ilvl="0" w:tplc="FCEEF24C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E4648"/>
    <w:rsid w:val="002139CE"/>
    <w:rsid w:val="00316F6E"/>
    <w:rsid w:val="005E4648"/>
    <w:rsid w:val="00653F0B"/>
    <w:rsid w:val="00723336"/>
    <w:rsid w:val="00840696"/>
    <w:rsid w:val="00C555D3"/>
    <w:rsid w:val="00C93744"/>
    <w:rsid w:val="00CB1B55"/>
    <w:rsid w:val="00DC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55D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E4648"/>
    <w:pPr>
      <w:tabs>
        <w:tab w:val="center" w:pos="4819"/>
        <w:tab w:val="right" w:pos="9638"/>
      </w:tabs>
      <w:spacing w:after="0" w:line="360" w:lineRule="auto"/>
      <w:jc w:val="both"/>
    </w:pPr>
    <w:rPr>
      <w:rFonts w:ascii="Times New Roman" w:eastAsia="Calibri" w:hAnsi="Times New Roman" w:cs="Times New Roman"/>
      <w:sz w:val="24"/>
      <w:szCs w:val="20"/>
      <w:lang w:val="lt-LT" w:bidi="he-IL"/>
    </w:rPr>
  </w:style>
  <w:style w:type="character" w:customStyle="1" w:styleId="AntratsDiagrama">
    <w:name w:val="Antraštės Diagrama"/>
    <w:basedOn w:val="Numatytasispastraiposriftas"/>
    <w:link w:val="Antrats"/>
    <w:rsid w:val="005E4648"/>
    <w:rPr>
      <w:rFonts w:ascii="Times New Roman" w:eastAsia="Calibri" w:hAnsi="Times New Roman" w:cs="Times New Roman"/>
      <w:sz w:val="24"/>
      <w:szCs w:val="20"/>
      <w:lang w:val="lt-LT" w:bidi="he-IL"/>
    </w:rPr>
  </w:style>
  <w:style w:type="character" w:customStyle="1" w:styleId="BodytextChar">
    <w:name w:val="Body text Char"/>
    <w:link w:val="BodyText1"/>
    <w:locked/>
    <w:rsid w:val="005E4648"/>
    <w:rPr>
      <w:rFonts w:ascii="TimesLT" w:eastAsia="Calibri" w:hAnsi="TimesLT"/>
    </w:rPr>
  </w:style>
  <w:style w:type="paragraph" w:customStyle="1" w:styleId="BodyText1">
    <w:name w:val="Body Text1"/>
    <w:link w:val="BodytextChar"/>
    <w:rsid w:val="005E4648"/>
    <w:pPr>
      <w:snapToGrid w:val="0"/>
      <w:spacing w:after="0" w:line="240" w:lineRule="auto"/>
      <w:ind w:firstLine="312"/>
      <w:jc w:val="both"/>
    </w:pPr>
    <w:rPr>
      <w:rFonts w:ascii="TimesLT" w:eastAsia="Calibri" w:hAnsi="TimesLT"/>
    </w:rPr>
  </w:style>
  <w:style w:type="paragraph" w:customStyle="1" w:styleId="linija">
    <w:name w:val="linija"/>
    <w:basedOn w:val="prastasis"/>
    <w:rsid w:val="005E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4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Aukletoja</dc:creator>
  <cp:keywords/>
  <dc:description/>
  <cp:lastModifiedBy>Aukletoja</cp:lastModifiedBy>
  <cp:revision>7</cp:revision>
  <dcterms:created xsi:type="dcterms:W3CDTF">2025-08-28T11:22:00Z</dcterms:created>
  <dcterms:modified xsi:type="dcterms:W3CDTF">2025-09-18T11:30:00Z</dcterms:modified>
</cp:coreProperties>
</file>