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DB0B455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AF2264">
        <w:rPr>
          <w:lang w:val="lt-LT"/>
        </w:rPr>
        <w:t xml:space="preserve">rugsėjo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14D5AC29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E67A45">
        <w:rPr>
          <w:lang w:val="lt-LT"/>
        </w:rPr>
        <w:t>mero patarėjo Vinco Urbonavičiaus, pavaduojančio administracijos direktorių ir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1EE68D05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A21094">
        <w:rPr>
          <w:b/>
          <w:bCs/>
          <w:i/>
          <w:iCs/>
          <w:lang w:val="lt-LT"/>
        </w:rPr>
        <w:t>Vytauto</w:t>
      </w:r>
      <w:r w:rsidR="00AF2264" w:rsidRPr="00AF2264">
        <w:rPr>
          <w:b/>
          <w:bCs/>
          <w:i/>
          <w:iCs/>
          <w:lang w:val="lt-LT"/>
        </w:rPr>
        <w:t xml:space="preserve"> </w:t>
      </w:r>
      <w:r w:rsidR="0084722D" w:rsidRPr="0084722D">
        <w:rPr>
          <w:b/>
          <w:bCs/>
          <w:i/>
          <w:iCs/>
          <w:lang w:val="lt-LT"/>
        </w:rPr>
        <w:t>gatvės</w:t>
      </w:r>
      <w:r w:rsidR="00A21094">
        <w:rPr>
          <w:b/>
          <w:bCs/>
          <w:i/>
          <w:iCs/>
          <w:lang w:val="lt-LT"/>
        </w:rPr>
        <w:t xml:space="preserve"> atkarpos nuo P. Višinskio iki Tilžės g.</w:t>
      </w:r>
      <w:r w:rsidR="0084722D" w:rsidRPr="0084722D">
        <w:rPr>
          <w:b/>
          <w:bCs/>
          <w:i/>
          <w:iCs/>
          <w:lang w:val="lt-LT"/>
        </w:rPr>
        <w:t>, Šiauliuose</w:t>
      </w:r>
      <w:r w:rsidR="00AF2264">
        <w:rPr>
          <w:b/>
          <w:bCs/>
          <w:i/>
          <w:iCs/>
          <w:lang w:val="lt-LT"/>
        </w:rPr>
        <w:t xml:space="preserve"> </w:t>
      </w:r>
      <w:r w:rsidR="0084722D" w:rsidRPr="0084722D">
        <w:rPr>
          <w:b/>
          <w:bCs/>
          <w:i/>
          <w:iCs/>
          <w:lang w:val="lt-LT"/>
        </w:rPr>
        <w:t xml:space="preserve">paprastojo remonto </w:t>
      </w:r>
      <w:r w:rsidR="005A5AB8" w:rsidRPr="005A5AB8">
        <w:rPr>
          <w:b/>
          <w:bCs/>
          <w:i/>
          <w:iCs/>
          <w:lang w:val="lt-LT"/>
        </w:rPr>
        <w:t>aprašo Nr. 38</w:t>
      </w:r>
      <w:r w:rsidR="00B86E9F">
        <w:rPr>
          <w:b/>
          <w:bCs/>
          <w:i/>
          <w:iCs/>
          <w:lang w:val="lt-LT"/>
        </w:rPr>
        <w:t>0</w:t>
      </w:r>
      <w:r w:rsidR="005A5AB8" w:rsidRPr="005A5AB8">
        <w:rPr>
          <w:b/>
          <w:bCs/>
          <w:i/>
          <w:iCs/>
          <w:lang w:val="lt-LT"/>
        </w:rPr>
        <w:t xml:space="preserve">-00-PRA </w:t>
      </w:r>
      <w:r w:rsidR="00E55579" w:rsidRPr="00D12251">
        <w:rPr>
          <w:lang w:val="lt-LT"/>
        </w:rPr>
        <w:t xml:space="preserve">rangos darbų techninės priežiūros vykdymas pagal </w:t>
      </w:r>
      <w:r w:rsidR="005A0377" w:rsidRPr="00684BC6">
        <w:rPr>
          <w:lang w:val="lt-LT"/>
        </w:rPr>
        <w:t>202</w:t>
      </w:r>
      <w:r w:rsidR="001A7C1F">
        <w:rPr>
          <w:lang w:val="lt-LT"/>
        </w:rPr>
        <w:t>5-0</w:t>
      </w:r>
      <w:r w:rsidR="00AF2264">
        <w:rPr>
          <w:lang w:val="lt-LT"/>
        </w:rPr>
        <w:t>2-13</w:t>
      </w:r>
      <w:r w:rsidR="005A0377" w:rsidRPr="00684BC6">
        <w:rPr>
          <w:lang w:val="lt-LT"/>
        </w:rPr>
        <w:t xml:space="preserve"> statybos darbų rangos sutart</w:t>
      </w:r>
      <w:r w:rsidR="005A0377">
        <w:rPr>
          <w:lang w:val="lt-LT"/>
        </w:rPr>
        <w:t>į</w:t>
      </w:r>
      <w:r w:rsidR="005A0377" w:rsidRPr="00684BC6">
        <w:rPr>
          <w:lang w:val="lt-LT"/>
        </w:rPr>
        <w:t xml:space="preserve"> Nr. SŽ-</w:t>
      </w:r>
      <w:r w:rsidR="00AF2264">
        <w:rPr>
          <w:lang w:val="lt-LT"/>
        </w:rPr>
        <w:t>203</w:t>
      </w:r>
      <w:r w:rsidR="005A0377" w:rsidRPr="00684BC6">
        <w:rPr>
          <w:lang w:val="lt-LT"/>
        </w:rPr>
        <w:t xml:space="preserve"> </w:t>
      </w:r>
      <w:r w:rsidR="00E55579" w:rsidRPr="00D12251">
        <w:rPr>
          <w:lang w:val="lt-LT"/>
        </w:rPr>
        <w:t>(toliau – Paslaugos)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0DBCCCAA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A21094" w:rsidRPr="00A21094">
        <w:rPr>
          <w:b/>
          <w:bCs/>
          <w:i/>
          <w:iCs/>
          <w:lang w:val="lt-LT"/>
        </w:rPr>
        <w:t xml:space="preserve">Vytauto gatvės atkarpos nuo P. Višinskio iki Tilžės g., Šiauliuose paprastojo remonto </w:t>
      </w:r>
      <w:r w:rsidR="005A5AB8" w:rsidRPr="005A5AB8">
        <w:rPr>
          <w:b/>
          <w:bCs/>
          <w:i/>
          <w:iCs/>
          <w:lang w:val="lt-LT"/>
        </w:rPr>
        <w:t>aprašo Nr. 38</w:t>
      </w:r>
      <w:r w:rsidR="00B86E9F">
        <w:rPr>
          <w:b/>
          <w:bCs/>
          <w:i/>
          <w:iCs/>
          <w:lang w:val="lt-LT"/>
        </w:rPr>
        <w:t>0</w:t>
      </w:r>
      <w:r w:rsidR="005A5AB8" w:rsidRPr="005A5AB8">
        <w:rPr>
          <w:b/>
          <w:bCs/>
          <w:i/>
          <w:iCs/>
          <w:lang w:val="lt-LT"/>
        </w:rPr>
        <w:t>-00-PRA</w:t>
      </w:r>
      <w:r w:rsidR="001A7C1F" w:rsidRPr="00E55579">
        <w:rPr>
          <w:b/>
          <w:bCs/>
          <w:i/>
          <w:iCs/>
          <w:lang w:val="lt-LT"/>
        </w:rPr>
        <w:t xml:space="preserve"> </w:t>
      </w:r>
      <w:r w:rsidR="00E55579">
        <w:rPr>
          <w:lang w:val="lt-LT"/>
        </w:rPr>
        <w:t xml:space="preserve">statybos </w:t>
      </w:r>
      <w:r w:rsidR="00975AF2" w:rsidRPr="00E55579">
        <w:rPr>
          <w:lang w:val="lt-LT"/>
        </w:rPr>
        <w:t>darbų</w:t>
      </w:r>
      <w:r w:rsidRPr="00E55579">
        <w:rPr>
          <w:lang w:val="lt-LT"/>
        </w:rPr>
        <w:t xml:space="preserve"> </w:t>
      </w:r>
      <w:r w:rsidRPr="00254ABA">
        <w:rPr>
          <w:lang w:val="lt-LT"/>
        </w:rPr>
        <w:t>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1F04530D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5A5AB8" w:rsidRPr="005A5AB8">
        <w:rPr>
          <w:b/>
          <w:bCs/>
          <w:i/>
          <w:iCs/>
          <w:lang w:val="lt-LT"/>
        </w:rPr>
        <w:t>Vytauto gatvės atkarpos nuo P. Višinskio iki Tilžės g., Šiauliuose paprastojo remonto aprašo Nr. 38</w:t>
      </w:r>
      <w:r w:rsidR="00B86E9F">
        <w:rPr>
          <w:b/>
          <w:bCs/>
          <w:i/>
          <w:iCs/>
          <w:lang w:val="lt-LT"/>
        </w:rPr>
        <w:t>0</w:t>
      </w:r>
      <w:r w:rsidR="005A5AB8" w:rsidRPr="005A5AB8">
        <w:rPr>
          <w:b/>
          <w:bCs/>
          <w:i/>
          <w:iCs/>
          <w:lang w:val="lt-LT"/>
        </w:rPr>
        <w:t xml:space="preserve">-00-PRA </w:t>
      </w:r>
      <w:r w:rsidR="00975AF2" w:rsidRPr="00E55579">
        <w:rPr>
          <w:lang w:val="lt-LT"/>
        </w:rPr>
        <w:t>darbų</w:t>
      </w:r>
      <w:r w:rsidR="00047376" w:rsidRPr="00E55579">
        <w:rPr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312A504F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79015E">
        <w:rPr>
          <w:b/>
          <w:bCs/>
          <w:lang w:val="lt-LT"/>
        </w:rPr>
        <w:t>25</w:t>
      </w:r>
      <w:r w:rsidR="00804FC7" w:rsidRPr="00804FC7">
        <w:rPr>
          <w:b/>
          <w:bCs/>
          <w:i/>
          <w:iCs/>
          <w:lang w:val="lt-LT"/>
        </w:rPr>
        <w:t>0.</w:t>
      </w:r>
      <w:r w:rsidR="0079015E">
        <w:rPr>
          <w:b/>
          <w:bCs/>
          <w:i/>
          <w:iCs/>
          <w:lang w:val="lt-LT"/>
        </w:rPr>
        <w:t>158</w:t>
      </w:r>
      <w:r w:rsidR="00804FC7" w:rsidRPr="00804FC7">
        <w:rPr>
          <w:b/>
          <w:bCs/>
          <w:i/>
          <w:iCs/>
          <w:lang w:val="lt-LT"/>
        </w:rPr>
        <w:t>,</w:t>
      </w:r>
      <w:r w:rsidR="0079015E">
        <w:rPr>
          <w:b/>
          <w:bCs/>
          <w:i/>
          <w:iCs/>
          <w:lang w:val="lt-LT"/>
        </w:rPr>
        <w:t>86</w:t>
      </w:r>
      <w:r w:rsidR="00E55579" w:rsidRPr="005A0377">
        <w:rPr>
          <w:b/>
          <w:bCs/>
          <w:i/>
          <w:iCs/>
          <w:lang w:val="lt-LT"/>
        </w:rPr>
        <w:t xml:space="preserve"> </w:t>
      </w:r>
      <w:r w:rsidRPr="005A0377">
        <w:rPr>
          <w:b/>
          <w:bCs/>
          <w:i/>
          <w:iCs/>
          <w:lang w:val="lt-LT"/>
        </w:rPr>
        <w:t>Eur su PVM</w:t>
      </w:r>
      <w:r w:rsidRPr="00254ABA">
        <w:rPr>
          <w:b/>
          <w:bCs/>
          <w:i/>
          <w:iCs/>
          <w:lang w:val="lt-LT"/>
        </w:rPr>
        <w:t>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lastRenderedPageBreak/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07901717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>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E55579" w:rsidRPr="00DF44D8" w14:paraId="16A7224B" w14:textId="77777777" w:rsidTr="00216F86">
        <w:trPr>
          <w:trHeight w:val="336"/>
        </w:trPr>
        <w:tc>
          <w:tcPr>
            <w:tcW w:w="4768" w:type="dxa"/>
          </w:tcPr>
          <w:p w14:paraId="1437BB74" w14:textId="77777777" w:rsidR="00E55579" w:rsidRPr="00DF44D8" w:rsidRDefault="00E55579" w:rsidP="00DF44D8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rFonts w:asciiTheme="majorBidi" w:hAnsiTheme="majorBidi" w:cstheme="majorBidi"/>
                <w:b/>
                <w:lang w:val="lt-LT"/>
              </w:rPr>
            </w:pPr>
            <w:r w:rsidRPr="00DF44D8">
              <w:rPr>
                <w:rFonts w:asciiTheme="majorBidi" w:hAnsiTheme="majorBidi" w:cstheme="majorBidi"/>
                <w:b/>
                <w:lang w:val="lt-LT"/>
              </w:rPr>
              <w:t>Užsakovas</w:t>
            </w:r>
          </w:p>
          <w:p w14:paraId="391F127B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7814BB24" w14:textId="77777777" w:rsidR="00E55579" w:rsidRPr="00DF44D8" w:rsidRDefault="00E55579" w:rsidP="00DF44D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E5C58B3" w14:textId="77777777" w:rsidR="00E55579" w:rsidRPr="00DF44D8" w:rsidRDefault="00E55579" w:rsidP="00DF44D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55C8D5B3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  <w:bookmarkStart w:id="1" w:name="_GoBack"/>
            <w:bookmarkEnd w:id="1"/>
          </w:p>
          <w:p w14:paraId="14BB075A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6615BA92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7A6CC22C" w14:textId="77777777" w:rsidR="00DF44D8" w:rsidRPr="00DF44D8" w:rsidRDefault="00DF44D8" w:rsidP="00DF44D8">
            <w:pPr>
              <w:keepNext/>
              <w:spacing w:after="0" w:line="24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DF44D8">
              <w:rPr>
                <w:rFonts w:asciiTheme="majorBidi" w:hAnsiTheme="majorBidi" w:cstheme="majorBidi"/>
                <w:sz w:val="24"/>
              </w:rPr>
              <w:t xml:space="preserve">Vincas Urbonavičius </w:t>
            </w:r>
          </w:p>
          <w:p w14:paraId="39621B37" w14:textId="77777777" w:rsidR="00DF44D8" w:rsidRPr="00DF44D8" w:rsidRDefault="00DF44D8" w:rsidP="00DF44D8">
            <w:pPr>
              <w:keepNext/>
              <w:spacing w:after="0" w:line="24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DF44D8">
              <w:rPr>
                <w:rFonts w:asciiTheme="majorBidi" w:hAnsiTheme="majorBidi" w:cstheme="majorBidi"/>
                <w:sz w:val="24"/>
              </w:rPr>
              <w:t xml:space="preserve">Mero patarėjas, pavaduojantis </w:t>
            </w:r>
          </w:p>
          <w:p w14:paraId="03BAED91" w14:textId="77777777" w:rsidR="00DF44D8" w:rsidRPr="00DF44D8" w:rsidRDefault="00DF44D8" w:rsidP="00DF44D8">
            <w:pPr>
              <w:keepNext/>
              <w:spacing w:after="0" w:line="240" w:lineRule="auto"/>
              <w:jc w:val="both"/>
              <w:rPr>
                <w:rFonts w:asciiTheme="majorBidi" w:hAnsiTheme="majorBidi" w:cstheme="majorBidi"/>
                <w:sz w:val="24"/>
              </w:rPr>
            </w:pPr>
            <w:r w:rsidRPr="00DF44D8">
              <w:rPr>
                <w:rFonts w:asciiTheme="majorBidi" w:hAnsiTheme="majorBidi" w:cstheme="majorBidi"/>
                <w:sz w:val="24"/>
              </w:rPr>
              <w:t>administracijos direktorių</w:t>
            </w:r>
          </w:p>
          <w:p w14:paraId="09B5C1D7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1CDA16AC" w14:textId="77777777" w:rsidR="00E55579" w:rsidRPr="00DF44D8" w:rsidRDefault="00E55579" w:rsidP="00DF44D8">
            <w:pPr>
              <w:keepNext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fi-FI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5A4757C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5012" w:type="dxa"/>
          </w:tcPr>
          <w:p w14:paraId="413C0E4F" w14:textId="77777777" w:rsidR="00E55579" w:rsidRPr="00DF44D8" w:rsidRDefault="00E55579" w:rsidP="00DF44D8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rFonts w:asciiTheme="majorBidi" w:hAnsiTheme="majorBidi" w:cstheme="majorBidi"/>
                <w:b/>
                <w:lang w:val="lt-LT"/>
              </w:rPr>
            </w:pPr>
            <w:r w:rsidRPr="00DF44D8">
              <w:rPr>
                <w:rFonts w:asciiTheme="majorBidi" w:hAnsiTheme="majorBidi" w:cstheme="majorBidi"/>
                <w:b/>
                <w:lang w:val="lt-LT"/>
              </w:rPr>
              <w:t>Paslaugų teikėjas</w:t>
            </w:r>
          </w:p>
          <w:p w14:paraId="37FDB4B5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1B0A4C96" w14:textId="77777777" w:rsidR="00E55579" w:rsidRPr="00DF44D8" w:rsidRDefault="00E55579" w:rsidP="00DF44D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</w:rPr>
              <w:t>AB „VIAMATIKA“</w:t>
            </w:r>
          </w:p>
          <w:p w14:paraId="7528DF3F" w14:textId="4F7B254F" w:rsidR="00E55579" w:rsidRPr="00DF44D8" w:rsidRDefault="00E55579" w:rsidP="00DF44D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</w:rPr>
              <w:t>Granito g. 3</w:t>
            </w:r>
          </w:p>
          <w:p w14:paraId="3C095C0A" w14:textId="77777777" w:rsidR="00E55579" w:rsidRPr="00DF44D8" w:rsidRDefault="00E55579" w:rsidP="00DF44D8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</w:rPr>
              <w:t>02300 Vilnius</w:t>
            </w:r>
          </w:p>
          <w:p w14:paraId="589263A2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030512E6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  <w:r w:rsidRPr="00DF44D8">
              <w:rPr>
                <w:rFonts w:asciiTheme="majorBidi" w:hAnsiTheme="majorBidi" w:cstheme="majorBidi"/>
                <w:lang w:val="lt-LT"/>
              </w:rPr>
              <w:t xml:space="preserve">Anatolijus </w:t>
            </w:r>
            <w:proofErr w:type="spellStart"/>
            <w:r w:rsidRPr="00DF44D8">
              <w:rPr>
                <w:rFonts w:asciiTheme="majorBidi" w:hAnsiTheme="majorBidi" w:cstheme="majorBidi"/>
                <w:lang w:val="lt-LT"/>
              </w:rPr>
              <w:t>Jadovas</w:t>
            </w:r>
            <w:proofErr w:type="spellEnd"/>
            <w:r w:rsidRPr="00DF44D8">
              <w:rPr>
                <w:rFonts w:asciiTheme="majorBidi" w:hAnsiTheme="majorBidi" w:cstheme="majorBidi"/>
                <w:lang w:val="lt-LT"/>
              </w:rPr>
              <w:t xml:space="preserve"> </w:t>
            </w:r>
          </w:p>
          <w:p w14:paraId="74B2BB3F" w14:textId="77777777" w:rsidR="00E55579" w:rsidRPr="00DF44D8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  <w:r w:rsidRPr="00DF44D8">
              <w:rPr>
                <w:rFonts w:asciiTheme="majorBidi" w:hAnsiTheme="majorBidi" w:cstheme="majorBidi"/>
                <w:lang w:val="lt-LT"/>
              </w:rPr>
              <w:t>Direktorius</w:t>
            </w:r>
          </w:p>
          <w:p w14:paraId="07C65ADA" w14:textId="77777777" w:rsidR="00E55579" w:rsidRDefault="00E55579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68ACF368" w14:textId="77777777" w:rsidR="00DF44D8" w:rsidRPr="00DF44D8" w:rsidRDefault="00DF44D8" w:rsidP="00DF44D8">
            <w:pPr>
              <w:pStyle w:val="Standard"/>
              <w:keepLines/>
              <w:jc w:val="both"/>
              <w:rPr>
                <w:rFonts w:asciiTheme="majorBidi" w:hAnsiTheme="majorBidi" w:cstheme="majorBidi"/>
                <w:lang w:val="lt-LT"/>
              </w:rPr>
            </w:pPr>
          </w:p>
          <w:p w14:paraId="5F980415" w14:textId="77777777" w:rsidR="00E55579" w:rsidRPr="00DF44D8" w:rsidRDefault="00E55579" w:rsidP="00DF44D8">
            <w:pPr>
              <w:keepNext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fi-FI"/>
              </w:rPr>
            </w:pPr>
            <w:r w:rsidRPr="00DF44D8">
              <w:rPr>
                <w:rFonts w:asciiTheme="majorBidi" w:hAnsiTheme="majorBidi" w:cstheme="majorBidi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5E17DE2" w14:textId="77777777" w:rsidR="00E55579" w:rsidRPr="00DF44D8" w:rsidRDefault="00E55579" w:rsidP="00DF44D8">
            <w:pPr>
              <w:keepLines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75C091B" w14:textId="3B1448C0" w:rsidR="00474FBC" w:rsidRPr="00CF266F" w:rsidRDefault="00474FBC">
      <w:pPr>
        <w:pStyle w:val="Standard"/>
        <w:jc w:val="both"/>
        <w:rPr>
          <w:sz w:val="22"/>
          <w:szCs w:val="22"/>
          <w:lang w:val="lt-LT"/>
        </w:rPr>
      </w:pP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1AC3E" w14:textId="77777777" w:rsidR="00CB00C6" w:rsidRPr="00254ABA" w:rsidRDefault="00CB00C6">
      <w:pPr>
        <w:spacing w:after="0" w:line="240" w:lineRule="auto"/>
      </w:pPr>
      <w:r w:rsidRPr="00254ABA">
        <w:separator/>
      </w:r>
    </w:p>
  </w:endnote>
  <w:endnote w:type="continuationSeparator" w:id="0">
    <w:p w14:paraId="7F011C7C" w14:textId="77777777" w:rsidR="00CB00C6" w:rsidRPr="00254ABA" w:rsidRDefault="00CB00C6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BBBF9" w14:textId="77777777" w:rsidR="00CB00C6" w:rsidRPr="00254ABA" w:rsidRDefault="00CB00C6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445AA47D" w14:textId="77777777" w:rsidR="00CB00C6" w:rsidRPr="00254ABA" w:rsidRDefault="00CB00C6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16FF1"/>
    <w:rsid w:val="0002174D"/>
    <w:rsid w:val="00047376"/>
    <w:rsid w:val="000515E7"/>
    <w:rsid w:val="000B2278"/>
    <w:rsid w:val="000C1752"/>
    <w:rsid w:val="0012747B"/>
    <w:rsid w:val="00145055"/>
    <w:rsid w:val="00192761"/>
    <w:rsid w:val="001A7C1F"/>
    <w:rsid w:val="001C6F8F"/>
    <w:rsid w:val="001E690B"/>
    <w:rsid w:val="002115FB"/>
    <w:rsid w:val="00237531"/>
    <w:rsid w:val="0025080F"/>
    <w:rsid w:val="00254ABA"/>
    <w:rsid w:val="00292A65"/>
    <w:rsid w:val="002F6BBA"/>
    <w:rsid w:val="00365738"/>
    <w:rsid w:val="00375BE7"/>
    <w:rsid w:val="003A1CE6"/>
    <w:rsid w:val="003E7EBC"/>
    <w:rsid w:val="003F5EFA"/>
    <w:rsid w:val="00426B4E"/>
    <w:rsid w:val="00474FBC"/>
    <w:rsid w:val="00494B6D"/>
    <w:rsid w:val="004C6060"/>
    <w:rsid w:val="005030E1"/>
    <w:rsid w:val="0055501C"/>
    <w:rsid w:val="0057543D"/>
    <w:rsid w:val="00577D54"/>
    <w:rsid w:val="005A0377"/>
    <w:rsid w:val="005A5AB8"/>
    <w:rsid w:val="005B2B84"/>
    <w:rsid w:val="005F3AD6"/>
    <w:rsid w:val="00631278"/>
    <w:rsid w:val="0063551F"/>
    <w:rsid w:val="006E1605"/>
    <w:rsid w:val="00744F5E"/>
    <w:rsid w:val="0079015E"/>
    <w:rsid w:val="007B0F0E"/>
    <w:rsid w:val="00804FC7"/>
    <w:rsid w:val="0082291E"/>
    <w:rsid w:val="00822DD9"/>
    <w:rsid w:val="008417C3"/>
    <w:rsid w:val="0084722D"/>
    <w:rsid w:val="00853945"/>
    <w:rsid w:val="008944E7"/>
    <w:rsid w:val="008A1670"/>
    <w:rsid w:val="008A4BAA"/>
    <w:rsid w:val="008B1AB9"/>
    <w:rsid w:val="00916076"/>
    <w:rsid w:val="009313C9"/>
    <w:rsid w:val="00975AF2"/>
    <w:rsid w:val="009A1B99"/>
    <w:rsid w:val="009D12D0"/>
    <w:rsid w:val="00A21094"/>
    <w:rsid w:val="00A414D1"/>
    <w:rsid w:val="00A425E9"/>
    <w:rsid w:val="00A5030D"/>
    <w:rsid w:val="00A723C8"/>
    <w:rsid w:val="00A774B3"/>
    <w:rsid w:val="00AA2FCD"/>
    <w:rsid w:val="00AB1FAF"/>
    <w:rsid w:val="00AD2CF2"/>
    <w:rsid w:val="00AE1E59"/>
    <w:rsid w:val="00AF2264"/>
    <w:rsid w:val="00B402E2"/>
    <w:rsid w:val="00B85E93"/>
    <w:rsid w:val="00B86E9F"/>
    <w:rsid w:val="00BF0EBD"/>
    <w:rsid w:val="00BF7423"/>
    <w:rsid w:val="00C04B01"/>
    <w:rsid w:val="00C12001"/>
    <w:rsid w:val="00C33C8B"/>
    <w:rsid w:val="00C642B2"/>
    <w:rsid w:val="00CB00C6"/>
    <w:rsid w:val="00CB3EE6"/>
    <w:rsid w:val="00CC1769"/>
    <w:rsid w:val="00CF266F"/>
    <w:rsid w:val="00D25EC7"/>
    <w:rsid w:val="00D5434B"/>
    <w:rsid w:val="00DB0DDB"/>
    <w:rsid w:val="00DB623A"/>
    <w:rsid w:val="00DE2014"/>
    <w:rsid w:val="00DE2BF9"/>
    <w:rsid w:val="00DF14C6"/>
    <w:rsid w:val="00DF44D8"/>
    <w:rsid w:val="00E25B50"/>
    <w:rsid w:val="00E55579"/>
    <w:rsid w:val="00E67A45"/>
    <w:rsid w:val="00EB4FDD"/>
    <w:rsid w:val="00ED4774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380F-3F7B-4100-B30C-72E241C3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2957</Words>
  <Characters>1686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2025-09-25T06:35:00Z</dcterms:created>
  <dcterms:modified xsi:type="dcterms:W3CDTF">2025-09-25T06:35:00Z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