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1DB51" w14:textId="2280C588" w:rsidR="005A23F1" w:rsidRPr="005A23F1" w:rsidRDefault="005A23F1" w:rsidP="005A23F1">
      <w:pPr>
        <w:spacing w:before="240" w:after="240"/>
        <w:jc w:val="right"/>
        <w:rPr>
          <w:rFonts w:asciiTheme="majorHAnsi" w:hAnsiTheme="majorHAnsi" w:cstheme="majorHAnsi"/>
          <w:bCs/>
          <w:sz w:val="24"/>
          <w:szCs w:val="24"/>
        </w:rPr>
      </w:pPr>
      <w:r w:rsidRPr="005A23F1">
        <w:rPr>
          <w:rFonts w:asciiTheme="majorHAnsi" w:hAnsiTheme="majorHAnsi" w:cstheme="majorHAnsi"/>
          <w:bCs/>
          <w:sz w:val="24"/>
          <w:szCs w:val="24"/>
        </w:rPr>
        <w:t>1 priedas. T</w:t>
      </w:r>
      <w:r w:rsidRPr="005A23F1">
        <w:rPr>
          <w:rFonts w:asciiTheme="majorHAnsi" w:hAnsiTheme="majorHAnsi" w:cstheme="majorHAnsi"/>
          <w:bCs/>
          <w:sz w:val="24"/>
          <w:szCs w:val="24"/>
        </w:rPr>
        <w:t>echninė specifikacija</w:t>
      </w:r>
    </w:p>
    <w:p w14:paraId="00000001" w14:textId="2C960887" w:rsidR="003054EA" w:rsidRPr="00F70C9B" w:rsidRDefault="002E7E01">
      <w:pPr>
        <w:spacing w:before="240" w:after="240"/>
        <w:rPr>
          <w:rFonts w:asciiTheme="majorHAnsi" w:hAnsiTheme="majorHAnsi" w:cstheme="majorHAnsi"/>
          <w:b/>
          <w:sz w:val="24"/>
          <w:szCs w:val="24"/>
        </w:rPr>
      </w:pPr>
      <w:r w:rsidRPr="00F70C9B">
        <w:rPr>
          <w:rFonts w:asciiTheme="majorHAnsi" w:hAnsiTheme="majorHAnsi" w:cstheme="majorHAnsi"/>
          <w:b/>
          <w:sz w:val="24"/>
          <w:szCs w:val="24"/>
        </w:rPr>
        <w:t xml:space="preserve">Renginių scenarijų parengimo ir renginių vedimo regionuose, pristatant kampanijos „Kaip gera galėti </w:t>
      </w:r>
      <w:proofErr w:type="spellStart"/>
      <w:r w:rsidRPr="00F70C9B">
        <w:rPr>
          <w:rFonts w:asciiTheme="majorHAnsi" w:hAnsiTheme="majorHAnsi" w:cstheme="majorHAnsi"/>
          <w:b/>
          <w:sz w:val="24"/>
          <w:szCs w:val="24"/>
        </w:rPr>
        <w:t>galėti</w:t>
      </w:r>
      <w:proofErr w:type="spellEnd"/>
      <w:r w:rsidRPr="00F70C9B">
        <w:rPr>
          <w:rFonts w:asciiTheme="majorHAnsi" w:hAnsiTheme="majorHAnsi" w:cstheme="majorHAnsi"/>
          <w:b/>
          <w:sz w:val="24"/>
          <w:szCs w:val="24"/>
        </w:rPr>
        <w:t>“ reklamuojamas paslaugas ir keičiant visuomenės požiūrį į žmones su intelekto negalia, paslaugų techninė specifikacija</w:t>
      </w:r>
    </w:p>
    <w:p w14:paraId="00000002"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Asmens su negalia teisių apsaugos agentūra prie Lietuvos Respublikos Socialinės apsaugos ir darbo ministerijos (toliau – Perkančioji organizacija) perka 10 renginių scenarijų rengimo ir 10 renginių vedimo paslaugas, skirtas informuoti visuomenę apie valstybės siūlomą pagalbą, skirtą stiprinti, išlaikyti arba atkurti žmonių su intelekto ir (ar) psichosocialine negalia savarankiškumą ir veiksnumą (toliau – paslaugos). Paslaugos perkamos įgyvendinant Europos Socialinio fondo ir Lietuvos Respublikos valstybės biudžeto lėšomis finansuojamą projektą „Perėjimas nuo institucinės globos prie bendruomeninių paslaugų Sostinės regione, Vidurio ir vakarų Lietuvos regione“ (projekto Nr. 07-018-P-0001) (toliau – Projektas), lėšomis.</w:t>
      </w:r>
    </w:p>
    <w:p w14:paraId="00000003"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I. BENDRA INFORMACIJA</w:t>
      </w:r>
    </w:p>
    <w:p w14:paraId="00000004"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1.1. Perkančioji organizacija – Asmens su negalia teisių apsaugos agentūra prie Lietuvos Respublikos Socialinės apsaugos ir darbo ministerijos (toliau – Perkančioji organizacija).</w:t>
      </w:r>
    </w:p>
    <w:p w14:paraId="00000005"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1.2. Perkančioji organizacija, įgyvendindama Europos Socialinio fondo ir Lietuvos Respublikos valstybės biudžeto lėšomis finansuojamą projektą „Perėjimas nuo institucinės globos prie bendruomeninių paslaugų Sostinės regione, Vidurio ir vakarų Lietuvos regione“ (projekto Nr. 07-018-P-0001) (toliau – Projektas), perka renginių scenarijų rengimo ir renginių vedimo paslaugas (toliau – paslaugos).</w:t>
      </w:r>
    </w:p>
    <w:p w14:paraId="00000006"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1.3. Pirkimo objektas – 10 renginių scenarijų rengimo ir 10 renginių vedimo paslaugos, skirtos informuoti visuomenę apie valstybės siūlomą pagalbą, skirtą stiprinti, išlaikyti arba atkurti žmonių su negalia savarankiškumą ir veiksnumą.</w:t>
      </w:r>
    </w:p>
    <w:p w14:paraId="00000007"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1.4. Paslaugų teikėjas – kviečiami teikti pasiūlymus juridiniai ar fiziniai asmenys, turintys teisę verstis šioje techninėje specifikacijoje apibrėžta veikla. Paslaugų teikėjas gali teikti pasiūlymą kartu su partneriais, pasirašydamas jungtinės veiklos sutartį. Jungtinės veiklos sutartyje turi būti numatyta, kuris asmuo atstovauja ūkio subjektų grupei ir atsako už vykdomos veiklos koordinavimą (toliau – Paslaugų teikėjas).</w:t>
      </w:r>
    </w:p>
    <w:p w14:paraId="00000008"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 xml:space="preserve">1.5. Tikslas  - Informuoti visuomenę apie žmonių su intelekto ir (ar) psichosocialine negalia gyvenimą bendruomenėje, jų teisę į savarankiškumą ir sprendimų priėmimą, bei supažindinti su pagalbos paslaugomis, kurios padeda užtikrinti veiksnumo apribojimo prevenciją ir skatina </w:t>
      </w:r>
      <w:proofErr w:type="spellStart"/>
      <w:r w:rsidRPr="00F70C9B">
        <w:rPr>
          <w:rFonts w:asciiTheme="majorHAnsi" w:hAnsiTheme="majorHAnsi" w:cstheme="majorHAnsi"/>
          <w:sz w:val="24"/>
          <w:szCs w:val="24"/>
        </w:rPr>
        <w:t>įtrauktį</w:t>
      </w:r>
      <w:proofErr w:type="spellEnd"/>
      <w:r w:rsidRPr="00F70C9B">
        <w:rPr>
          <w:rFonts w:asciiTheme="majorHAnsi" w:hAnsiTheme="majorHAnsi" w:cstheme="majorHAnsi"/>
          <w:sz w:val="24"/>
          <w:szCs w:val="24"/>
        </w:rPr>
        <w:t>.</w:t>
      </w:r>
    </w:p>
    <w:p w14:paraId="00000009"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1.6. Sprendžiamos problemos:</w:t>
      </w:r>
    </w:p>
    <w:p w14:paraId="0000000A"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lastRenderedPageBreak/>
        <w:t>1.6.1. Asmenų, kurie teismo tvarka pripažinti neveiksniais ar ribotai veiksniais tam tikroje srityje, skaičius – 8 910 asmenų. Vadovaujantis JT Konvencijos 12 straipsniu, ypač svarbų vaidmenį atlieka pagalbos priimant sprendimus paslauga, kuri šiuo metu Lietuvoje nėra reglamentuota. Todėl valstybei būtina investuoti į pagalbos priimant sprendimus modelį, tobulinti tokią pagalbą teikiančių specialistų kompetenciją ir plėsti žinias. Pagalba priimti sprendimus turi būti lengvai prieinama bet kokios negalios asmeniui kiekvienoje Lietuvos savivaldybėje.</w:t>
      </w:r>
    </w:p>
    <w:p w14:paraId="0000000B"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1.6.2. Pagalbos priimant sprendimus specialistų tikslas – stiprinti asmens gebėjimus pasirūpinti savimi ir priimti kasdienius sprendimus siekiant savarankiško gyvenimo ir dalyvavimo visose gyvenimo srityse. Tam, kad negalią turintis asmuo galėtų savarankiškai priimti sprendimą, jam, atsižvelgiant į individualius poreikius, reikalinga pagalba, kuri leistų savarankiškai priimti sprendimą, pavyzdžiui, lengvai suprantama kalba paaiškinti klausimo esmę, naudoti alternatyvius bendravimo būdus su asmeniu, kuris bendrauja neverbaliniu būdu.</w:t>
      </w:r>
    </w:p>
    <w:p w14:paraId="0000000C"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1.6.3. Visuomenėje pastebimos neigiamos nuostatos žmonių su intelekto ir psichosocialine negalia atžvilgiu trukdo įgyvendinti veiksnumo užtikrinimo priemones, tarp kurių ir pagalba priimti sprendimus. Žmonės su psichosocialine negalia nepagrįstai siejami su didesne nusikaltimų rizika, nuvertinamos ir negerbiamos jų galimybės priimti sprendimus.</w:t>
      </w:r>
    </w:p>
    <w:p w14:paraId="0000000D"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1.6.4. 2019 m. atlikta visuomenės nuomonės apklausa parodė, kad tik 3 proc. gyventojų sutiktų, kad kaimynystėje įsikurtų globos namai, kuriuose gyventų suaugusieji, turintys intelekto ir psichosocialinę negalią. To priežastis – klaidinančios išankstinės nuostatos ir vyraujantys stereotipai apie tokią negalią turinčius žmones.</w:t>
      </w:r>
    </w:p>
    <w:p w14:paraId="0000000E"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 xml:space="preserve">1.6.5. </w:t>
      </w:r>
      <w:proofErr w:type="spellStart"/>
      <w:r w:rsidRPr="00F70C9B">
        <w:rPr>
          <w:rFonts w:asciiTheme="majorHAnsi" w:hAnsiTheme="majorHAnsi" w:cstheme="majorHAnsi"/>
          <w:sz w:val="24"/>
          <w:szCs w:val="24"/>
        </w:rPr>
        <w:t>Įtraukties</w:t>
      </w:r>
      <w:proofErr w:type="spellEnd"/>
      <w:r w:rsidRPr="00F70C9B">
        <w:rPr>
          <w:rFonts w:asciiTheme="majorHAnsi" w:hAnsiTheme="majorHAnsi" w:cstheme="majorHAnsi"/>
          <w:sz w:val="24"/>
          <w:szCs w:val="24"/>
        </w:rPr>
        <w:t xml:space="preserve"> procesą apsunkina socialinės ir psichologinės problemos, su kuriomis susiduria intelekto ir psichosocialinę negalią turintys asmenys. Šie žmonės pasižymi menka saviverte, jaučiasi nevisaverčiais dėl savo negalios. Prie to prisideda neigiamas visuomenės požiūris į juos, nes visuomenė vis dar nėra pasirengusi priimti neįgaliųjų kaip lygiaverčių narių, nesidomi institucinės globos problematika, dažnas apskritai atsiriboja nuo problemų, kurios nėra su juo asmeniškai susijusios, žmonės nėra linkę problemų sieti su savo atsakomybe, jiems neretai kyla baimių dėl stereotipinio požiūrio į neįgaliuosius.</w:t>
      </w:r>
    </w:p>
    <w:p w14:paraId="0000000F"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Daugiau informacijos apie žmones su negalia ir bandomąsias paslaugas galima rasti:</w:t>
      </w:r>
      <w:hyperlink r:id="rId4">
        <w:r w:rsidR="003054EA" w:rsidRPr="00F70C9B">
          <w:rPr>
            <w:rFonts w:asciiTheme="majorHAnsi" w:hAnsiTheme="majorHAnsi" w:cstheme="majorHAnsi"/>
            <w:sz w:val="24"/>
            <w:szCs w:val="24"/>
          </w:rPr>
          <w:t xml:space="preserve"> </w:t>
        </w:r>
      </w:hyperlink>
      <w:hyperlink r:id="rId5">
        <w:r w:rsidR="003054EA" w:rsidRPr="00F70C9B">
          <w:rPr>
            <w:rFonts w:asciiTheme="majorHAnsi" w:hAnsiTheme="majorHAnsi" w:cstheme="majorHAnsi"/>
            <w:sz w:val="24"/>
            <w:szCs w:val="24"/>
            <w:u w:val="single"/>
          </w:rPr>
          <w:t>www.pertvarka.lt</w:t>
        </w:r>
      </w:hyperlink>
      <w:r w:rsidRPr="00F70C9B">
        <w:rPr>
          <w:rFonts w:asciiTheme="majorHAnsi" w:hAnsiTheme="majorHAnsi" w:cstheme="majorHAnsi"/>
          <w:sz w:val="24"/>
          <w:szCs w:val="24"/>
        </w:rPr>
        <w:t xml:space="preserve"> bei</w:t>
      </w:r>
      <w:hyperlink r:id="rId6">
        <w:r w:rsidR="003054EA" w:rsidRPr="00F70C9B">
          <w:rPr>
            <w:rFonts w:asciiTheme="majorHAnsi" w:hAnsiTheme="majorHAnsi" w:cstheme="majorHAnsi"/>
            <w:sz w:val="24"/>
            <w:szCs w:val="24"/>
          </w:rPr>
          <w:t xml:space="preserve"> </w:t>
        </w:r>
      </w:hyperlink>
      <w:r w:rsidRPr="00F70C9B">
        <w:rPr>
          <w:rFonts w:asciiTheme="majorHAnsi" w:hAnsiTheme="majorHAnsi" w:cstheme="majorHAnsi"/>
          <w:sz w:val="24"/>
          <w:szCs w:val="24"/>
        </w:rPr>
        <w:t>www.galetigaleti.lt</w:t>
      </w:r>
    </w:p>
    <w:p w14:paraId="00000010"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 Siekiamas poveikis:</w:t>
      </w:r>
    </w:p>
    <w:p w14:paraId="00000011"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1.7.1. Informuoti visuomenę apie pagalbos paslaugas, skirtas stiprinti žmonių su negalia savarankiškumą bei užtikrinti veiksnumo apribojimo prevenciją.</w:t>
      </w:r>
    </w:p>
    <w:p w14:paraId="00000012"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lastRenderedPageBreak/>
        <w:t xml:space="preserve">1.7.2.Informuoti visuomenę, kodėl reikalinga ir kaip vyksta žmonių su intelekto ir psichosocialine negalia </w:t>
      </w:r>
      <w:proofErr w:type="spellStart"/>
      <w:r w:rsidRPr="00F70C9B">
        <w:rPr>
          <w:rFonts w:asciiTheme="majorHAnsi" w:hAnsiTheme="majorHAnsi" w:cstheme="majorHAnsi"/>
          <w:sz w:val="24"/>
          <w:szCs w:val="24"/>
        </w:rPr>
        <w:t>įtrauktis</w:t>
      </w:r>
      <w:proofErr w:type="spellEnd"/>
      <w:r w:rsidRPr="00F70C9B">
        <w:rPr>
          <w:rFonts w:asciiTheme="majorHAnsi" w:hAnsiTheme="majorHAnsi" w:cstheme="majorHAnsi"/>
          <w:sz w:val="24"/>
          <w:szCs w:val="24"/>
        </w:rPr>
        <w:t xml:space="preserve"> į bendruomenę.</w:t>
      </w:r>
    </w:p>
    <w:p w14:paraId="00000013"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1.7.3. Parodyti, kaip žmonės su negalia gyvena bendruomenėje ir kad yra visaverčiai visuomenės nariai;</w:t>
      </w:r>
    </w:p>
    <w:p w14:paraId="00000014"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1.7.4. Atkreipti visuomenės dėmesį tiek į žmones su negalia, tiek į kitas socialiai pažeidžiamas žmonių grupes, parodyti, su kokiomis problemomis jie susiduria ir kaip jas galima spręsti.</w:t>
      </w:r>
    </w:p>
    <w:p w14:paraId="00000015"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1.7.5. Parodyti, kad žmonėms su negalia reikia tokios pačios gyvenamosios aplinkos, kaip ir kitiems bendruomenės nariams;</w:t>
      </w:r>
    </w:p>
    <w:p w14:paraId="00000016"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1.7.6. Supažindinti, su kokiomis problemomis susiduria veiksnumo netekę žmonės su negalia;</w:t>
      </w:r>
    </w:p>
    <w:p w14:paraId="00000017"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1.7.7.  Parodyti, kad negalią turintys žmonės gali priimti sprendimus, kai suteikiama pagalba jiems suprantamais būdais.</w:t>
      </w:r>
    </w:p>
    <w:p w14:paraId="00000018"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1.7.8. Parodyti, kad dėl negalios ypatumų (negebėjimo skaičiuoti, kalbėti plačiajai visuomenei įprastu būdu) asmens individualūs poreikiai gali būti tenkinami alternatyviais būdais (teikiant pagalbą priimant sprendimus, organizuojant socialines ir kitas paslaugas), o ne apribojant jo veiksnumą.</w:t>
      </w:r>
    </w:p>
    <w:p w14:paraId="00000019"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1.7.9. Supažindinti visuomenę su pagalbos priimti sprendimus paslauga ir jos teikiama nauda žmogui su negalia bei jo/jos šeimai ar artimai aplinkai.</w:t>
      </w:r>
    </w:p>
    <w:p w14:paraId="0000001A"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1.8. Tikslinė grupė - įvairių sričių suinteresuoti asmenys, galintys prisidėti prie pagalbos priimant sprendimus paslaugos plėtros ir efektyvesnio taikymo: žmonių su intelekto ir (ar) psichosocialine negalia artimieji, socialinių paslaugų teikėjai, savivaldybių atstovai, žmonių su negalia organizacijų atstovai, bendruomenių nariai, bei kiti suinteresuoti visuomenės nariai (toliau – tikslinė grupė).</w:t>
      </w:r>
    </w:p>
    <w:p w14:paraId="0000001B"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1.9. Paslaugos turi būti suteiktos per dvylika mėnesių nuo Sutarties pasirašymo dienos, pagal su Perkančiąja organizacija suderintą grafiką.</w:t>
      </w:r>
    </w:p>
    <w:p w14:paraId="0000001C" w14:textId="77777777" w:rsidR="003054EA" w:rsidRPr="00F70C9B" w:rsidRDefault="002E7E01">
      <w:pPr>
        <w:spacing w:before="240" w:after="240"/>
        <w:rPr>
          <w:rFonts w:asciiTheme="majorHAnsi" w:hAnsiTheme="majorHAnsi" w:cstheme="majorHAnsi"/>
          <w:b/>
          <w:sz w:val="24"/>
          <w:szCs w:val="24"/>
        </w:rPr>
      </w:pPr>
      <w:r w:rsidRPr="00F70C9B">
        <w:rPr>
          <w:rFonts w:asciiTheme="majorHAnsi" w:hAnsiTheme="majorHAnsi" w:cstheme="majorHAnsi"/>
          <w:b/>
          <w:sz w:val="24"/>
          <w:szCs w:val="24"/>
        </w:rPr>
        <w:t>II. PASLAUGŲ APRAŠYMAS IR REIKALAVIMAI</w:t>
      </w:r>
    </w:p>
    <w:p w14:paraId="0000001D" w14:textId="22A21F22"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 xml:space="preserve">2.1. Paslaugų teikėjas turi parengti 10 skirtingų renginių scenarijų, pritaikytų tikslinei auditorijai ir diskusijų dalyviams. Kiekvienas scenarijus turi apimti kampanijos „Kaip gera galėti </w:t>
      </w:r>
      <w:proofErr w:type="spellStart"/>
      <w:r w:rsidRPr="00F70C9B">
        <w:rPr>
          <w:rFonts w:asciiTheme="majorHAnsi" w:hAnsiTheme="majorHAnsi" w:cstheme="majorHAnsi"/>
          <w:sz w:val="24"/>
          <w:szCs w:val="24"/>
        </w:rPr>
        <w:t>galėti</w:t>
      </w:r>
      <w:proofErr w:type="spellEnd"/>
      <w:r w:rsidRPr="00F70C9B">
        <w:rPr>
          <w:rFonts w:asciiTheme="majorHAnsi" w:hAnsiTheme="majorHAnsi" w:cstheme="majorHAnsi"/>
          <w:sz w:val="24"/>
          <w:szCs w:val="24"/>
        </w:rPr>
        <w:t>“ medžiagos demonstravimą, jos aptarimą su auditorija, diskusijos moderavimą bei auditorijos įtraukimą.</w:t>
      </w:r>
    </w:p>
    <w:p w14:paraId="0000001E"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lastRenderedPageBreak/>
        <w:t>2.2. Pagal parengtus ir su Perkančiąja organizacija suderintus scenarijus Paslaugų teikėjas turi pravesti 10 renginių skirtinguose Lietuvos regionuose.</w:t>
      </w:r>
    </w:p>
    <w:p w14:paraId="0000001F"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2.3. Scenarijai turi būti pateikti Perkančiajai organizacijai ne vėliau kaip likus 2 savaitėms iki renginio. Galimi ne daugiau kaip trys Perkančiosios organizacijos grąžinimai su prašymais pakoreguoti.</w:t>
      </w:r>
    </w:p>
    <w:p w14:paraId="00000020" w14:textId="77777777" w:rsidR="003054EA" w:rsidRPr="00F70C9B" w:rsidRDefault="003054EA">
      <w:pPr>
        <w:spacing w:before="240" w:after="240"/>
        <w:rPr>
          <w:rFonts w:asciiTheme="majorHAnsi" w:hAnsiTheme="majorHAnsi" w:cstheme="majorHAnsi"/>
          <w:sz w:val="24"/>
          <w:szCs w:val="24"/>
        </w:rPr>
      </w:pPr>
    </w:p>
    <w:p w14:paraId="00000021" w14:textId="77777777" w:rsidR="003054EA" w:rsidRPr="00F70C9B" w:rsidRDefault="002E7E01">
      <w:pPr>
        <w:spacing w:before="240" w:after="240"/>
        <w:rPr>
          <w:rFonts w:asciiTheme="majorHAnsi" w:hAnsiTheme="majorHAnsi" w:cstheme="majorHAnsi"/>
          <w:b/>
          <w:sz w:val="24"/>
          <w:szCs w:val="24"/>
        </w:rPr>
      </w:pPr>
      <w:r w:rsidRPr="00F70C9B">
        <w:rPr>
          <w:rFonts w:asciiTheme="majorHAnsi" w:hAnsiTheme="majorHAnsi" w:cstheme="majorHAnsi"/>
          <w:sz w:val="24"/>
          <w:szCs w:val="24"/>
        </w:rPr>
        <w:t xml:space="preserve"> </w:t>
      </w:r>
      <w:r w:rsidRPr="00F70C9B">
        <w:rPr>
          <w:rFonts w:asciiTheme="majorHAnsi" w:hAnsiTheme="majorHAnsi" w:cstheme="majorHAnsi"/>
          <w:b/>
          <w:sz w:val="24"/>
          <w:szCs w:val="24"/>
        </w:rPr>
        <w:t>III. KOKYBĖS REIKALAVIMAI PASLAUGOMS</w:t>
      </w:r>
    </w:p>
    <w:p w14:paraId="00000022"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Reikalavimai paslaugoms:</w:t>
      </w:r>
    </w:p>
    <w:p w14:paraId="00000023"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3.1. Vedant renginius vadovautis Jungtinių Tautų Asmenų su negalia teisių konvencijos idėjomis apie žmonių su negalia teisę į savarankišką gyvenimą.</w:t>
      </w:r>
    </w:p>
    <w:p w14:paraId="00000024"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3.2. Vedant renginius vadovautis</w:t>
      </w:r>
      <w:hyperlink r:id="rId7">
        <w:r w:rsidR="003054EA" w:rsidRPr="00F70C9B">
          <w:rPr>
            <w:rFonts w:asciiTheme="majorHAnsi" w:hAnsiTheme="majorHAnsi" w:cstheme="majorHAnsi"/>
            <w:sz w:val="24"/>
            <w:szCs w:val="24"/>
          </w:rPr>
          <w:t xml:space="preserve"> </w:t>
        </w:r>
      </w:hyperlink>
      <w:hyperlink r:id="rId8">
        <w:r w:rsidR="003054EA" w:rsidRPr="00F70C9B">
          <w:rPr>
            <w:rFonts w:asciiTheme="majorHAnsi" w:hAnsiTheme="majorHAnsi" w:cstheme="majorHAnsi"/>
            <w:sz w:val="24"/>
            <w:szCs w:val="24"/>
            <w:u w:val="single"/>
          </w:rPr>
          <w:t>negaliai jautrios kalbos gairėmis</w:t>
        </w:r>
      </w:hyperlink>
      <w:r w:rsidRPr="00F70C9B">
        <w:rPr>
          <w:rFonts w:asciiTheme="majorHAnsi" w:hAnsiTheme="majorHAnsi" w:cstheme="majorHAnsi"/>
          <w:sz w:val="24"/>
          <w:szCs w:val="24"/>
        </w:rPr>
        <w:t>, kurias parengė Žmonių su negalia teisių stebėsenos komisija prie Lygių galimybių kontrolieriaus tarnybos.</w:t>
      </w:r>
    </w:p>
    <w:p w14:paraId="00000025"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3.3. Įdomiai, informatyviai ir kūrybingai atskleisti žmonių su intelekto ar psichosocialine galimybes priimti kasdienius sprendimus, kai jiems suteikiama reikalinga ir jiems suprantama informacija, sudominant 18–65 metų amžiaus auditoriją. Pagrindinė mintis – nuostata, kad žmonės su intelekto ar psichosocialine negalia nėra pajėgūs spręsti arba kad jų sprendimai greičiausiai bus klaidingi yra nepagrįsta, kadangi kaip ir visiems, taip ir jiems, priimant sprendimus reikalingas laikas, suprantama informacija ir pagalba.</w:t>
      </w:r>
    </w:p>
    <w:p w14:paraId="00000026" w14:textId="77777777" w:rsidR="003054EA" w:rsidRPr="00F70C9B" w:rsidRDefault="002E7E01">
      <w:pPr>
        <w:spacing w:before="240" w:after="240"/>
        <w:rPr>
          <w:rFonts w:asciiTheme="majorHAnsi" w:hAnsiTheme="majorHAnsi" w:cstheme="majorHAnsi"/>
          <w:b/>
          <w:sz w:val="24"/>
          <w:szCs w:val="24"/>
        </w:rPr>
      </w:pPr>
      <w:r w:rsidRPr="00F70C9B">
        <w:rPr>
          <w:rFonts w:asciiTheme="majorHAnsi" w:hAnsiTheme="majorHAnsi" w:cstheme="majorHAnsi"/>
          <w:b/>
          <w:sz w:val="24"/>
          <w:szCs w:val="24"/>
        </w:rPr>
        <w:t>IV. Paslaugos apima:</w:t>
      </w:r>
    </w:p>
    <w:p w14:paraId="00000027"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4.1. Renginių scenarijui reikalingos informacijos rinkimą;</w:t>
      </w:r>
    </w:p>
    <w:p w14:paraId="00000028"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4.2. 10 scenarijų parengimą;</w:t>
      </w:r>
    </w:p>
    <w:p w14:paraId="00000029"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4.3. bendradarbiavimą su Perkančiąja organizacija dėl renginio dalyvių (diskusijos dalyvių) ir klausimų dalyviams bei auditorijai;</w:t>
      </w:r>
    </w:p>
    <w:p w14:paraId="0000002A"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4.4. 10 renginių vedimą pagal iš anksto su Perkančiąja organizacija patvirtintus scenarijus;</w:t>
      </w:r>
    </w:p>
    <w:p w14:paraId="0000002B"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4.5. savarankišką atvykimą į renginių vietas likus bent pusvalandžiui iki renginių pradžios;</w:t>
      </w:r>
    </w:p>
    <w:p w14:paraId="0000002C"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4.6. renginio vedimas ne trumpiau kaip 1.5 val. ne ilgiau kaip 2.00 val.</w:t>
      </w:r>
    </w:p>
    <w:p w14:paraId="0000002D"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4.7. pagarbus bendravimas su renginio organizavimo komanda;</w:t>
      </w:r>
    </w:p>
    <w:p w14:paraId="0000002E"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4.8. renginio iniciatorių (perkančioji organizacija) ir rėmėjų (ES) įvardijimas renginio pradžioje ir pabaigoje.</w:t>
      </w:r>
    </w:p>
    <w:p w14:paraId="0000002F"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lastRenderedPageBreak/>
        <w:t xml:space="preserve"> </w:t>
      </w:r>
    </w:p>
    <w:p w14:paraId="00000030" w14:textId="77777777" w:rsidR="003054EA" w:rsidRPr="00F70C9B" w:rsidRDefault="002E7E01">
      <w:pPr>
        <w:spacing w:before="240" w:after="240"/>
        <w:rPr>
          <w:rFonts w:asciiTheme="majorHAnsi" w:hAnsiTheme="majorHAnsi" w:cstheme="majorHAnsi"/>
          <w:b/>
          <w:sz w:val="24"/>
          <w:szCs w:val="24"/>
        </w:rPr>
      </w:pPr>
      <w:r w:rsidRPr="00F70C9B">
        <w:rPr>
          <w:rFonts w:asciiTheme="majorHAnsi" w:hAnsiTheme="majorHAnsi" w:cstheme="majorHAnsi"/>
          <w:b/>
          <w:sz w:val="24"/>
          <w:szCs w:val="24"/>
        </w:rPr>
        <w:t>V. KITI REIKALAVIMAI</w:t>
      </w:r>
    </w:p>
    <w:p w14:paraId="00000031"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5.1. Paslaugų suteikimo faktas ir atlikimo terminas patvirtinami Paslaugų perdavimo–priėmimo aktu. Perdavimo-priėmimo aktas įkeliamas kartu su sąskaitomis į SABIS sistemą.</w:t>
      </w:r>
    </w:p>
    <w:p w14:paraId="00000032"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5.2. Paslaugų teikėjas suteikia teisę Perkančiajai organizacijai naudoti renginio įrašus ir fotografijas kituose sklaidos kanaluose (savo ir partnerių), nurodant autorystę.</w:t>
      </w:r>
    </w:p>
    <w:p w14:paraId="00000033" w14:textId="3369E375"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5.3. Per 10 d. d. nuo sutarties pasirašymo P</w:t>
      </w:r>
      <w:r w:rsidR="00ED51DD">
        <w:rPr>
          <w:rFonts w:asciiTheme="majorHAnsi" w:hAnsiTheme="majorHAnsi" w:cstheme="majorHAnsi"/>
          <w:sz w:val="24"/>
          <w:szCs w:val="24"/>
        </w:rPr>
        <w:t>erkančioji organizacija</w:t>
      </w:r>
      <w:r w:rsidRPr="00F70C9B">
        <w:rPr>
          <w:rFonts w:asciiTheme="majorHAnsi" w:hAnsiTheme="majorHAnsi" w:cstheme="majorHAnsi"/>
          <w:sz w:val="24"/>
          <w:szCs w:val="24"/>
        </w:rPr>
        <w:t xml:space="preserve"> ir Tiekėjas sudaro preliminarų renginių datų, laiko ir vietų grafiką. Vėliau, derinant renginių datas, Tiekėjas ir P</w:t>
      </w:r>
      <w:r w:rsidR="00ED51DD">
        <w:rPr>
          <w:rFonts w:asciiTheme="majorHAnsi" w:hAnsiTheme="majorHAnsi" w:cstheme="majorHAnsi"/>
          <w:sz w:val="24"/>
          <w:szCs w:val="24"/>
        </w:rPr>
        <w:t>erkančioji organizacija</w:t>
      </w:r>
      <w:r w:rsidRPr="00F70C9B">
        <w:rPr>
          <w:rFonts w:asciiTheme="majorHAnsi" w:hAnsiTheme="majorHAnsi" w:cstheme="majorHAnsi"/>
          <w:sz w:val="24"/>
          <w:szCs w:val="24"/>
        </w:rPr>
        <w:t xml:space="preserve"> gali siūlyti kitą renginių datą, laiką ir vietą, tačiau tiekėjas siūlomų datų gali atsisakyti ne daugiau nei 3 kartus. Jei dėl Tiekėjo kaltės nepavyksta suderinti renginio datos ir laiko ir dėl to neįvyksta renginys, tiekėjo sutartis nutraukiama.</w:t>
      </w:r>
    </w:p>
    <w:p w14:paraId="00000034"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6.4. Teikėjas perduoda nuosavybės teises ir visas autoriaus turtines teises į Teikėjo (įskaitant jo subtiekėjų / subteikėjų) sukurtus Paslaugų rezultatus nuo Paslaugų perdavimo-priėmimo akto pasirašymo momento neribotą laiką, neapsiribojant kurios nors valstybės teritorija. Perdavimo-priėmimo aktu perduoti atliktų Paslaugų galutiniai sprendiniai, su jais susijusi medžiaga yra Perkančiosios organizacijos nuosavybė, įskaitant autorines turtines ir kitas intelektinės nuosavybės teises, kurią Perkančioji organizacija gali naudoti, publikuoti, disponuoti kaip mano esant tinkama ir be jokių apribojimų. Teikėjas galės naudoti Perkančiajai organizacijai priklausančius visus rezultatus ir su jais susijusią medžiagą, tik gavęs raštišką Perkančiosios organizacijos leidimą.</w:t>
      </w:r>
    </w:p>
    <w:p w14:paraId="00000035" w14:textId="77777777" w:rsidR="003054EA" w:rsidRPr="00F70C9B" w:rsidRDefault="002E7E01">
      <w:pPr>
        <w:shd w:val="clear" w:color="auto" w:fill="FFFFFF"/>
        <w:spacing w:line="252" w:lineRule="auto"/>
        <w:jc w:val="both"/>
        <w:rPr>
          <w:rFonts w:asciiTheme="majorHAnsi" w:hAnsiTheme="majorHAnsi" w:cstheme="majorHAnsi"/>
          <w:sz w:val="24"/>
          <w:szCs w:val="24"/>
        </w:rPr>
      </w:pPr>
      <w:r w:rsidRPr="00F70C9B">
        <w:rPr>
          <w:rFonts w:asciiTheme="majorHAnsi" w:hAnsiTheme="majorHAnsi" w:cstheme="majorHAnsi"/>
          <w:sz w:val="24"/>
          <w:szCs w:val="24"/>
        </w:rPr>
        <w:t xml:space="preserve">6.5. Atliekamas žaliasis pirkimas. Pirkimas vykdomas vadovaujantis </w:t>
      </w:r>
      <w:hyperlink r:id="rId9">
        <w:r w:rsidR="003054EA" w:rsidRPr="00F70C9B">
          <w:rPr>
            <w:rFonts w:asciiTheme="majorHAnsi" w:hAnsiTheme="majorHAnsi" w:cstheme="majorHAns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70C9B">
        <w:rPr>
          <w:rFonts w:asciiTheme="majorHAnsi" w:hAnsiTheme="majorHAnsi" w:cstheme="majorHAnsi"/>
          <w:sz w:val="24"/>
          <w:szCs w:val="24"/>
        </w:rPr>
        <w:t>“ 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0000036" w14:textId="77777777" w:rsidR="003054EA" w:rsidRPr="00F70C9B" w:rsidRDefault="002E7E01">
      <w:pPr>
        <w:spacing w:before="240" w:after="240"/>
        <w:rPr>
          <w:rFonts w:asciiTheme="majorHAnsi" w:hAnsiTheme="majorHAnsi" w:cstheme="majorHAnsi"/>
          <w:sz w:val="24"/>
          <w:szCs w:val="24"/>
        </w:rPr>
      </w:pPr>
      <w:r w:rsidRPr="00F70C9B">
        <w:rPr>
          <w:rFonts w:asciiTheme="majorHAnsi" w:hAnsiTheme="majorHAnsi" w:cstheme="majorHAnsi"/>
          <w:sz w:val="24"/>
          <w:szCs w:val="24"/>
        </w:rPr>
        <w:t xml:space="preserve"> </w:t>
      </w:r>
    </w:p>
    <w:p w14:paraId="00000037" w14:textId="77777777" w:rsidR="003054EA" w:rsidRPr="00F70C9B" w:rsidRDefault="002E7E01">
      <w:pPr>
        <w:rPr>
          <w:rFonts w:asciiTheme="majorHAnsi" w:hAnsiTheme="majorHAnsi" w:cstheme="majorHAnsi"/>
          <w:sz w:val="24"/>
          <w:szCs w:val="24"/>
        </w:rPr>
      </w:pPr>
      <w:r w:rsidRPr="00F70C9B">
        <w:rPr>
          <w:rFonts w:asciiTheme="majorHAnsi" w:hAnsiTheme="majorHAnsi" w:cstheme="majorHAnsi"/>
          <w:sz w:val="24"/>
          <w:szCs w:val="24"/>
        </w:rPr>
        <w:lastRenderedPageBreak/>
        <w:t xml:space="preserve"> </w:t>
      </w:r>
    </w:p>
    <w:p w14:paraId="00000038" w14:textId="77777777" w:rsidR="003054EA" w:rsidRPr="00F70C9B" w:rsidRDefault="003054EA">
      <w:pPr>
        <w:rPr>
          <w:rFonts w:asciiTheme="majorHAnsi" w:hAnsiTheme="majorHAnsi" w:cstheme="majorHAnsi"/>
          <w:sz w:val="24"/>
          <w:szCs w:val="24"/>
        </w:rPr>
      </w:pPr>
    </w:p>
    <w:sectPr w:rsidR="003054EA" w:rsidRPr="00F70C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EA"/>
    <w:rsid w:val="00092363"/>
    <w:rsid w:val="002E7E01"/>
    <w:rsid w:val="003054EA"/>
    <w:rsid w:val="005A23F1"/>
    <w:rsid w:val="008D55CA"/>
    <w:rsid w:val="00AD3244"/>
    <w:rsid w:val="00B13298"/>
    <w:rsid w:val="00ED51DD"/>
    <w:rsid w:val="00F70C9B"/>
    <w:rsid w:val="00F76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8AC9"/>
  <w15:docId w15:val="{320D64DF-5B8A-804D-89BF-EE808E1A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nta.lrv.lt/public/canonical/1733739405/808/Negaliai%20jautrios%20kalbos%20gair%C4%97s_adaptuotos.pd.pdf" TargetMode="External"/><Relationship Id="rId3" Type="http://schemas.openxmlformats.org/officeDocument/2006/relationships/webSettings" Target="webSettings.xml"/><Relationship Id="rId7" Type="http://schemas.openxmlformats.org/officeDocument/2006/relationships/hyperlink" Target="https://anta.lrv.lt/public/canonical/1733739405/808/Negaliai%20jautrios%20kalbos%20gair%C4%97s_adaptuotos.p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min.lrv.lt/zmones-su-negalia-bendruomeneje" TargetMode="External"/><Relationship Id="rId11" Type="http://schemas.openxmlformats.org/officeDocument/2006/relationships/theme" Target="theme/theme1.xml"/><Relationship Id="rId5" Type="http://schemas.openxmlformats.org/officeDocument/2006/relationships/hyperlink" Target="http://www.pertvarka.lt" TargetMode="External"/><Relationship Id="rId10" Type="http://schemas.openxmlformats.org/officeDocument/2006/relationships/fontTable" Target="fontTable.xml"/><Relationship Id="rId4" Type="http://schemas.openxmlformats.org/officeDocument/2006/relationships/hyperlink" Target="http://www.pertvarka.lt" TargetMode="Externa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8138</Words>
  <Characters>4640</Characters>
  <Application>Microsoft Office Word</Application>
  <DocSecurity>0</DocSecurity>
  <Lines>38</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Morkvėnaitė-Paulauskienė</dc:creator>
  <cp:lastModifiedBy>Jūratė Morkvėnaitė-Paulauskienė</cp:lastModifiedBy>
  <cp:revision>3</cp:revision>
  <dcterms:created xsi:type="dcterms:W3CDTF">2025-09-11T06:34:00Z</dcterms:created>
  <dcterms:modified xsi:type="dcterms:W3CDTF">2025-09-11T06:57:00Z</dcterms:modified>
</cp:coreProperties>
</file>