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9BC2" w14:textId="58D921C1" w:rsidR="00197F1B" w:rsidRPr="00085C38" w:rsidRDefault="00197F1B" w:rsidP="00197F1B">
      <w:pPr>
        <w:tabs>
          <w:tab w:val="left" w:pos="480"/>
        </w:tabs>
        <w:spacing w:before="60" w:after="60"/>
        <w:jc w:val="center"/>
        <w:rPr>
          <w:rFonts w:ascii="Arial" w:hAnsi="Arial" w:cs="Arial"/>
          <w:b/>
          <w:bCs/>
          <w:i/>
          <w:color w:val="FF0000"/>
          <w:u w:val="single"/>
        </w:rPr>
      </w:pPr>
      <w:r w:rsidRPr="00085C38">
        <w:rPr>
          <w:rFonts w:ascii="Arial" w:hAnsi="Arial" w:cs="Arial"/>
          <w:b/>
          <w:bCs/>
        </w:rPr>
        <w:t>PASIŪLYMŲ EKONOMINIO NAUDINGUMO VERTINIMO METODIKA</w:t>
      </w:r>
    </w:p>
    <w:p w14:paraId="4F472968" w14:textId="77777777" w:rsidR="00197F1B" w:rsidRPr="00085C38" w:rsidRDefault="00197F1B" w:rsidP="00197F1B">
      <w:pPr>
        <w:tabs>
          <w:tab w:val="left" w:pos="480"/>
        </w:tabs>
        <w:spacing w:before="60" w:after="60"/>
        <w:rPr>
          <w:rFonts w:ascii="Arial" w:hAnsi="Arial" w:cs="Arial"/>
        </w:rPr>
      </w:pPr>
    </w:p>
    <w:p w14:paraId="0E3F109B" w14:textId="2A7FB225" w:rsidR="00197F1B" w:rsidRPr="004A74D7" w:rsidRDefault="00197F1B" w:rsidP="004A74D7">
      <w:pPr>
        <w:numPr>
          <w:ilvl w:val="0"/>
          <w:numId w:val="1"/>
        </w:numPr>
        <w:spacing w:before="60" w:after="60" w:line="240" w:lineRule="auto"/>
        <w:ind w:left="284" w:hanging="284"/>
        <w:jc w:val="both"/>
        <w:rPr>
          <w:rFonts w:ascii="Arial" w:hAnsi="Arial" w:cs="Arial"/>
        </w:rPr>
      </w:pPr>
      <w:r w:rsidRPr="00085C38">
        <w:rPr>
          <w:rFonts w:ascii="Arial" w:hAnsi="Arial" w:cs="Arial"/>
        </w:rPr>
        <w:t>Šiame Priede pateikiami ekonomiškai naudingiausio Pasiūlymo vertinimo kriterijai, jų parametrai, lyginamieji svoriai, formulės, pagal kurias bus skaičiuojamas pasiūlymų ekonominis naudingumas, ekspertinio vertinimo metodikos aprašymas.</w:t>
      </w:r>
    </w:p>
    <w:p w14:paraId="246CCBDF" w14:textId="77777777" w:rsidR="00197F1B" w:rsidRDefault="00197F1B" w:rsidP="004A74D7">
      <w:pPr>
        <w:spacing w:before="120" w:after="60" w:line="240" w:lineRule="auto"/>
        <w:jc w:val="right"/>
        <w:rPr>
          <w:rFonts w:ascii="Arial" w:hAnsi="Arial" w:cs="Arial"/>
          <w:i/>
          <w:sz w:val="20"/>
          <w:szCs w:val="20"/>
        </w:rPr>
      </w:pPr>
      <w:r w:rsidRPr="004A74D7">
        <w:rPr>
          <w:rFonts w:ascii="Arial" w:hAnsi="Arial" w:cs="Arial"/>
          <w:i/>
          <w:sz w:val="20"/>
          <w:szCs w:val="20"/>
        </w:rPr>
        <w:t>1 Lentelė. Pasiūlymų vertinimo kriterijai ir lyginamieji svoriai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445"/>
      </w:tblGrid>
      <w:tr w:rsidR="00773829" w:rsidRPr="00AD2E5E" w14:paraId="5DE60602" w14:textId="77777777" w:rsidTr="00DE5281">
        <w:trPr>
          <w:cantSplit/>
          <w:trHeight w:val="613"/>
        </w:trPr>
        <w:tc>
          <w:tcPr>
            <w:tcW w:w="283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2E1923B" w14:textId="77777777" w:rsidR="00773829" w:rsidRPr="00AD2E5E" w:rsidRDefault="00773829" w:rsidP="00DE5281">
            <w:pPr>
              <w:spacing w:after="60" w:line="240" w:lineRule="auto"/>
              <w:ind w:left="-108" w:right="-108"/>
              <w:jc w:val="center"/>
              <w:rPr>
                <w:rFonts w:ascii="Arial" w:hAnsi="Arial" w:cs="Arial"/>
                <w:b/>
                <w:bCs/>
                <w:color w:val="000000"/>
                <w:sz w:val="20"/>
                <w:szCs w:val="20"/>
              </w:rPr>
            </w:pPr>
            <w:r w:rsidRPr="00AD2E5E">
              <w:rPr>
                <w:rFonts w:ascii="Arial" w:hAnsi="Arial" w:cs="Arial"/>
                <w:b/>
                <w:bCs/>
                <w:sz w:val="20"/>
                <w:szCs w:val="20"/>
              </w:rPr>
              <w:t>Vertinimo kriterijai ir parametrai</w:t>
            </w:r>
          </w:p>
        </w:tc>
        <w:tc>
          <w:tcPr>
            <w:tcW w:w="2168"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2B3919D" w14:textId="77777777" w:rsidR="00773829" w:rsidRPr="00AD2E5E" w:rsidRDefault="00773829" w:rsidP="00DE5281">
            <w:pPr>
              <w:spacing w:after="60" w:line="240" w:lineRule="auto"/>
              <w:ind w:left="-108" w:right="-108"/>
              <w:jc w:val="center"/>
              <w:rPr>
                <w:rFonts w:ascii="Arial" w:hAnsi="Arial" w:cs="Arial"/>
                <w:b/>
                <w:bCs/>
                <w:sz w:val="20"/>
                <w:szCs w:val="20"/>
              </w:rPr>
            </w:pPr>
            <w:r w:rsidRPr="00AD2E5E">
              <w:rPr>
                <w:rFonts w:ascii="Arial" w:hAnsi="Arial" w:cs="Arial"/>
                <w:b/>
                <w:bCs/>
                <w:color w:val="000000"/>
                <w:sz w:val="20"/>
                <w:szCs w:val="20"/>
              </w:rPr>
              <w:t>Lyginamasis svoris ekonominio naudingumo įvertinime</w:t>
            </w:r>
          </w:p>
        </w:tc>
      </w:tr>
      <w:tr w:rsidR="00773829" w:rsidRPr="00AD2E5E" w14:paraId="3A46981E" w14:textId="77777777" w:rsidTr="00DE5281">
        <w:trPr>
          <w:cantSplit/>
          <w:trHeight w:val="557"/>
        </w:trPr>
        <w:tc>
          <w:tcPr>
            <w:tcW w:w="2832" w:type="pct"/>
            <w:tcBorders>
              <w:top w:val="single" w:sz="4" w:space="0" w:color="auto"/>
              <w:left w:val="single" w:sz="4" w:space="0" w:color="auto"/>
              <w:bottom w:val="single" w:sz="4" w:space="0" w:color="auto"/>
              <w:right w:val="single" w:sz="4" w:space="0" w:color="auto"/>
            </w:tcBorders>
            <w:vAlign w:val="center"/>
            <w:hideMark/>
          </w:tcPr>
          <w:p w14:paraId="5C8160A1" w14:textId="77777777" w:rsidR="00773829" w:rsidRPr="00AD2E5E" w:rsidRDefault="00773829" w:rsidP="00DE5281">
            <w:pPr>
              <w:spacing w:before="60" w:after="60" w:line="276" w:lineRule="auto"/>
              <w:jc w:val="center"/>
              <w:rPr>
                <w:rFonts w:ascii="Arial" w:hAnsi="Arial" w:cs="Arial"/>
                <w:sz w:val="20"/>
                <w:szCs w:val="20"/>
              </w:rPr>
            </w:pPr>
            <w:r w:rsidRPr="00AD2E5E">
              <w:rPr>
                <w:rFonts w:ascii="Arial" w:hAnsi="Arial" w:cs="Arial"/>
                <w:b/>
                <w:sz w:val="20"/>
                <w:szCs w:val="20"/>
              </w:rPr>
              <w:t xml:space="preserve">I kriterijus – Kaina </w:t>
            </w:r>
            <w:r w:rsidRPr="00EA5331">
              <w:rPr>
                <w:rFonts w:ascii="Arial" w:hAnsi="Arial" w:cs="Arial"/>
                <w:b/>
                <w:iCs/>
                <w:sz w:val="20"/>
                <w:szCs w:val="20"/>
              </w:rPr>
              <w:t>(C)</w:t>
            </w:r>
          </w:p>
        </w:tc>
        <w:tc>
          <w:tcPr>
            <w:tcW w:w="2168" w:type="pct"/>
            <w:tcBorders>
              <w:top w:val="single" w:sz="4" w:space="0" w:color="auto"/>
              <w:left w:val="single" w:sz="4" w:space="0" w:color="auto"/>
              <w:bottom w:val="single" w:sz="4" w:space="0" w:color="auto"/>
              <w:right w:val="single" w:sz="4" w:space="0" w:color="auto"/>
            </w:tcBorders>
            <w:vAlign w:val="center"/>
            <w:hideMark/>
          </w:tcPr>
          <w:p w14:paraId="6A64DB86" w14:textId="77777777" w:rsidR="00773829" w:rsidRPr="00A5328F" w:rsidRDefault="00773829" w:rsidP="00DE5281">
            <w:pPr>
              <w:spacing w:before="60" w:after="60" w:line="276" w:lineRule="auto"/>
              <w:jc w:val="center"/>
              <w:rPr>
                <w:rFonts w:ascii="Arial" w:hAnsi="Arial" w:cs="Arial"/>
                <w:b/>
                <w:bCs/>
                <w:sz w:val="20"/>
                <w:szCs w:val="20"/>
              </w:rPr>
            </w:pPr>
            <w:r w:rsidRPr="00A5328F">
              <w:rPr>
                <w:rFonts w:ascii="Arial" w:hAnsi="Arial" w:cs="Arial"/>
                <w:b/>
                <w:bCs/>
                <w:sz w:val="20"/>
                <w:szCs w:val="20"/>
              </w:rPr>
              <w:t>X = 95</w:t>
            </w:r>
          </w:p>
        </w:tc>
      </w:tr>
      <w:tr w:rsidR="00773829" w:rsidRPr="00AD2E5E" w14:paraId="4F0FCF2E" w14:textId="77777777" w:rsidTr="00DE5281">
        <w:trPr>
          <w:cantSplit/>
          <w:trHeight w:val="583"/>
        </w:trPr>
        <w:tc>
          <w:tcPr>
            <w:tcW w:w="2832" w:type="pct"/>
            <w:tcBorders>
              <w:top w:val="single" w:sz="4" w:space="0" w:color="auto"/>
              <w:left w:val="single" w:sz="4" w:space="0" w:color="auto"/>
              <w:bottom w:val="single" w:sz="4" w:space="0" w:color="auto"/>
              <w:right w:val="single" w:sz="4" w:space="0" w:color="auto"/>
            </w:tcBorders>
            <w:vAlign w:val="center"/>
            <w:hideMark/>
          </w:tcPr>
          <w:p w14:paraId="41469B14" w14:textId="09CA791A" w:rsidR="00773829" w:rsidRPr="00AD2E5E" w:rsidRDefault="00773829" w:rsidP="00DE5281">
            <w:pPr>
              <w:spacing w:before="60" w:after="60" w:line="276" w:lineRule="auto"/>
              <w:jc w:val="center"/>
              <w:rPr>
                <w:rFonts w:ascii="Arial" w:hAnsi="Arial" w:cs="Arial"/>
                <w:sz w:val="20"/>
                <w:szCs w:val="20"/>
              </w:rPr>
            </w:pPr>
            <w:r w:rsidRPr="00AD2E5E">
              <w:rPr>
                <w:rFonts w:ascii="Arial" w:hAnsi="Arial" w:cs="Arial"/>
                <w:b/>
                <w:sz w:val="20"/>
                <w:szCs w:val="20"/>
              </w:rPr>
              <w:t xml:space="preserve">II kriterijus – </w:t>
            </w:r>
            <w:r>
              <w:rPr>
                <w:rFonts w:ascii="Arial" w:hAnsi="Arial" w:cs="Arial"/>
                <w:b/>
                <w:sz w:val="20"/>
                <w:szCs w:val="20"/>
              </w:rPr>
              <w:t>Papildomas garantinis terminas prekėms mėnesiais</w:t>
            </w:r>
            <w:r w:rsidRPr="00AD2E5E">
              <w:rPr>
                <w:rFonts w:ascii="Arial" w:hAnsi="Arial" w:cs="Arial"/>
                <w:bCs/>
                <w:iCs/>
                <w:sz w:val="20"/>
                <w:szCs w:val="20"/>
                <w:lang w:eastAsia="lt-LT"/>
              </w:rPr>
              <w:t xml:space="preserve"> </w:t>
            </w:r>
            <w:r w:rsidRPr="00AD2E5E">
              <w:rPr>
                <w:rFonts w:ascii="Arial" w:hAnsi="Arial" w:cs="Arial"/>
                <w:b/>
                <w:sz w:val="20"/>
                <w:szCs w:val="20"/>
              </w:rPr>
              <w:t>(</w:t>
            </w:r>
            <w:r>
              <w:rPr>
                <w:rFonts w:ascii="Arial" w:hAnsi="Arial" w:cs="Arial"/>
                <w:b/>
                <w:sz w:val="20"/>
                <w:szCs w:val="20"/>
              </w:rPr>
              <w:t>T</w:t>
            </w:r>
            <w:r w:rsidRPr="00AD2E5E">
              <w:rPr>
                <w:rFonts w:ascii="Arial" w:hAnsi="Arial" w:cs="Arial"/>
                <w:b/>
                <w:sz w:val="20"/>
                <w:szCs w:val="20"/>
              </w:rPr>
              <w:t>)</w:t>
            </w:r>
          </w:p>
        </w:tc>
        <w:tc>
          <w:tcPr>
            <w:tcW w:w="2168" w:type="pct"/>
            <w:tcBorders>
              <w:top w:val="single" w:sz="4" w:space="0" w:color="auto"/>
              <w:left w:val="single" w:sz="4" w:space="0" w:color="auto"/>
              <w:bottom w:val="single" w:sz="4" w:space="0" w:color="auto"/>
              <w:right w:val="single" w:sz="4" w:space="0" w:color="auto"/>
            </w:tcBorders>
            <w:vAlign w:val="center"/>
            <w:hideMark/>
          </w:tcPr>
          <w:p w14:paraId="4CB8227C" w14:textId="77777777" w:rsidR="00773829" w:rsidRPr="00A5328F" w:rsidRDefault="00773829" w:rsidP="00DE5281">
            <w:pPr>
              <w:spacing w:before="60" w:after="60" w:line="276" w:lineRule="auto"/>
              <w:jc w:val="center"/>
              <w:rPr>
                <w:rFonts w:ascii="Arial" w:hAnsi="Arial" w:cs="Arial"/>
                <w:b/>
                <w:bCs/>
                <w:sz w:val="20"/>
                <w:szCs w:val="20"/>
              </w:rPr>
            </w:pPr>
            <w:r w:rsidRPr="00A5328F">
              <w:rPr>
                <w:rFonts w:ascii="Arial" w:hAnsi="Arial" w:cs="Arial"/>
                <w:b/>
                <w:bCs/>
                <w:sz w:val="20"/>
                <w:szCs w:val="20"/>
              </w:rPr>
              <w:t>Y = 5</w:t>
            </w:r>
          </w:p>
        </w:tc>
      </w:tr>
    </w:tbl>
    <w:p w14:paraId="4105D532" w14:textId="77777777" w:rsidR="003D6091" w:rsidRPr="004A74D7" w:rsidRDefault="003D6091" w:rsidP="003D6091">
      <w:pPr>
        <w:spacing w:before="120" w:after="60" w:line="240" w:lineRule="auto"/>
        <w:rPr>
          <w:rFonts w:ascii="Arial" w:hAnsi="Arial" w:cs="Arial"/>
          <w:i/>
          <w:sz w:val="20"/>
          <w:szCs w:val="20"/>
        </w:rPr>
      </w:pPr>
    </w:p>
    <w:p w14:paraId="37B37498" w14:textId="77777777" w:rsidR="00AB1FF2" w:rsidRDefault="00AB1FF2" w:rsidP="00AB1FF2">
      <w:pPr>
        <w:pStyle w:val="Heading2"/>
        <w:numPr>
          <w:ilvl w:val="0"/>
          <w:numId w:val="3"/>
        </w:numPr>
        <w:tabs>
          <w:tab w:val="left" w:pos="284"/>
          <w:tab w:val="left" w:pos="426"/>
          <w:tab w:val="left" w:pos="851"/>
        </w:tabs>
        <w:spacing w:after="0"/>
        <w:ind w:left="284" w:hanging="284"/>
        <w:jc w:val="both"/>
        <w:rPr>
          <w:rFonts w:ascii="Arial" w:hAnsi="Arial" w:cs="Arial"/>
          <w:b w:val="0"/>
          <w:bCs w:val="0"/>
          <w:i w:val="0"/>
          <w:iCs w:val="0"/>
          <w:sz w:val="22"/>
          <w:szCs w:val="22"/>
        </w:rPr>
      </w:pPr>
      <w:r>
        <w:rPr>
          <w:rFonts w:ascii="Arial" w:hAnsi="Arial" w:cs="Arial"/>
          <w:b w:val="0"/>
          <w:bCs w:val="0"/>
          <w:i w:val="0"/>
          <w:iCs w:val="0"/>
          <w:sz w:val="22"/>
          <w:szCs w:val="22"/>
        </w:rPr>
        <w:t>T kriterijus bus vertinamas 5 punkte nurodyta tvarka. Taškai suteikiami sveikaisiais skaičiais.</w:t>
      </w:r>
    </w:p>
    <w:p w14:paraId="7A8CA9A1" w14:textId="08C61FFA" w:rsidR="00AB1FF2" w:rsidRPr="00085C38" w:rsidRDefault="00AB1FF2" w:rsidP="00AB1FF2">
      <w:pPr>
        <w:pStyle w:val="Heading2"/>
        <w:numPr>
          <w:ilvl w:val="0"/>
          <w:numId w:val="3"/>
        </w:numPr>
        <w:tabs>
          <w:tab w:val="left" w:pos="284"/>
          <w:tab w:val="left" w:pos="426"/>
          <w:tab w:val="left" w:pos="851"/>
        </w:tabs>
        <w:spacing w:after="0"/>
        <w:ind w:left="284" w:hanging="284"/>
        <w:jc w:val="both"/>
        <w:rPr>
          <w:rFonts w:ascii="Arial" w:hAnsi="Arial" w:cs="Arial"/>
          <w:b w:val="0"/>
          <w:bCs w:val="0"/>
          <w:i w:val="0"/>
          <w:iCs w:val="0"/>
          <w:sz w:val="22"/>
          <w:szCs w:val="22"/>
        </w:rPr>
      </w:pPr>
      <w:r w:rsidRPr="00085C38">
        <w:rPr>
          <w:rFonts w:ascii="Arial" w:hAnsi="Arial" w:cs="Arial"/>
          <w:b w:val="0"/>
          <w:bCs w:val="0"/>
          <w:i w:val="0"/>
          <w:iCs w:val="0"/>
          <w:sz w:val="22"/>
          <w:szCs w:val="22"/>
        </w:rPr>
        <w:t>Pasiūlymo ekonominio naudingumo (</w:t>
      </w:r>
      <w:r w:rsidRPr="00085C38">
        <w:rPr>
          <w:rFonts w:ascii="Arial" w:hAnsi="Arial" w:cs="Arial"/>
          <w:b w:val="0"/>
          <w:bCs w:val="0"/>
          <w:i w:val="0"/>
          <w:iCs w:val="0"/>
          <w:position w:val="-6"/>
          <w:sz w:val="22"/>
          <w:szCs w:val="22"/>
        </w:rPr>
        <w:object w:dxaOrig="220" w:dyaOrig="279" w14:anchorId="38F9A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5pt;height:15pt" o:ole="" fillcolor="window">
            <v:imagedata r:id="rId10" o:title=""/>
          </v:shape>
          <o:OLEObject Type="Embed" ProgID="Equation.3" ShapeID="_x0000_i1097" DrawAspect="Content" ObjectID="_1831810511" r:id="rId11"/>
        </w:object>
      </w:r>
      <w:r w:rsidRPr="00085C38">
        <w:rPr>
          <w:rFonts w:ascii="Arial" w:hAnsi="Arial" w:cs="Arial"/>
          <w:b w:val="0"/>
          <w:bCs w:val="0"/>
          <w:i w:val="0"/>
          <w:iCs w:val="0"/>
          <w:sz w:val="22"/>
          <w:szCs w:val="22"/>
        </w:rPr>
        <w:t>) balai bus apskaičiuojami sudedant Pasiūlymo kainos (</w:t>
      </w:r>
      <w:r w:rsidRPr="00085C38">
        <w:rPr>
          <w:rFonts w:ascii="Arial" w:hAnsi="Arial" w:cs="Arial"/>
          <w:b w:val="0"/>
          <w:bCs w:val="0"/>
          <w:i w:val="0"/>
          <w:iCs w:val="0"/>
          <w:position w:val="-6"/>
          <w:sz w:val="22"/>
          <w:szCs w:val="22"/>
        </w:rPr>
        <w:object w:dxaOrig="240" w:dyaOrig="279" w14:anchorId="5D102DF2">
          <v:shape id="_x0000_i1098" type="#_x0000_t75" style="width:15pt;height:15pt" o:ole="" fillcolor="window">
            <v:imagedata r:id="rId12" o:title=""/>
          </v:shape>
          <o:OLEObject Type="Embed" ProgID="Equation.3" ShapeID="_x0000_i1098" DrawAspect="Content" ObjectID="_1831810512" r:id="rId13"/>
        </w:object>
      </w:r>
      <w:r w:rsidRPr="00085C38">
        <w:rPr>
          <w:rFonts w:ascii="Arial" w:hAnsi="Arial" w:cs="Arial"/>
          <w:b w:val="0"/>
          <w:bCs w:val="0"/>
          <w:i w:val="0"/>
          <w:iCs w:val="0"/>
          <w:sz w:val="22"/>
          <w:szCs w:val="22"/>
        </w:rPr>
        <w:t xml:space="preserve">), ir </w:t>
      </w:r>
      <w:r w:rsidR="00793C0D">
        <w:rPr>
          <w:rFonts w:ascii="Arial" w:hAnsi="Arial" w:cs="Arial"/>
          <w:b w:val="0"/>
          <w:bCs w:val="0"/>
          <w:i w:val="0"/>
          <w:iCs w:val="0"/>
          <w:sz w:val="22"/>
          <w:szCs w:val="22"/>
        </w:rPr>
        <w:t>papildomo garantinio termino prekėms mėnesiais</w:t>
      </w:r>
      <w:r w:rsidRPr="00085C38">
        <w:rPr>
          <w:rFonts w:ascii="Arial" w:hAnsi="Arial" w:cs="Arial"/>
          <w:b w:val="0"/>
          <w:bCs w:val="0"/>
          <w:i w:val="0"/>
          <w:iCs w:val="0"/>
          <w:sz w:val="22"/>
          <w:szCs w:val="22"/>
        </w:rPr>
        <w:t xml:space="preserve"> (</w:t>
      </w:r>
      <w:r w:rsidRPr="00085C38">
        <w:rPr>
          <w:rFonts w:ascii="Arial" w:hAnsi="Arial" w:cs="Arial"/>
          <w:b w:val="0"/>
          <w:bCs w:val="0"/>
          <w:i w:val="0"/>
          <w:iCs w:val="0"/>
          <w:position w:val="-4"/>
          <w:sz w:val="22"/>
          <w:szCs w:val="22"/>
        </w:rPr>
        <w:object w:dxaOrig="220" w:dyaOrig="260" w14:anchorId="50BF977F">
          <v:shape id="_x0000_i1099" type="#_x0000_t75" style="width:15pt;height:15pt" o:ole="" fillcolor="window">
            <v:imagedata r:id="rId14" o:title=""/>
          </v:shape>
          <o:OLEObject Type="Embed" ProgID="Equation.3" ShapeID="_x0000_i1099" DrawAspect="Content" ObjectID="_1831810513" r:id="rId15"/>
        </w:object>
      </w:r>
      <w:r w:rsidRPr="00085C38">
        <w:rPr>
          <w:rFonts w:ascii="Arial" w:hAnsi="Arial" w:cs="Arial"/>
          <w:b w:val="0"/>
          <w:bCs w:val="0"/>
          <w:i w:val="0"/>
          <w:iCs w:val="0"/>
          <w:sz w:val="22"/>
          <w:szCs w:val="22"/>
        </w:rPr>
        <w:t>) balus:</w:t>
      </w:r>
    </w:p>
    <w:p w14:paraId="01549175" w14:textId="77777777" w:rsidR="00AB1FF2" w:rsidRPr="00085C38" w:rsidRDefault="00AB1FF2" w:rsidP="00AB1FF2">
      <w:pPr>
        <w:pStyle w:val="Heading2"/>
        <w:tabs>
          <w:tab w:val="left" w:pos="284"/>
          <w:tab w:val="left" w:pos="426"/>
          <w:tab w:val="left" w:pos="709"/>
          <w:tab w:val="left" w:pos="851"/>
        </w:tabs>
        <w:spacing w:before="0" w:after="0"/>
        <w:ind w:hanging="720"/>
        <w:rPr>
          <w:rFonts w:ascii="Arial" w:hAnsi="Arial" w:cs="Arial"/>
          <w:b w:val="0"/>
          <w:bCs w:val="0"/>
          <w:i w:val="0"/>
          <w:iCs w:val="0"/>
          <w:sz w:val="22"/>
          <w:szCs w:val="22"/>
        </w:rPr>
      </w:pPr>
      <w:r w:rsidRPr="00085C38">
        <w:rPr>
          <w:rFonts w:ascii="Arial" w:hAnsi="Arial" w:cs="Arial"/>
          <w:b w:val="0"/>
          <w:bCs w:val="0"/>
          <w:i w:val="0"/>
          <w:iCs w:val="0"/>
          <w:sz w:val="22"/>
          <w:szCs w:val="22"/>
        </w:rPr>
        <w:tab/>
      </w:r>
      <w:r w:rsidRPr="00085C38">
        <w:rPr>
          <w:rFonts w:ascii="Arial" w:hAnsi="Arial" w:cs="Arial"/>
          <w:b w:val="0"/>
          <w:bCs w:val="0"/>
          <w:i w:val="0"/>
          <w:iCs w:val="0"/>
          <w:sz w:val="22"/>
          <w:szCs w:val="22"/>
        </w:rPr>
        <w:tab/>
      </w:r>
    </w:p>
    <w:p w14:paraId="245CF4AC" w14:textId="77777777" w:rsidR="00AB1FF2" w:rsidRPr="004A0B7D" w:rsidRDefault="00AB1FF2" w:rsidP="00AB1FF2">
      <w:pPr>
        <w:pStyle w:val="Heading2"/>
        <w:tabs>
          <w:tab w:val="left" w:pos="284"/>
          <w:tab w:val="left" w:pos="426"/>
          <w:tab w:val="left" w:pos="709"/>
          <w:tab w:val="left" w:pos="851"/>
        </w:tabs>
        <w:spacing w:before="0" w:after="0"/>
        <w:ind w:firstLine="284"/>
        <w:jc w:val="center"/>
        <w:rPr>
          <w:rFonts w:ascii="Arial" w:hAnsi="Arial" w:cs="Arial"/>
          <w:b w:val="0"/>
          <w:bCs w:val="0"/>
          <w:i w:val="0"/>
          <w:iCs w:val="0"/>
          <w:sz w:val="22"/>
          <w:szCs w:val="22"/>
        </w:rPr>
      </w:pPr>
      <w:r w:rsidRPr="00085C38">
        <w:rPr>
          <w:rFonts w:ascii="Arial" w:hAnsi="Arial" w:cs="Arial"/>
          <w:b w:val="0"/>
          <w:bCs w:val="0"/>
          <w:i w:val="0"/>
          <w:iCs w:val="0"/>
          <w:position w:val="-6"/>
          <w:sz w:val="22"/>
          <w:szCs w:val="22"/>
        </w:rPr>
        <w:object w:dxaOrig="980" w:dyaOrig="279" w14:anchorId="6123C345">
          <v:shape id="_x0000_i1100" type="#_x0000_t75" style="width:49.55pt;height:15pt" o:ole="" fillcolor="window">
            <v:imagedata r:id="rId16" o:title=""/>
          </v:shape>
          <o:OLEObject Type="Embed" ProgID="Equation.3" ShapeID="_x0000_i1100" DrawAspect="Content" ObjectID="_1831810514" r:id="rId17"/>
        </w:object>
      </w:r>
    </w:p>
    <w:p w14:paraId="1D2322AF" w14:textId="77777777" w:rsidR="00AB1FF2" w:rsidRPr="00085C38" w:rsidRDefault="00AB1FF2" w:rsidP="00AB1FF2">
      <w:pPr>
        <w:pStyle w:val="Heading2"/>
        <w:tabs>
          <w:tab w:val="left" w:pos="567"/>
        </w:tabs>
        <w:spacing w:before="0" w:after="0"/>
        <w:jc w:val="both"/>
        <w:rPr>
          <w:rFonts w:ascii="Arial" w:hAnsi="Arial" w:cs="Arial"/>
          <w:b w:val="0"/>
          <w:i w:val="0"/>
          <w:sz w:val="22"/>
          <w:szCs w:val="22"/>
          <w:lang w:eastAsia="lt-LT"/>
        </w:rPr>
      </w:pPr>
      <w:r>
        <w:rPr>
          <w:rFonts w:ascii="Arial" w:hAnsi="Arial" w:cs="Arial"/>
          <w:b w:val="0"/>
          <w:i w:val="0"/>
          <w:sz w:val="22"/>
          <w:szCs w:val="22"/>
          <w:lang w:eastAsia="lt-LT"/>
        </w:rPr>
        <w:t xml:space="preserve">4. </w:t>
      </w:r>
      <w:r w:rsidRPr="00085C38">
        <w:rPr>
          <w:rFonts w:ascii="Arial" w:hAnsi="Arial" w:cs="Arial"/>
          <w:b w:val="0"/>
          <w:i w:val="0"/>
          <w:sz w:val="22"/>
          <w:szCs w:val="22"/>
          <w:lang w:eastAsia="lt-LT"/>
        </w:rPr>
        <w:t>Pasiūlymo kainos kriterijaus (</w:t>
      </w:r>
      <w:r w:rsidRPr="00085C38">
        <w:rPr>
          <w:rFonts w:ascii="Arial" w:hAnsi="Arial" w:cs="Arial"/>
          <w:b w:val="0"/>
          <w:i w:val="0"/>
          <w:position w:val="-6"/>
          <w:sz w:val="22"/>
          <w:szCs w:val="22"/>
        </w:rPr>
        <w:object w:dxaOrig="240" w:dyaOrig="285" w14:anchorId="340709A1">
          <v:shape id="_x0000_i1101" type="#_x0000_t75" style="width:15pt;height:15pt" o:ole="" fillcolor="window">
            <v:imagedata r:id="rId18" o:title=""/>
          </v:shape>
          <o:OLEObject Type="Embed" ProgID="Equation.3" ShapeID="_x0000_i1101" DrawAspect="Content" ObjectID="_1831810515" r:id="rId19"/>
        </w:object>
      </w:r>
      <w:r w:rsidRPr="00085C38">
        <w:rPr>
          <w:rFonts w:ascii="Arial" w:hAnsi="Arial" w:cs="Arial"/>
          <w:b w:val="0"/>
          <w:i w:val="0"/>
          <w:sz w:val="22"/>
          <w:szCs w:val="22"/>
          <w:lang w:eastAsia="lt-LT"/>
        </w:rPr>
        <w:t>) balai apskaičiuojami mažiausios pasiūlytos kainos (</w:t>
      </w:r>
      <w:r w:rsidRPr="00085C38">
        <w:rPr>
          <w:rFonts w:ascii="Arial" w:hAnsi="Arial" w:cs="Arial"/>
          <w:b w:val="0"/>
          <w:i w:val="0"/>
          <w:position w:val="-10"/>
          <w:sz w:val="22"/>
          <w:szCs w:val="22"/>
        </w:rPr>
        <w:object w:dxaOrig="465" w:dyaOrig="330" w14:anchorId="0D093DFB">
          <v:shape id="_x0000_i1102" type="#_x0000_t75" style="width:22.45pt;height:15pt" o:ole="" fillcolor="window">
            <v:imagedata r:id="rId20" o:title=""/>
          </v:shape>
          <o:OLEObject Type="Embed" ProgID="Equation.3" ShapeID="_x0000_i1102" DrawAspect="Content" ObjectID="_1831810516" r:id="rId21"/>
        </w:object>
      </w:r>
      <w:r w:rsidRPr="00085C38">
        <w:rPr>
          <w:rFonts w:ascii="Arial" w:hAnsi="Arial" w:cs="Arial"/>
          <w:b w:val="0"/>
          <w:i w:val="0"/>
          <w:sz w:val="22"/>
          <w:szCs w:val="22"/>
          <w:lang w:eastAsia="lt-LT"/>
        </w:rPr>
        <w:t>) ir vertinamame pasiūlymo nurodytos Pasiūlymo kainos (</w:t>
      </w:r>
      <w:r w:rsidRPr="00085C38">
        <w:rPr>
          <w:rFonts w:ascii="Arial" w:hAnsi="Arial" w:cs="Arial"/>
          <w:b w:val="0"/>
          <w:i w:val="0"/>
          <w:position w:val="-14"/>
          <w:sz w:val="22"/>
          <w:szCs w:val="22"/>
        </w:rPr>
        <w:object w:dxaOrig="375" w:dyaOrig="375" w14:anchorId="369B8D84">
          <v:shape id="_x0000_i1103" type="#_x0000_t75" style="width:22.45pt;height:22.45pt" o:ole="" fillcolor="window">
            <v:imagedata r:id="rId22" o:title=""/>
          </v:shape>
          <o:OLEObject Type="Embed" ProgID="Equation.3" ShapeID="_x0000_i1103" DrawAspect="Content" ObjectID="_1831810517" r:id="rId23"/>
        </w:object>
      </w:r>
      <w:r w:rsidRPr="00085C38">
        <w:rPr>
          <w:rFonts w:ascii="Arial" w:hAnsi="Arial" w:cs="Arial"/>
          <w:b w:val="0"/>
          <w:i w:val="0"/>
          <w:sz w:val="22"/>
          <w:szCs w:val="22"/>
          <w:lang w:eastAsia="lt-LT"/>
        </w:rPr>
        <w:t xml:space="preserve">) </w:t>
      </w:r>
      <w:r w:rsidRPr="00085C38">
        <w:rPr>
          <w:rFonts w:ascii="Arial" w:hAnsi="Arial" w:cs="Arial"/>
          <w:b w:val="0"/>
          <w:bCs w:val="0"/>
          <w:i w:val="0"/>
          <w:iCs w:val="0"/>
          <w:sz w:val="22"/>
          <w:szCs w:val="22"/>
          <w:lang w:eastAsia="lt-LT"/>
        </w:rPr>
        <w:t>(pateikiama užpildant Pasiūlymo formoje esančią lentelę)</w:t>
      </w:r>
      <w:r w:rsidRPr="00085C38">
        <w:rPr>
          <w:rFonts w:ascii="Arial" w:hAnsi="Arial" w:cs="Arial"/>
          <w:b w:val="0"/>
          <w:i w:val="0"/>
          <w:sz w:val="22"/>
          <w:szCs w:val="22"/>
          <w:lang w:eastAsia="lt-LT"/>
        </w:rPr>
        <w:t xml:space="preserve"> santykį padauginant iš kainos kriterijaus lyginamojo svorio (</w:t>
      </w:r>
      <w:r w:rsidRPr="00085C38">
        <w:rPr>
          <w:rFonts w:ascii="Arial" w:hAnsi="Arial" w:cs="Arial"/>
          <w:b w:val="0"/>
          <w:i w:val="0"/>
          <w:noProof/>
          <w:position w:val="-4"/>
          <w:sz w:val="22"/>
          <w:szCs w:val="22"/>
          <w:lang w:eastAsia="lt-LT"/>
        </w:rPr>
        <w:drawing>
          <wp:inline distT="0" distB="0" distL="0" distR="0" wp14:anchorId="30A365F9" wp14:editId="078BBF0E">
            <wp:extent cx="180975" cy="152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085C38">
        <w:rPr>
          <w:rFonts w:ascii="Arial" w:hAnsi="Arial" w:cs="Arial"/>
          <w:b w:val="0"/>
          <w:i w:val="0"/>
          <w:sz w:val="22"/>
          <w:szCs w:val="22"/>
          <w:lang w:eastAsia="lt-LT"/>
        </w:rPr>
        <w:t>):</w:t>
      </w:r>
    </w:p>
    <w:p w14:paraId="67F65B64" w14:textId="77777777" w:rsidR="00AB1FF2" w:rsidRDefault="00AB1FF2" w:rsidP="00AB1FF2">
      <w:pPr>
        <w:tabs>
          <w:tab w:val="left" w:pos="284"/>
          <w:tab w:val="left" w:pos="709"/>
        </w:tabs>
        <w:spacing w:before="60" w:after="60"/>
        <w:ind w:firstLine="1134"/>
        <w:jc w:val="center"/>
        <w:rPr>
          <w:rFonts w:ascii="Arial" w:hAnsi="Arial" w:cs="Arial"/>
          <w:position w:val="-32"/>
        </w:rPr>
      </w:pPr>
      <w:r w:rsidRPr="00085C38">
        <w:rPr>
          <w:rFonts w:ascii="Arial" w:hAnsi="Arial" w:cs="Arial"/>
          <w:position w:val="-32"/>
        </w:rPr>
        <w:object w:dxaOrig="1275" w:dyaOrig="690" w14:anchorId="0890D7CC">
          <v:shape id="_x0000_i1104" type="#_x0000_t75" style="width:64.5pt;height:34.55pt" o:ole="" fillcolor="window">
            <v:imagedata r:id="rId25" o:title=""/>
          </v:shape>
          <o:OLEObject Type="Embed" ProgID="Equation.3" ShapeID="_x0000_i1104" DrawAspect="Content" ObjectID="_1831810518" r:id="rId26"/>
        </w:object>
      </w:r>
    </w:p>
    <w:p w14:paraId="711CFC48" w14:textId="597AA2CF" w:rsidR="00AB1FF2" w:rsidRPr="00AD471A" w:rsidRDefault="00AB1FF2" w:rsidP="00AB1FF2">
      <w:pPr>
        <w:pStyle w:val="Heading2"/>
        <w:tabs>
          <w:tab w:val="left" w:pos="567"/>
        </w:tabs>
        <w:spacing w:before="60"/>
        <w:jc w:val="both"/>
        <w:rPr>
          <w:rFonts w:ascii="Arial" w:hAnsi="Arial" w:cs="Arial"/>
          <w:b w:val="0"/>
          <w:i w:val="0"/>
          <w:sz w:val="22"/>
          <w:szCs w:val="22"/>
          <w:lang w:eastAsia="lt-LT"/>
        </w:rPr>
      </w:pPr>
      <w:r>
        <w:rPr>
          <w:rFonts w:ascii="Arial" w:hAnsi="Arial" w:cs="Arial"/>
          <w:b w:val="0"/>
          <w:bCs w:val="0"/>
          <w:i w:val="0"/>
          <w:sz w:val="22"/>
          <w:szCs w:val="22"/>
        </w:rPr>
        <w:t xml:space="preserve">5. </w:t>
      </w:r>
      <w:r w:rsidR="00793C0D">
        <w:rPr>
          <w:rFonts w:ascii="Arial" w:hAnsi="Arial" w:cs="Arial"/>
          <w:b w:val="0"/>
          <w:bCs w:val="0"/>
          <w:i w:val="0"/>
          <w:sz w:val="22"/>
          <w:szCs w:val="22"/>
        </w:rPr>
        <w:t>Papildomo garantinio termino prekėms mėnesiais</w:t>
      </w:r>
      <w:r w:rsidRPr="00A201A5">
        <w:rPr>
          <w:rFonts w:ascii="Arial" w:hAnsi="Arial" w:cs="Arial"/>
          <w:b w:val="0"/>
          <w:bCs w:val="0"/>
          <w:i w:val="0"/>
          <w:sz w:val="22"/>
          <w:szCs w:val="22"/>
        </w:rPr>
        <w:t xml:space="preserve"> termino</w:t>
      </w:r>
      <w:r w:rsidRPr="00A201A5">
        <w:rPr>
          <w:rFonts w:ascii="Arial" w:hAnsi="Arial" w:cs="Arial"/>
          <w:i w:val="0"/>
          <w:sz w:val="22"/>
          <w:szCs w:val="22"/>
        </w:rPr>
        <w:t xml:space="preserve"> </w:t>
      </w:r>
      <w:r w:rsidRPr="00A201A5">
        <w:rPr>
          <w:rFonts w:ascii="Arial" w:hAnsi="Arial" w:cs="Arial"/>
          <w:b w:val="0"/>
          <w:i w:val="0"/>
          <w:sz w:val="22"/>
          <w:szCs w:val="22"/>
          <w:lang w:eastAsia="lt-LT"/>
        </w:rPr>
        <w:t>kriterijaus (T) balai skaičiuojami pagal lentelėje Nr. 2 nurodytą balų skaičiavimo procedūrą. Kriterijaus (T) balai apskaičiuojami santykį tarp įvertinto Tiekėjo balo (</w:t>
      </w:r>
      <w:proofErr w:type="spellStart"/>
      <w:r w:rsidRPr="00A201A5">
        <w:rPr>
          <w:rFonts w:ascii="Arial" w:hAnsi="Arial" w:cs="Arial"/>
          <w:b w:val="0"/>
          <w:i w:val="0"/>
          <w:sz w:val="22"/>
          <w:szCs w:val="22"/>
          <w:lang w:eastAsia="lt-LT"/>
        </w:rPr>
        <w:t>T</w:t>
      </w:r>
      <w:r w:rsidRPr="00A201A5">
        <w:rPr>
          <w:rFonts w:ascii="Arial" w:hAnsi="Arial" w:cs="Arial"/>
          <w:b w:val="0"/>
          <w:i w:val="0"/>
          <w:sz w:val="22"/>
          <w:szCs w:val="22"/>
          <w:vertAlign w:val="subscript"/>
          <w:lang w:eastAsia="lt-LT"/>
        </w:rPr>
        <w:t>p</w:t>
      </w:r>
      <w:proofErr w:type="spellEnd"/>
      <w:r w:rsidRPr="00A201A5">
        <w:rPr>
          <w:rFonts w:ascii="Arial" w:hAnsi="Arial" w:cs="Arial"/>
          <w:b w:val="0"/>
          <w:i w:val="0"/>
          <w:sz w:val="22"/>
          <w:szCs w:val="22"/>
          <w:lang w:eastAsia="lt-LT"/>
        </w:rPr>
        <w:t>) ir geriausiai įvertinto (daugiausiai balų) tiekėjo pasiūlymo (</w:t>
      </w:r>
      <w:proofErr w:type="spellStart"/>
      <w:r w:rsidRPr="00A201A5">
        <w:rPr>
          <w:rFonts w:ascii="Arial" w:hAnsi="Arial" w:cs="Arial"/>
          <w:b w:val="0"/>
          <w:i w:val="0"/>
          <w:sz w:val="22"/>
          <w:szCs w:val="22"/>
          <w:lang w:eastAsia="lt-LT"/>
        </w:rPr>
        <w:t>T</w:t>
      </w:r>
      <w:r w:rsidRPr="00A201A5">
        <w:rPr>
          <w:rFonts w:ascii="Arial" w:hAnsi="Arial" w:cs="Arial"/>
          <w:b w:val="0"/>
          <w:i w:val="0"/>
          <w:sz w:val="22"/>
          <w:szCs w:val="22"/>
          <w:vertAlign w:val="subscript"/>
          <w:lang w:eastAsia="lt-LT"/>
        </w:rPr>
        <w:t>max</w:t>
      </w:r>
      <w:proofErr w:type="spellEnd"/>
      <w:r w:rsidRPr="00A201A5">
        <w:rPr>
          <w:rFonts w:ascii="Arial" w:hAnsi="Arial" w:cs="Arial"/>
          <w:b w:val="0"/>
          <w:i w:val="0"/>
          <w:sz w:val="22"/>
          <w:szCs w:val="22"/>
          <w:lang w:eastAsia="lt-LT"/>
        </w:rPr>
        <w:t>) padauginus iš vertinamo kriterijaus lyginamojo svorio (Y):</w:t>
      </w:r>
    </w:p>
    <w:p w14:paraId="00073C5D" w14:textId="77777777" w:rsidR="00AB1FF2" w:rsidRPr="00A201A5" w:rsidRDefault="00AB1FF2" w:rsidP="00AB1FF2">
      <w:pPr>
        <w:pStyle w:val="ListParagraph"/>
        <w:tabs>
          <w:tab w:val="left" w:pos="0"/>
          <w:tab w:val="left" w:pos="567"/>
        </w:tabs>
        <w:ind w:left="0"/>
        <w:jc w:val="center"/>
        <w:rPr>
          <w:rFonts w:ascii="Arial" w:hAnsi="Arial" w:cs="Arial"/>
          <w:sz w:val="22"/>
          <w:szCs w:val="22"/>
        </w:rPr>
      </w:pPr>
      <w:r w:rsidRPr="00A201A5">
        <w:rPr>
          <w:rFonts w:ascii="Arial" w:hAnsi="Arial" w:cs="Arial"/>
          <w:sz w:val="22"/>
          <w:szCs w:val="22"/>
        </w:rPr>
        <w:t>T=</w:t>
      </w:r>
      <w:proofErr w:type="spellStart"/>
      <w:r w:rsidRPr="00A201A5">
        <w:rPr>
          <w:rFonts w:ascii="Arial" w:hAnsi="Arial" w:cs="Arial"/>
          <w:sz w:val="22"/>
          <w:szCs w:val="22"/>
        </w:rPr>
        <w:t>T</w:t>
      </w:r>
      <w:r w:rsidRPr="00A201A5">
        <w:rPr>
          <w:rFonts w:ascii="Arial" w:hAnsi="Arial" w:cs="Arial"/>
          <w:sz w:val="22"/>
          <w:szCs w:val="22"/>
          <w:vertAlign w:val="subscript"/>
        </w:rPr>
        <w:t>p</w:t>
      </w:r>
      <w:proofErr w:type="spellEnd"/>
      <w:r w:rsidRPr="00A201A5">
        <w:rPr>
          <w:rFonts w:ascii="Arial" w:hAnsi="Arial" w:cs="Arial"/>
          <w:sz w:val="22"/>
          <w:szCs w:val="22"/>
        </w:rPr>
        <w:t xml:space="preserve"> / </w:t>
      </w:r>
      <w:proofErr w:type="spellStart"/>
      <w:r w:rsidRPr="00A201A5">
        <w:rPr>
          <w:rFonts w:ascii="Arial" w:hAnsi="Arial" w:cs="Arial"/>
          <w:sz w:val="22"/>
          <w:szCs w:val="22"/>
        </w:rPr>
        <w:t>T</w:t>
      </w:r>
      <w:r w:rsidRPr="00A201A5">
        <w:rPr>
          <w:rFonts w:ascii="Arial" w:hAnsi="Arial" w:cs="Arial"/>
          <w:sz w:val="22"/>
          <w:szCs w:val="22"/>
          <w:vertAlign w:val="subscript"/>
        </w:rPr>
        <w:t>max</w:t>
      </w:r>
      <w:proofErr w:type="spellEnd"/>
      <w:r w:rsidRPr="00A201A5">
        <w:rPr>
          <w:rFonts w:ascii="Arial" w:hAnsi="Arial" w:cs="Arial"/>
          <w:sz w:val="22"/>
          <w:szCs w:val="22"/>
        </w:rPr>
        <w:t>*Y</w:t>
      </w:r>
    </w:p>
    <w:p w14:paraId="76B778B5" w14:textId="77777777" w:rsidR="00197F1B" w:rsidRPr="00CD6E9A" w:rsidRDefault="00197F1B" w:rsidP="00CD6E9A">
      <w:pPr>
        <w:spacing w:before="120" w:after="60" w:line="240" w:lineRule="auto"/>
        <w:jc w:val="right"/>
        <w:rPr>
          <w:rFonts w:ascii="Arial" w:hAnsi="Arial" w:cs="Arial"/>
          <w:i/>
          <w:sz w:val="20"/>
          <w:szCs w:val="20"/>
        </w:rPr>
      </w:pPr>
      <w:r w:rsidRPr="00CD6E9A">
        <w:rPr>
          <w:rFonts w:ascii="Arial" w:hAnsi="Arial" w:cs="Arial"/>
          <w:i/>
          <w:sz w:val="20"/>
          <w:szCs w:val="20"/>
        </w:rPr>
        <w:t>2 Lentelė. Efektyvumo kriterijaus parametrų reikšmių nustatymui skiriami balai</w:t>
      </w:r>
    </w:p>
    <w:tbl>
      <w:tblPr>
        <w:tblStyle w:val="TableGrid"/>
        <w:tblW w:w="5000" w:type="pct"/>
        <w:tblLook w:val="04A0" w:firstRow="1" w:lastRow="0" w:firstColumn="1" w:lastColumn="0" w:noHBand="0" w:noVBand="1"/>
      </w:tblPr>
      <w:tblGrid>
        <w:gridCol w:w="8505"/>
        <w:gridCol w:w="1747"/>
      </w:tblGrid>
      <w:tr w:rsidR="001B29AD" w:rsidRPr="00085C38" w14:paraId="29ADBC6E" w14:textId="77777777" w:rsidTr="001B29AD">
        <w:trPr>
          <w:cantSplit/>
          <w:trHeight w:val="564"/>
          <w:tblHeader/>
        </w:trPr>
        <w:tc>
          <w:tcPr>
            <w:tcW w:w="41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vAlign w:val="center"/>
            <w:hideMark/>
          </w:tcPr>
          <w:p w14:paraId="256694EA" w14:textId="1D742375" w:rsidR="001B29AD" w:rsidRPr="00085C38" w:rsidRDefault="001B29AD" w:rsidP="0FE67396">
            <w:pPr>
              <w:pStyle w:val="ListParagraph"/>
              <w:tabs>
                <w:tab w:val="left" w:pos="567"/>
              </w:tabs>
              <w:spacing w:before="60" w:after="60"/>
              <w:ind w:left="0"/>
              <w:jc w:val="center"/>
              <w:rPr>
                <w:rFonts w:ascii="Arial" w:hAnsi="Arial" w:cs="Arial"/>
                <w:i/>
                <w:iCs/>
                <w:sz w:val="22"/>
                <w:szCs w:val="22"/>
              </w:rPr>
            </w:pPr>
            <w:r>
              <w:rPr>
                <w:rFonts w:ascii="Arial" w:hAnsi="Arial" w:cs="Arial"/>
                <w:b/>
                <w:sz w:val="22"/>
                <w:szCs w:val="22"/>
              </w:rPr>
              <w:t>Papildomas garantinis terminas prekėms mėnesiais</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vAlign w:val="center"/>
            <w:hideMark/>
          </w:tcPr>
          <w:p w14:paraId="6B6B9B97" w14:textId="77777777" w:rsidR="001B29AD" w:rsidRPr="00085C38" w:rsidRDefault="001B29AD" w:rsidP="00CD7C57">
            <w:pPr>
              <w:pStyle w:val="ListParagraph"/>
              <w:tabs>
                <w:tab w:val="left" w:pos="0"/>
                <w:tab w:val="left" w:pos="567"/>
              </w:tabs>
              <w:spacing w:before="60" w:after="60"/>
              <w:ind w:left="0"/>
              <w:jc w:val="center"/>
              <w:rPr>
                <w:rFonts w:ascii="Arial" w:hAnsi="Arial" w:cs="Arial"/>
                <w:b/>
                <w:sz w:val="22"/>
                <w:szCs w:val="22"/>
              </w:rPr>
            </w:pPr>
            <w:r w:rsidRPr="00085C38">
              <w:rPr>
                <w:rFonts w:ascii="Arial" w:hAnsi="Arial" w:cs="Arial"/>
                <w:b/>
                <w:sz w:val="22"/>
                <w:szCs w:val="22"/>
              </w:rPr>
              <w:t>Įvertinimas</w:t>
            </w:r>
          </w:p>
          <w:p w14:paraId="1A3CCDBE" w14:textId="77777777" w:rsidR="001B29AD" w:rsidRPr="00085C38" w:rsidRDefault="001B29AD" w:rsidP="00CD7C57">
            <w:pPr>
              <w:pStyle w:val="ListParagraph"/>
              <w:tabs>
                <w:tab w:val="left" w:pos="0"/>
                <w:tab w:val="left" w:pos="567"/>
              </w:tabs>
              <w:spacing w:before="60" w:after="60"/>
              <w:ind w:left="0"/>
              <w:jc w:val="center"/>
              <w:rPr>
                <w:rFonts w:ascii="Arial" w:hAnsi="Arial" w:cs="Arial"/>
                <w:b/>
                <w:sz w:val="22"/>
                <w:szCs w:val="22"/>
              </w:rPr>
            </w:pPr>
            <w:r w:rsidRPr="00085C38">
              <w:rPr>
                <w:rFonts w:ascii="Arial" w:hAnsi="Arial" w:cs="Arial"/>
                <w:b/>
                <w:sz w:val="22"/>
                <w:szCs w:val="22"/>
              </w:rPr>
              <w:t>(balais)</w:t>
            </w:r>
          </w:p>
        </w:tc>
      </w:tr>
      <w:tr w:rsidR="001B29AD" w:rsidRPr="00085C38" w14:paraId="60F05B1C" w14:textId="77777777" w:rsidTr="001B29AD">
        <w:trPr>
          <w:cantSplit/>
          <w:trHeight w:val="64"/>
        </w:trPr>
        <w:tc>
          <w:tcPr>
            <w:tcW w:w="4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590EC" w14:textId="50BC7608" w:rsidR="001B29AD" w:rsidRPr="00085C38" w:rsidRDefault="00A41B29" w:rsidP="00CD7C57">
            <w:pPr>
              <w:pStyle w:val="ListParagraph"/>
              <w:tabs>
                <w:tab w:val="left" w:pos="0"/>
                <w:tab w:val="left" w:pos="567"/>
              </w:tabs>
              <w:spacing w:before="60" w:after="60"/>
              <w:ind w:left="0"/>
              <w:rPr>
                <w:rFonts w:ascii="Arial" w:hAnsi="Arial" w:cs="Arial"/>
                <w:sz w:val="22"/>
                <w:szCs w:val="22"/>
              </w:rPr>
            </w:pPr>
            <w:r>
              <w:rPr>
                <w:rFonts w:ascii="Arial" w:hAnsi="Arial" w:cs="Arial"/>
                <w:sz w:val="22"/>
                <w:szCs w:val="22"/>
              </w:rPr>
              <w:t>6 mėn. ir daugiau</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955526" w14:textId="070A2979" w:rsidR="001B29AD" w:rsidRPr="00085C38" w:rsidRDefault="001B29AD" w:rsidP="00CD7C57">
            <w:pPr>
              <w:pStyle w:val="ListParagraph"/>
              <w:tabs>
                <w:tab w:val="left" w:pos="0"/>
                <w:tab w:val="left" w:pos="567"/>
              </w:tabs>
              <w:spacing w:before="60" w:after="60"/>
              <w:ind w:left="0"/>
              <w:jc w:val="center"/>
              <w:rPr>
                <w:rFonts w:ascii="Arial" w:hAnsi="Arial" w:cs="Arial"/>
                <w:i/>
                <w:sz w:val="22"/>
                <w:szCs w:val="22"/>
              </w:rPr>
            </w:pPr>
            <w:r>
              <w:rPr>
                <w:rFonts w:ascii="Arial" w:hAnsi="Arial" w:cs="Arial"/>
                <w:i/>
                <w:sz w:val="22"/>
                <w:szCs w:val="22"/>
              </w:rPr>
              <w:t>5</w:t>
            </w:r>
          </w:p>
        </w:tc>
      </w:tr>
      <w:tr w:rsidR="001B29AD" w:rsidRPr="00085C38" w14:paraId="50716801" w14:textId="77777777" w:rsidTr="001B29AD">
        <w:trPr>
          <w:cantSplit/>
          <w:trHeight w:val="311"/>
        </w:trPr>
        <w:tc>
          <w:tcPr>
            <w:tcW w:w="4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DE102" w14:textId="48A43A86" w:rsidR="001B29AD" w:rsidRPr="00085C38" w:rsidRDefault="00A41B29" w:rsidP="00CD7C57">
            <w:pPr>
              <w:pStyle w:val="ListParagraph"/>
              <w:tabs>
                <w:tab w:val="left" w:pos="0"/>
                <w:tab w:val="left" w:pos="567"/>
              </w:tabs>
              <w:spacing w:before="60" w:after="60"/>
              <w:ind w:left="0"/>
              <w:rPr>
                <w:rFonts w:ascii="Arial" w:hAnsi="Arial" w:cs="Arial"/>
                <w:sz w:val="22"/>
                <w:szCs w:val="22"/>
              </w:rPr>
            </w:pPr>
            <w:r>
              <w:rPr>
                <w:rFonts w:ascii="Arial" w:hAnsi="Arial" w:cs="Arial"/>
                <w:sz w:val="22"/>
                <w:szCs w:val="22"/>
              </w:rPr>
              <w:t>5 mėn.</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FDF373" w14:textId="26FA4853" w:rsidR="001B29AD" w:rsidRPr="00085C38" w:rsidRDefault="001B29AD" w:rsidP="00CD7C57">
            <w:pPr>
              <w:pStyle w:val="ListParagraph"/>
              <w:tabs>
                <w:tab w:val="left" w:pos="0"/>
                <w:tab w:val="left" w:pos="567"/>
              </w:tabs>
              <w:spacing w:before="60" w:after="60"/>
              <w:ind w:left="0"/>
              <w:jc w:val="center"/>
              <w:rPr>
                <w:rFonts w:ascii="Arial" w:hAnsi="Arial" w:cs="Arial"/>
                <w:i/>
                <w:sz w:val="22"/>
                <w:szCs w:val="22"/>
              </w:rPr>
            </w:pPr>
            <w:r>
              <w:rPr>
                <w:rFonts w:ascii="Arial" w:hAnsi="Arial" w:cs="Arial"/>
                <w:i/>
                <w:sz w:val="22"/>
                <w:szCs w:val="22"/>
              </w:rPr>
              <w:t>4</w:t>
            </w:r>
          </w:p>
        </w:tc>
      </w:tr>
      <w:tr w:rsidR="001B29AD" w:rsidRPr="00085C38" w14:paraId="0B645DC8" w14:textId="77777777" w:rsidTr="001B29AD">
        <w:trPr>
          <w:cantSplit/>
          <w:trHeight w:val="311"/>
        </w:trPr>
        <w:tc>
          <w:tcPr>
            <w:tcW w:w="4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7CA4F" w14:textId="6E2BD939" w:rsidR="001B29AD" w:rsidRPr="00085C38" w:rsidRDefault="00A41B29" w:rsidP="00CD7C57">
            <w:pPr>
              <w:pStyle w:val="ListParagraph"/>
              <w:tabs>
                <w:tab w:val="left" w:pos="0"/>
                <w:tab w:val="left" w:pos="567"/>
              </w:tabs>
              <w:spacing w:before="60" w:after="60"/>
              <w:ind w:left="0"/>
              <w:rPr>
                <w:rFonts w:ascii="Arial" w:hAnsi="Arial" w:cs="Arial"/>
                <w:sz w:val="22"/>
                <w:szCs w:val="22"/>
              </w:rPr>
            </w:pPr>
            <w:r>
              <w:rPr>
                <w:rFonts w:ascii="Arial" w:hAnsi="Arial" w:cs="Arial"/>
                <w:sz w:val="22"/>
                <w:szCs w:val="22"/>
              </w:rPr>
              <w:t>4 mėn.</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91982" w14:textId="4D6FF41E" w:rsidR="001B29AD" w:rsidRPr="00085C38" w:rsidRDefault="001B29AD" w:rsidP="00CD7C57">
            <w:pPr>
              <w:pStyle w:val="ListParagraph"/>
              <w:tabs>
                <w:tab w:val="left" w:pos="0"/>
                <w:tab w:val="left" w:pos="567"/>
              </w:tabs>
              <w:spacing w:before="60" w:after="60"/>
              <w:ind w:left="0"/>
              <w:jc w:val="center"/>
              <w:rPr>
                <w:rFonts w:ascii="Arial" w:hAnsi="Arial" w:cs="Arial"/>
                <w:i/>
                <w:sz w:val="22"/>
                <w:szCs w:val="22"/>
              </w:rPr>
            </w:pPr>
            <w:r>
              <w:rPr>
                <w:rFonts w:ascii="Arial" w:hAnsi="Arial" w:cs="Arial"/>
                <w:i/>
                <w:sz w:val="22"/>
                <w:szCs w:val="22"/>
              </w:rPr>
              <w:t>3</w:t>
            </w:r>
          </w:p>
        </w:tc>
      </w:tr>
      <w:tr w:rsidR="001B29AD" w:rsidRPr="00085C38" w14:paraId="7791C50F" w14:textId="77777777" w:rsidTr="001B29AD">
        <w:trPr>
          <w:cantSplit/>
          <w:trHeight w:val="311"/>
        </w:trPr>
        <w:tc>
          <w:tcPr>
            <w:tcW w:w="4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D8B27" w14:textId="5563B809" w:rsidR="001B29AD" w:rsidRPr="00085C38" w:rsidRDefault="00A41B29" w:rsidP="00CD7C57">
            <w:pPr>
              <w:pStyle w:val="ListParagraph"/>
              <w:tabs>
                <w:tab w:val="left" w:pos="0"/>
                <w:tab w:val="left" w:pos="567"/>
              </w:tabs>
              <w:spacing w:before="60" w:after="60"/>
              <w:ind w:left="0"/>
              <w:rPr>
                <w:rFonts w:ascii="Arial" w:hAnsi="Arial" w:cs="Arial"/>
                <w:sz w:val="22"/>
                <w:szCs w:val="22"/>
              </w:rPr>
            </w:pPr>
            <w:r>
              <w:rPr>
                <w:rFonts w:ascii="Arial" w:hAnsi="Arial" w:cs="Arial"/>
                <w:sz w:val="22"/>
                <w:szCs w:val="22"/>
              </w:rPr>
              <w:t>3 mėn.</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034AE" w14:textId="05345D74" w:rsidR="001B29AD" w:rsidRPr="00085C38" w:rsidRDefault="001B29AD" w:rsidP="00CD7C57">
            <w:pPr>
              <w:pStyle w:val="ListParagraph"/>
              <w:tabs>
                <w:tab w:val="left" w:pos="0"/>
                <w:tab w:val="left" w:pos="567"/>
              </w:tabs>
              <w:spacing w:before="60" w:after="60"/>
              <w:ind w:left="0"/>
              <w:jc w:val="center"/>
              <w:rPr>
                <w:rFonts w:ascii="Arial" w:hAnsi="Arial" w:cs="Arial"/>
                <w:i/>
                <w:sz w:val="22"/>
                <w:szCs w:val="22"/>
              </w:rPr>
            </w:pPr>
            <w:r>
              <w:rPr>
                <w:rFonts w:ascii="Arial" w:hAnsi="Arial" w:cs="Arial"/>
                <w:i/>
                <w:sz w:val="22"/>
                <w:szCs w:val="22"/>
              </w:rPr>
              <w:t>2</w:t>
            </w:r>
          </w:p>
        </w:tc>
      </w:tr>
      <w:tr w:rsidR="001B29AD" w:rsidRPr="00085C38" w14:paraId="7D0D3DC4" w14:textId="77777777" w:rsidTr="001B29AD">
        <w:trPr>
          <w:cantSplit/>
          <w:trHeight w:val="311"/>
        </w:trPr>
        <w:tc>
          <w:tcPr>
            <w:tcW w:w="4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FDD41" w14:textId="7921DB38" w:rsidR="001B29AD" w:rsidRPr="00085C38" w:rsidRDefault="00A41B29" w:rsidP="00CD7C57">
            <w:pPr>
              <w:pStyle w:val="ListParagraph"/>
              <w:tabs>
                <w:tab w:val="left" w:pos="0"/>
                <w:tab w:val="left" w:pos="567"/>
              </w:tabs>
              <w:spacing w:before="60" w:after="60"/>
              <w:ind w:left="0"/>
              <w:rPr>
                <w:rFonts w:ascii="Arial" w:hAnsi="Arial" w:cs="Arial"/>
                <w:sz w:val="22"/>
                <w:szCs w:val="22"/>
              </w:rPr>
            </w:pPr>
            <w:r>
              <w:rPr>
                <w:rFonts w:ascii="Arial" w:hAnsi="Arial" w:cs="Arial"/>
                <w:sz w:val="22"/>
                <w:szCs w:val="22"/>
              </w:rPr>
              <w:t>1-2 mėn.</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7DAAE" w14:textId="00079260" w:rsidR="001B29AD" w:rsidRDefault="001B29AD" w:rsidP="00CD7C57">
            <w:pPr>
              <w:pStyle w:val="ListParagraph"/>
              <w:tabs>
                <w:tab w:val="left" w:pos="0"/>
                <w:tab w:val="left" w:pos="567"/>
              </w:tabs>
              <w:spacing w:before="60" w:after="60"/>
              <w:ind w:left="0"/>
              <w:jc w:val="center"/>
              <w:rPr>
                <w:rFonts w:ascii="Arial" w:hAnsi="Arial" w:cs="Arial"/>
                <w:i/>
                <w:sz w:val="22"/>
                <w:szCs w:val="22"/>
              </w:rPr>
            </w:pPr>
            <w:r>
              <w:rPr>
                <w:rFonts w:ascii="Arial" w:hAnsi="Arial" w:cs="Arial"/>
                <w:i/>
                <w:sz w:val="22"/>
                <w:szCs w:val="22"/>
              </w:rPr>
              <w:t>1</w:t>
            </w:r>
          </w:p>
        </w:tc>
      </w:tr>
      <w:tr w:rsidR="001B29AD" w:rsidRPr="00085C38" w14:paraId="3F2469DE" w14:textId="77777777" w:rsidTr="001B29AD">
        <w:trPr>
          <w:cantSplit/>
          <w:trHeight w:val="311"/>
        </w:trPr>
        <w:tc>
          <w:tcPr>
            <w:tcW w:w="41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1A7F2" w14:textId="128BE754" w:rsidR="001B29AD" w:rsidRPr="00085C38" w:rsidRDefault="00A41B29" w:rsidP="00CD7C57">
            <w:pPr>
              <w:pStyle w:val="ListParagraph"/>
              <w:tabs>
                <w:tab w:val="left" w:pos="0"/>
                <w:tab w:val="left" w:pos="567"/>
              </w:tabs>
              <w:spacing w:before="60" w:after="60"/>
              <w:ind w:left="0"/>
              <w:rPr>
                <w:rFonts w:ascii="Arial" w:hAnsi="Arial" w:cs="Arial"/>
                <w:sz w:val="22"/>
                <w:szCs w:val="22"/>
              </w:rPr>
            </w:pPr>
            <w:r>
              <w:rPr>
                <w:rFonts w:ascii="Arial" w:hAnsi="Arial" w:cs="Arial"/>
                <w:sz w:val="22"/>
                <w:szCs w:val="22"/>
              </w:rPr>
              <w:t>Nesiūlomas papildomas garantinis terminas</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4B3D9" w14:textId="72FE41E9" w:rsidR="001B29AD" w:rsidRDefault="001B29AD" w:rsidP="00CD7C57">
            <w:pPr>
              <w:pStyle w:val="ListParagraph"/>
              <w:tabs>
                <w:tab w:val="left" w:pos="0"/>
                <w:tab w:val="left" w:pos="567"/>
              </w:tabs>
              <w:spacing w:before="60" w:after="60"/>
              <w:ind w:left="0"/>
              <w:jc w:val="center"/>
              <w:rPr>
                <w:rFonts w:ascii="Arial" w:hAnsi="Arial" w:cs="Arial"/>
                <w:i/>
                <w:sz w:val="22"/>
                <w:szCs w:val="22"/>
              </w:rPr>
            </w:pPr>
            <w:r>
              <w:rPr>
                <w:rFonts w:ascii="Arial" w:hAnsi="Arial" w:cs="Arial"/>
                <w:i/>
                <w:sz w:val="22"/>
                <w:szCs w:val="22"/>
              </w:rPr>
              <w:t>0</w:t>
            </w:r>
          </w:p>
        </w:tc>
      </w:tr>
    </w:tbl>
    <w:p w14:paraId="2E41C617" w14:textId="77777777" w:rsidR="00197F1B" w:rsidRPr="00085C38" w:rsidRDefault="00197F1B" w:rsidP="00197F1B">
      <w:pPr>
        <w:pStyle w:val="ListParagraph"/>
        <w:tabs>
          <w:tab w:val="left" w:pos="0"/>
          <w:tab w:val="left" w:pos="567"/>
        </w:tabs>
        <w:spacing w:before="60" w:after="60"/>
        <w:ind w:left="0"/>
        <w:jc w:val="both"/>
        <w:rPr>
          <w:rFonts w:ascii="Arial" w:hAnsi="Arial" w:cs="Arial"/>
          <w:sz w:val="22"/>
          <w:szCs w:val="22"/>
        </w:rPr>
      </w:pPr>
    </w:p>
    <w:p w14:paraId="6AE67149" w14:textId="26533275" w:rsidR="007933D4" w:rsidRPr="009F7333" w:rsidRDefault="007933D4" w:rsidP="007933D4">
      <w:pPr>
        <w:jc w:val="both"/>
        <w:rPr>
          <w:rFonts w:ascii="Arial" w:hAnsi="Arial" w:cs="Arial"/>
        </w:rPr>
      </w:pPr>
      <w:r>
        <w:rPr>
          <w:rFonts w:ascii="Arial" w:hAnsi="Arial" w:cs="Arial"/>
        </w:rPr>
        <w:t xml:space="preserve">6. </w:t>
      </w:r>
      <w:r w:rsidRPr="009F7333">
        <w:rPr>
          <w:rFonts w:ascii="Arial" w:hAnsi="Arial" w:cs="Arial"/>
        </w:rPr>
        <w:t>Ekonomiškai naudingiausiu bus pripažįstamas pasiūlymas, surinkęs didžiausią ekonominio naudingumo balą S.</w:t>
      </w:r>
    </w:p>
    <w:p w14:paraId="2594DC9B" w14:textId="77777777" w:rsidR="007933D4" w:rsidRPr="009F7333" w:rsidRDefault="007933D4" w:rsidP="007933D4">
      <w:pPr>
        <w:jc w:val="both"/>
        <w:rPr>
          <w:rFonts w:ascii="Arial" w:hAnsi="Arial" w:cs="Arial"/>
        </w:rPr>
      </w:pPr>
      <w:r w:rsidRPr="009F7333">
        <w:rPr>
          <w:rFonts w:ascii="Arial" w:hAnsi="Arial" w:cs="Arial"/>
        </w:rPr>
        <w:t xml:space="preserve">7. Jeigu tiekėjas, kuriam buvo pasiūlyta sudaryti pirkimo sutartį, raštu atsisako ją sudaryti arba dėl kitų priežasčių tiekėjas yra pašalinamas iš pirkimo procedūrų ar jo pasiūlymas atmetamas įstatyme ir pirkimo dokumentuose numatyta tvarka, tokiu atveju ekonominio naudingumo balai yra perskaičiuojami, ir </w:t>
      </w:r>
      <w:r w:rsidRPr="009F7333">
        <w:rPr>
          <w:rFonts w:ascii="Arial" w:hAnsi="Arial" w:cs="Arial"/>
        </w:rPr>
        <w:lastRenderedPageBreak/>
        <w:t>ekonomiškai naudingiausiu bus pripažįstamas pasiūlymas, surinkęs didžiausią ekonominio naudingumo balą S.</w:t>
      </w:r>
    </w:p>
    <w:p w14:paraId="2C591ABA" w14:textId="5ADFED1D" w:rsidR="00197F1B" w:rsidRPr="00085C38" w:rsidRDefault="007933D4" w:rsidP="007933D4">
      <w:pPr>
        <w:rPr>
          <w:rFonts w:ascii="Arial" w:hAnsi="Arial" w:cs="Arial"/>
        </w:rPr>
      </w:pPr>
      <w:r w:rsidRPr="009F7333">
        <w:rPr>
          <w:rFonts w:ascii="Arial" w:hAnsi="Arial" w:cs="Arial"/>
        </w:rPr>
        <w:t>8. Atliekant ekonominio naudingumo vertinimą, skaičiavimai (rezultatai (Kriterijus - S)),  apvalinami (2) dviejų skaičių po kablelio tikslumu.</w:t>
      </w:r>
    </w:p>
    <w:sectPr w:rsidR="00197F1B" w:rsidRPr="00085C38" w:rsidSect="00B71618">
      <w:headerReference w:type="even" r:id="rId27"/>
      <w:headerReference w:type="default" r:id="rId28"/>
      <w:footerReference w:type="even" r:id="rId29"/>
      <w:footerReference w:type="default" r:id="rId30"/>
      <w:headerReference w:type="first" r:id="rId31"/>
      <w:footerReference w:type="first" r:id="rId32"/>
      <w:pgSz w:w="11906" w:h="16838"/>
      <w:pgMar w:top="1418" w:right="680" w:bottom="113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11D0" w14:textId="77777777" w:rsidR="00B45AF0" w:rsidRDefault="00B45AF0" w:rsidP="00197F1B">
      <w:pPr>
        <w:spacing w:after="0" w:line="240" w:lineRule="auto"/>
      </w:pPr>
      <w:r>
        <w:separator/>
      </w:r>
    </w:p>
  </w:endnote>
  <w:endnote w:type="continuationSeparator" w:id="0">
    <w:p w14:paraId="2E9B5869" w14:textId="77777777" w:rsidR="00B45AF0" w:rsidRDefault="00B45AF0" w:rsidP="0019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B106" w14:textId="77777777" w:rsidR="00197F1B" w:rsidRDefault="0019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D59" w14:textId="77777777" w:rsidR="00197F1B" w:rsidRDefault="0019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9002" w14:textId="77777777" w:rsidR="00197F1B" w:rsidRDefault="0019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68C4" w14:textId="77777777" w:rsidR="00B45AF0" w:rsidRDefault="00B45AF0" w:rsidP="00197F1B">
      <w:pPr>
        <w:spacing w:after="0" w:line="240" w:lineRule="auto"/>
      </w:pPr>
      <w:r>
        <w:separator/>
      </w:r>
    </w:p>
  </w:footnote>
  <w:footnote w:type="continuationSeparator" w:id="0">
    <w:p w14:paraId="6338D174" w14:textId="77777777" w:rsidR="00B45AF0" w:rsidRDefault="00B45AF0" w:rsidP="0019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AC79" w14:textId="77777777" w:rsidR="00197F1B" w:rsidRDefault="0019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32E6" w14:textId="0A3C0923" w:rsidR="00197F1B" w:rsidRDefault="0019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6BDE" w14:textId="77777777" w:rsidR="00197F1B" w:rsidRDefault="0019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67FC7C4E"/>
    <w:multiLevelType w:val="hybridMultilevel"/>
    <w:tmpl w:val="2CC25952"/>
    <w:lvl w:ilvl="0" w:tplc="3B2EDE42">
      <w:start w:val="1"/>
      <w:numFmt w:val="lowerLetter"/>
      <w:lvlText w:val="%1)"/>
      <w:lvlJc w:val="left"/>
      <w:pPr>
        <w:ind w:left="2911" w:hanging="360"/>
      </w:pPr>
      <w:rPr>
        <w:rFonts w:hint="default"/>
      </w:rPr>
    </w:lvl>
    <w:lvl w:ilvl="1" w:tplc="04270019" w:tentative="1">
      <w:start w:val="1"/>
      <w:numFmt w:val="lowerLetter"/>
      <w:lvlText w:val="%2."/>
      <w:lvlJc w:val="left"/>
      <w:pPr>
        <w:ind w:left="3631" w:hanging="360"/>
      </w:pPr>
    </w:lvl>
    <w:lvl w:ilvl="2" w:tplc="0427001B" w:tentative="1">
      <w:start w:val="1"/>
      <w:numFmt w:val="lowerRoman"/>
      <w:lvlText w:val="%3."/>
      <w:lvlJc w:val="right"/>
      <w:pPr>
        <w:ind w:left="4351" w:hanging="180"/>
      </w:pPr>
    </w:lvl>
    <w:lvl w:ilvl="3" w:tplc="0427000F" w:tentative="1">
      <w:start w:val="1"/>
      <w:numFmt w:val="decimal"/>
      <w:lvlText w:val="%4."/>
      <w:lvlJc w:val="left"/>
      <w:pPr>
        <w:ind w:left="5071" w:hanging="360"/>
      </w:pPr>
    </w:lvl>
    <w:lvl w:ilvl="4" w:tplc="04270019" w:tentative="1">
      <w:start w:val="1"/>
      <w:numFmt w:val="lowerLetter"/>
      <w:lvlText w:val="%5."/>
      <w:lvlJc w:val="left"/>
      <w:pPr>
        <w:ind w:left="5791" w:hanging="360"/>
      </w:pPr>
    </w:lvl>
    <w:lvl w:ilvl="5" w:tplc="0427001B" w:tentative="1">
      <w:start w:val="1"/>
      <w:numFmt w:val="lowerRoman"/>
      <w:lvlText w:val="%6."/>
      <w:lvlJc w:val="right"/>
      <w:pPr>
        <w:ind w:left="6511" w:hanging="180"/>
      </w:pPr>
    </w:lvl>
    <w:lvl w:ilvl="6" w:tplc="0427000F" w:tentative="1">
      <w:start w:val="1"/>
      <w:numFmt w:val="decimal"/>
      <w:lvlText w:val="%7."/>
      <w:lvlJc w:val="left"/>
      <w:pPr>
        <w:ind w:left="7231" w:hanging="360"/>
      </w:pPr>
    </w:lvl>
    <w:lvl w:ilvl="7" w:tplc="04270019" w:tentative="1">
      <w:start w:val="1"/>
      <w:numFmt w:val="lowerLetter"/>
      <w:lvlText w:val="%8."/>
      <w:lvlJc w:val="left"/>
      <w:pPr>
        <w:ind w:left="7951" w:hanging="360"/>
      </w:pPr>
    </w:lvl>
    <w:lvl w:ilvl="8" w:tplc="0427001B" w:tentative="1">
      <w:start w:val="1"/>
      <w:numFmt w:val="lowerRoman"/>
      <w:lvlText w:val="%9."/>
      <w:lvlJc w:val="right"/>
      <w:pPr>
        <w:ind w:left="8671" w:hanging="180"/>
      </w:pPr>
    </w:lvl>
  </w:abstractNum>
  <w:num w:numId="1" w16cid:durableId="1700399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914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836689">
    <w:abstractNumId w:val="1"/>
  </w:num>
  <w:num w:numId="4" w16cid:durableId="1040132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25304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959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1B"/>
    <w:rsid w:val="00085C38"/>
    <w:rsid w:val="00197F1B"/>
    <w:rsid w:val="001B29AD"/>
    <w:rsid w:val="003441A8"/>
    <w:rsid w:val="003D6091"/>
    <w:rsid w:val="004A74D7"/>
    <w:rsid w:val="00513266"/>
    <w:rsid w:val="005D4B69"/>
    <w:rsid w:val="006A2E46"/>
    <w:rsid w:val="006E7FE8"/>
    <w:rsid w:val="007641AA"/>
    <w:rsid w:val="00773829"/>
    <w:rsid w:val="007933D4"/>
    <w:rsid w:val="00793C0D"/>
    <w:rsid w:val="007C3444"/>
    <w:rsid w:val="007C4050"/>
    <w:rsid w:val="009138B7"/>
    <w:rsid w:val="00920B56"/>
    <w:rsid w:val="00920BE8"/>
    <w:rsid w:val="00A41B29"/>
    <w:rsid w:val="00AB1FF2"/>
    <w:rsid w:val="00AB79EB"/>
    <w:rsid w:val="00AD2E5E"/>
    <w:rsid w:val="00B24461"/>
    <w:rsid w:val="00B45AF0"/>
    <w:rsid w:val="00B71618"/>
    <w:rsid w:val="00BC79EC"/>
    <w:rsid w:val="00CD6E9A"/>
    <w:rsid w:val="00EC69E8"/>
    <w:rsid w:val="00EF0FFB"/>
    <w:rsid w:val="00FA7E4F"/>
    <w:rsid w:val="00FD3BF0"/>
    <w:rsid w:val="0FE67396"/>
    <w:rsid w:val="48F4AE30"/>
    <w:rsid w:val="5A6429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7C735"/>
  <w15:chartTrackingRefBased/>
  <w15:docId w15:val="{3BCA3E83-D616-47E2-BC54-0D10D857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97F1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97F1B"/>
    <w:rPr>
      <w:rFonts w:ascii="Cambria" w:eastAsia="Times New Roman" w:hAnsi="Cambria" w:cs="Times New Roman"/>
      <w:b/>
      <w:bCs/>
      <w:i/>
      <w:iCs/>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197F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99"/>
    <w:rsid w:val="00197F1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97F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7F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7F1B"/>
  </w:style>
  <w:style w:type="paragraph" w:styleId="Footer">
    <w:name w:val="footer"/>
    <w:basedOn w:val="Normal"/>
    <w:link w:val="FooterChar"/>
    <w:uiPriority w:val="99"/>
    <w:unhideWhenUsed/>
    <w:rsid w:val="00197F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7F1B"/>
  </w:style>
  <w:style w:type="paragraph" w:styleId="BalloonText">
    <w:name w:val="Balloon Text"/>
    <w:basedOn w:val="Normal"/>
    <w:link w:val="BalloonTextChar"/>
    <w:uiPriority w:val="99"/>
    <w:semiHidden/>
    <w:unhideWhenUsed/>
    <w:rsid w:val="007C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0a7a53-5fdc-4a0f-8b9e-50f27931d633"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8E331-F328-4AFF-B660-BA3691668F66}">
  <ds:schemaRefs>
    <ds:schemaRef ds:uri="http://schemas.microsoft.com/office/2006/metadata/properties"/>
    <ds:schemaRef ds:uri="http://schemas.microsoft.com/office/infopath/2007/PartnerControls"/>
    <ds:schemaRef ds:uri="f80a7a53-5fdc-4a0f-8b9e-50f27931d633"/>
    <ds:schemaRef ds:uri="51d5e2c9-e18c-4408-a31e-423a151c4578"/>
  </ds:schemaRefs>
</ds:datastoreItem>
</file>

<file path=customXml/itemProps2.xml><?xml version="1.0" encoding="utf-8"?>
<ds:datastoreItem xmlns:ds="http://schemas.openxmlformats.org/officeDocument/2006/customXml" ds:itemID="{306D6366-EDC4-4886-8329-761E140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FABCB-7342-4B7B-9198-B67537339708}">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1616</Words>
  <Characters>922</Characters>
  <Application>Microsoft Office Word</Application>
  <DocSecurity>0</DocSecurity>
  <Lines>7</Lines>
  <Paragraphs>5</Paragraphs>
  <ScaleCrop>false</ScaleCrop>
  <Company>UAB TIC</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Versija 5 (20191015)</dc:description>
  <cp:lastModifiedBy>Rūta Vičkačkaitė</cp:lastModifiedBy>
  <cp:revision>23</cp:revision>
  <dcterms:created xsi:type="dcterms:W3CDTF">2023-01-02T12:58:00Z</dcterms:created>
  <dcterms:modified xsi:type="dcterms:W3CDTF">2026-02-05T13:27:00Z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2019-06-11T07:19:21.2492494Z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f01ab589-3d03-4a47-8f50-da3e645bfe7d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2019-06-11T07:19:21.2492494Z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f01ab589-3d03-4a47-8f50-da3e645bfe7d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MSIP_Label_cfcb905c-755b-4fd4-bd20-0d682d4f1d27_Enabled">
    <vt:lpwstr>true</vt:lpwstr>
  </property>
  <property fmtid="{D5CDD505-2E9C-101B-9397-08002B2CF9AE}" pid="20" name="MSIP_Label_cfcb905c-755b-4fd4-bd20-0d682d4f1d27_SetDate">
    <vt:lpwstr>2023-01-02T12:56:51Z</vt:lpwstr>
  </property>
  <property fmtid="{D5CDD505-2E9C-101B-9397-08002B2CF9AE}" pid="21" name="MSIP_Label_cfcb905c-755b-4fd4-bd20-0d682d4f1d27_Method">
    <vt:lpwstr>Standard</vt:lpwstr>
  </property>
  <property fmtid="{D5CDD505-2E9C-101B-9397-08002B2CF9AE}" pid="22" name="MSIP_Label_cfcb905c-755b-4fd4-bd20-0d682d4f1d27_Name">
    <vt:lpwstr>Internal</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ActionId">
    <vt:lpwstr>58aa249c-0b68-4a7a-be0c-1c9fbc8a58f3</vt:lpwstr>
  </property>
  <property fmtid="{D5CDD505-2E9C-101B-9397-08002B2CF9AE}" pid="25" name="MSIP_Label_cfcb905c-755b-4fd4-bd20-0d682d4f1d27_ContentBits">
    <vt:lpwstr>0</vt:lpwstr>
  </property>
  <property fmtid="{D5CDD505-2E9C-101B-9397-08002B2CF9AE}" pid="26" name="ContentTypeId">
    <vt:lpwstr>0x0101006896A0AEB33F5A428E21C124A790746C</vt:lpwstr>
  </property>
  <property fmtid="{D5CDD505-2E9C-101B-9397-08002B2CF9AE}" pid="27" name="MediaServiceImageTags">
    <vt:lpwstr/>
  </property>
</Properties>
</file>