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1DE2153E" w:rsidR="009C5D91" w:rsidRPr="005711CF" w:rsidRDefault="00D031A4">
      <w:pPr>
        <w:pStyle w:val="Pavadinimas"/>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Pavadinimas"/>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ipersaitas"/>
            <w:rFonts w:asciiTheme="majorBidi" w:hAnsiTheme="majorBidi"/>
            <w:color w:val="4C96AD" w:themeColor="accent1" w:themeShade="BF"/>
            <w:sz w:val="24"/>
            <w:lang w:val="lt-LT"/>
          </w:rPr>
          <w:t>https://viesiejipirkimai.lt</w:t>
        </w:r>
      </w:hyperlink>
      <w:r w:rsidR="00913031" w:rsidRPr="008B5CF5">
        <w:rPr>
          <w:color w:val="000000" w:themeColor="text1"/>
          <w:lang w:val="lt-LT"/>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r w:rsidRPr="00D96BF2">
        <w:rPr>
          <w:sz w:val="22"/>
          <w:lang w:val="lt-LT"/>
        </w:rPr>
        <w:t>.</w:t>
      </w:r>
    </w:p>
    <w:p w14:paraId="231B4C9D" w14:textId="77777777" w:rsidR="00EF77E3" w:rsidRPr="00256D88" w:rsidRDefault="00EF77E3" w:rsidP="00EF77E3">
      <w:pPr>
        <w:pStyle w:val="Komentarotekstas"/>
        <w:ind w:firstLine="567"/>
        <w:jc w:val="both"/>
        <w:rPr>
          <w:sz w:val="24"/>
          <w:szCs w:val="24"/>
          <w:lang w:val="lt-LT"/>
        </w:rPr>
      </w:pPr>
      <w:r w:rsidRPr="00256D88">
        <w:rPr>
          <w:sz w:val="22"/>
          <w:szCs w:val="22"/>
          <w:lang w:val="lt-LT"/>
        </w:rPr>
        <w:t xml:space="preserve">2.10. </w:t>
      </w:r>
      <w:r w:rsidRPr="00256D88">
        <w:rPr>
          <w:sz w:val="24"/>
          <w:szCs w:val="24"/>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D96BF2" w:rsidRDefault="00EF77E3" w:rsidP="00EF77E3">
      <w:pPr>
        <w:ind w:firstLine="709"/>
        <w:jc w:val="both"/>
        <w:rPr>
          <w:lang w:val="lt-LT"/>
        </w:rPr>
      </w:pPr>
      <w:r w:rsidRPr="00256D88">
        <w:rPr>
          <w:lang w:val="lt-LT"/>
        </w:rPr>
        <w:t xml:space="preserve">2.11. Jeigu apibūdinant pirkimo objektą techninėje specifikacijoje ar kituose pirkimo dokumentuose nurodytas standartas, </w:t>
      </w:r>
      <w:r w:rsidRPr="00D96BF2">
        <w:rPr>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6D88">
        <w:rPr>
          <w:lang w:val="lt-LT"/>
        </w:rPr>
        <w:t>turi būti laikoma, kad kiekviena tokia nuoroda yra pateikta su žodžiais „arba lygiavertis</w:t>
      </w:r>
      <w:r w:rsidR="00123C5C" w:rsidRPr="00256D88">
        <w:rPr>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05F0B52A"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ipersaitas"/>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 xml:space="preserve">Užpildytas EBVPD šablonas, turi būti pateiktas </w:t>
      </w:r>
      <w:r w:rsidR="00EA4D18">
        <w:rPr>
          <w:rFonts w:cs="Times New Roman"/>
          <w:color w:val="000000" w:themeColor="text1"/>
          <w:lang w:val="lt-LT"/>
        </w:rPr>
        <w:t xml:space="preserve">su </w:t>
      </w:r>
      <w:r w:rsidR="0043108C" w:rsidRPr="0043108C">
        <w:rPr>
          <w:rFonts w:cs="Times New Roman"/>
          <w:color w:val="000000" w:themeColor="text1"/>
          <w:lang w:val="lt-LT"/>
        </w:rPr>
        <w:t>Tiekėjo pasiūlym</w:t>
      </w:r>
      <w:r w:rsidR="00EA4D18">
        <w:rPr>
          <w:rFonts w:cs="Times New Roman"/>
          <w:color w:val="000000" w:themeColor="text1"/>
          <w:lang w:val="lt-LT"/>
        </w:rPr>
        <w:t>u</w:t>
      </w:r>
      <w:r w:rsidRPr="005711CF">
        <w:rPr>
          <w:rFonts w:cs="Times New Roman"/>
          <w:color w:val="000000" w:themeColor="text1"/>
          <w:lang w:val="lt-LT"/>
        </w:rPr>
        <w:t>.</w:t>
      </w:r>
      <w:r w:rsidR="00EA4D18" w:rsidRPr="00A72495">
        <w:rPr>
          <w:lang w:val="lt-LT"/>
        </w:rPr>
        <w:t xml:space="preserve"> </w:t>
      </w:r>
      <w:r w:rsidR="00EA4D18" w:rsidRPr="00EA4D18">
        <w:rPr>
          <w:rFonts w:cs="Times New Roman"/>
          <w:color w:val="000000" w:themeColor="text1"/>
          <w:lang w:val="lt-LT"/>
        </w:rPr>
        <w:t>Pateikdamas pasiūlymą, tiekėjas patvirtina ir EBVPD tikrumą</w:t>
      </w:r>
      <w:r w:rsidR="00EA4D18">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56A64228"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w:t>
      </w:r>
      <w:r w:rsidRPr="00177927">
        <w:rPr>
          <w:rFonts w:cs="Times New Roman"/>
          <w:color w:val="auto"/>
          <w:lang w:val="lt-LT"/>
        </w:rPr>
        <w:t>pateikti lentelėje nurodytų pašalinimo pagrindų nebuvimą įrodančių dokumentų</w:t>
      </w:r>
      <w:r w:rsidR="00B26BCF" w:rsidRPr="00177927">
        <w:rPr>
          <w:rFonts w:cs="Times New Roman"/>
          <w:color w:val="auto"/>
          <w:lang w:val="lt-LT"/>
        </w:rPr>
        <w:t xml:space="preserve"> </w:t>
      </w:r>
      <w:r w:rsidR="00B26BCF" w:rsidRPr="00177927">
        <w:rPr>
          <w:b/>
          <w:color w:val="auto"/>
          <w:u w:val="single"/>
          <w:lang w:val="lt-LT"/>
        </w:rPr>
        <w:t>(išskyrus BPS 1 pried</w:t>
      </w:r>
      <w:r w:rsidR="001B431A">
        <w:rPr>
          <w:b/>
          <w:color w:val="auto"/>
          <w:u w:val="single"/>
          <w:lang w:val="lt-LT"/>
        </w:rPr>
        <w:t>ą</w:t>
      </w:r>
      <w:r w:rsidR="00D23C61">
        <w:rPr>
          <w:b/>
          <w:color w:val="auto"/>
          <w:u w:val="single"/>
          <w:lang w:val="lt-LT"/>
        </w:rPr>
        <w:t>)</w:t>
      </w:r>
      <w:r w:rsidR="001B431A">
        <w:rPr>
          <w:b/>
          <w:color w:val="auto"/>
          <w:u w:val="single"/>
          <w:lang w:val="lt-LT"/>
        </w:rPr>
        <w:t xml:space="preserve"> </w:t>
      </w:r>
      <w:r w:rsidR="00E26EBF">
        <w:rPr>
          <w:color w:val="auto"/>
          <w:lang w:val="lt-LT"/>
        </w:rPr>
        <w:t>bei</w:t>
      </w:r>
      <w:r w:rsidR="00E26EBF" w:rsidRPr="00A72495">
        <w:rPr>
          <w:lang w:val="lt-LT"/>
        </w:rPr>
        <w:t xml:space="preserve"> </w:t>
      </w:r>
      <w:r w:rsidR="00E26EBF" w:rsidRPr="00E26EBF">
        <w:rPr>
          <w:color w:val="auto"/>
          <w:lang w:val="lt-LT"/>
        </w:rPr>
        <w:t>atitiktį kvalifikacijos reikalavimams ir, jeigu taikytina, kokybės vadybos sistemos ir (arba) aplinkos apsaugos vadybos sistemos standartams</w:t>
      </w:r>
      <w:r w:rsidR="00E26EBF">
        <w:rPr>
          <w:color w:val="auto"/>
          <w:lang w:val="lt-LT"/>
        </w:rPr>
        <w:t xml:space="preserve"> </w:t>
      </w:r>
      <w:r w:rsidRPr="00177927">
        <w:rPr>
          <w:b/>
          <w:color w:val="auto"/>
          <w:u w:val="single"/>
          <w:lang w:val="lt-LT"/>
        </w:rPr>
        <w:t>.</w:t>
      </w:r>
      <w:r w:rsidRPr="00177927">
        <w:rPr>
          <w:rFonts w:cs="Times New Roman"/>
          <w:color w:val="auto"/>
          <w:lang w:val="lt-LT"/>
        </w:rPr>
        <w:t xml:space="preserve"> Šių dokumentų prašoma tik iš ekonomiškai naudingiausią pasiūlymą pateikusio tiekėjo prieš nustatant laimėj</w:t>
      </w:r>
      <w:r w:rsidRPr="005711CF">
        <w:rPr>
          <w:rFonts w:cs="Times New Roman"/>
          <w:color w:val="auto"/>
          <w:lang w:val="lt-LT"/>
        </w:rPr>
        <w:t xml:space="preserve">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 xml:space="preserve">mentai, kuriuos turi pateikti Lietuvos Respublikoje </w:t>
      </w:r>
      <w:r w:rsidRPr="005711CF">
        <w:rPr>
          <w:rFonts w:cs="Times New Roman"/>
          <w:color w:val="auto"/>
          <w:lang w:val="lt-LT"/>
        </w:rPr>
        <w:lastRenderedPageBreak/>
        <w:t>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ipersaitas"/>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7F9EE11E"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w:t>
      </w:r>
      <w:r w:rsidR="00E26EBF">
        <w:rPr>
          <w:rFonts w:cs="Times New Roman"/>
          <w:color w:val="auto"/>
          <w:lang w:val="lt-LT"/>
        </w:rPr>
        <w:t>, 2</w:t>
      </w:r>
      <w:r w:rsidRPr="005711CF">
        <w:rPr>
          <w:rFonts w:cs="Times New Roman"/>
          <w:color w:val="auto"/>
          <w:lang w:val="lt-LT"/>
        </w:rPr>
        <w:t xml:space="preserve"> ir 3 dalyse, nes valstybėje narėje ar atitinkamoje šalyje tokie dokumentai neišduodami arba toje šalyje išduodami dokumentai neapima visų 46 straipsnio 1</w:t>
      </w:r>
      <w:r w:rsidR="00E26EBF">
        <w:rPr>
          <w:rFonts w:cs="Times New Roman"/>
          <w:color w:val="auto"/>
          <w:lang w:val="lt-LT"/>
        </w:rPr>
        <w:t>, 2</w:t>
      </w:r>
      <w:r w:rsidRPr="005711CF">
        <w:rPr>
          <w:rFonts w:cs="Times New Roman"/>
          <w:color w:val="auto"/>
          <w:lang w:val="lt-LT"/>
        </w:rPr>
        <w:t xml:space="preserve">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601DA4"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Betarp"/>
              <w:ind w:left="32"/>
              <w:jc w:val="center"/>
              <w:rPr>
                <w:rFonts w:ascii="Times New Roman" w:hAnsi="Times New Roman"/>
                <w:b/>
                <w:sz w:val="20"/>
              </w:rPr>
            </w:pPr>
            <w:bookmarkStart w:id="0" w:name="_Hlk215237056"/>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Betarp"/>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Betarp"/>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Betarp"/>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601DA4"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Betarp"/>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601DA4"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Betarp"/>
              <w:jc w:val="both"/>
              <w:rPr>
                <w:rFonts w:ascii="Times New Roman" w:hAnsi="Times New Roman"/>
                <w:b/>
                <w:sz w:val="20"/>
              </w:rPr>
            </w:pPr>
          </w:p>
          <w:p w14:paraId="38C18D1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Betarp"/>
              <w:jc w:val="both"/>
              <w:rPr>
                <w:rFonts w:ascii="Times New Roman" w:hAnsi="Times New Roman"/>
                <w:sz w:val="20"/>
              </w:rPr>
            </w:pPr>
          </w:p>
          <w:p w14:paraId="679CF3F6"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Betarp"/>
              <w:jc w:val="both"/>
              <w:rPr>
                <w:rFonts w:ascii="Times New Roman" w:hAnsi="Times New Roman"/>
                <w:sz w:val="20"/>
              </w:rPr>
            </w:pPr>
          </w:p>
          <w:p w14:paraId="684876E0"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Betarp"/>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Betarp"/>
              <w:jc w:val="both"/>
              <w:rPr>
                <w:rFonts w:ascii="Times New Roman" w:hAnsi="Times New Roman"/>
                <w:sz w:val="20"/>
              </w:rPr>
            </w:pPr>
          </w:p>
          <w:p w14:paraId="0E7CCBFF"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Puslapioinaosnuoroda"/>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Betarp"/>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Betarp"/>
              <w:jc w:val="both"/>
              <w:rPr>
                <w:rFonts w:ascii="Times New Roman" w:hAnsi="Times New Roman"/>
                <w:sz w:val="20"/>
              </w:rPr>
            </w:pPr>
          </w:p>
          <w:p w14:paraId="688E6AF3" w14:textId="77777777" w:rsidR="00D355DA" w:rsidRPr="00763B8C" w:rsidRDefault="00D355DA" w:rsidP="00E90429">
            <w:pPr>
              <w:pStyle w:val="Betarp"/>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Betarp"/>
              <w:jc w:val="both"/>
              <w:rPr>
                <w:rFonts w:ascii="Times New Roman" w:hAnsi="Times New Roman"/>
                <w:b/>
                <w:sz w:val="20"/>
              </w:rPr>
            </w:pPr>
          </w:p>
          <w:p w14:paraId="21AE95B5"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Betarp"/>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177927">
              <w:rPr>
                <w:b/>
                <w:i/>
                <w:color w:val="FF0000"/>
                <w:sz w:val="22"/>
                <w:szCs w:val="22"/>
                <w:bdr w:val="none" w:sz="0" w:space="0" w:color="auto"/>
                <w:lang w:val="lt-LT"/>
              </w:rPr>
              <w:t xml:space="preserve">Kartu su pasiūlymu pateikiama </w:t>
            </w:r>
            <w:r w:rsidRPr="00177927">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Betarp"/>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Betarp"/>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Betarp"/>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Betarp"/>
              <w:jc w:val="both"/>
              <w:rPr>
                <w:rFonts w:ascii="Times New Roman" w:hAnsi="Times New Roman"/>
                <w:b/>
                <w:sz w:val="20"/>
              </w:rPr>
            </w:pPr>
          </w:p>
          <w:p w14:paraId="5C34DA4D" w14:textId="7857AE39" w:rsidR="00264D59" w:rsidRPr="00763B8C" w:rsidRDefault="00264D59" w:rsidP="00264D59">
            <w:pPr>
              <w:pStyle w:val="Betarp"/>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Betarp"/>
              <w:jc w:val="both"/>
              <w:rPr>
                <w:rFonts w:ascii="Times New Roman" w:hAnsi="Times New Roman"/>
                <w:sz w:val="20"/>
              </w:rPr>
            </w:pPr>
          </w:p>
        </w:tc>
      </w:tr>
      <w:tr w:rsidR="00D355DA" w:rsidRPr="00601DA4"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Betarp"/>
              <w:numPr>
                <w:ilvl w:val="0"/>
                <w:numId w:val="4"/>
              </w:numPr>
              <w:rPr>
                <w:rFonts w:ascii="Times New Roman" w:hAnsi="Times New Roman"/>
                <w:b/>
                <w:sz w:val="20"/>
              </w:rPr>
            </w:pPr>
            <w:bookmarkStart w:id="1"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Betarp"/>
              <w:jc w:val="both"/>
              <w:rPr>
                <w:rFonts w:ascii="Times New Roman" w:hAnsi="Times New Roman"/>
                <w:b/>
                <w:sz w:val="20"/>
              </w:rPr>
            </w:pPr>
          </w:p>
          <w:p w14:paraId="104C6115"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Betarp"/>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Betarp"/>
              <w:jc w:val="both"/>
              <w:rPr>
                <w:rFonts w:ascii="Times New Roman" w:hAnsi="Times New Roman"/>
                <w:b/>
                <w:sz w:val="20"/>
              </w:rPr>
            </w:pPr>
          </w:p>
          <w:p w14:paraId="7B3E1033" w14:textId="56183B3A" w:rsidR="00D355DA" w:rsidRPr="00763B8C" w:rsidRDefault="00264D59" w:rsidP="00E90429">
            <w:pPr>
              <w:pStyle w:val="Betarp"/>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Betarp"/>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Betarp"/>
              <w:jc w:val="both"/>
              <w:rPr>
                <w:rFonts w:ascii="Times New Roman" w:hAnsi="Times New Roman"/>
                <w:sz w:val="20"/>
              </w:rPr>
            </w:pPr>
          </w:p>
          <w:p w14:paraId="4DC1F49F"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Betarp"/>
              <w:jc w:val="both"/>
              <w:rPr>
                <w:rFonts w:ascii="Times New Roman" w:hAnsi="Times New Roman"/>
                <w:b/>
                <w:sz w:val="20"/>
              </w:rPr>
            </w:pPr>
          </w:p>
          <w:p w14:paraId="5B4E9FE9" w14:textId="77777777" w:rsidR="00D355DA" w:rsidRPr="00763B8C" w:rsidRDefault="00D355DA" w:rsidP="00D355DA">
            <w:pPr>
              <w:pStyle w:val="Betarp"/>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Betarp"/>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Betarp"/>
              <w:jc w:val="both"/>
              <w:rPr>
                <w:rFonts w:ascii="Times New Roman" w:hAnsi="Times New Roman"/>
                <w:sz w:val="20"/>
              </w:rPr>
            </w:pPr>
          </w:p>
          <w:p w14:paraId="3BDCAFE7"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Puslapioinaosnuoroda"/>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Betarp"/>
              <w:jc w:val="both"/>
              <w:rPr>
                <w:rFonts w:ascii="Times New Roman" w:hAnsi="Times New Roman"/>
                <w:sz w:val="20"/>
              </w:rPr>
            </w:pPr>
          </w:p>
          <w:p w14:paraId="442DEEC1" w14:textId="77777777" w:rsidR="00D355DA" w:rsidRPr="00763B8C" w:rsidRDefault="00D355DA" w:rsidP="00E90429">
            <w:pPr>
              <w:pStyle w:val="Betarp"/>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Betarp"/>
              <w:jc w:val="both"/>
              <w:rPr>
                <w:rFonts w:ascii="Times New Roman" w:hAnsi="Times New Roman"/>
                <w:i/>
                <w:color w:val="7030A0"/>
                <w:sz w:val="20"/>
              </w:rPr>
            </w:pPr>
          </w:p>
          <w:p w14:paraId="2C6DD354"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Betarp"/>
              <w:jc w:val="both"/>
              <w:rPr>
                <w:rFonts w:ascii="Times New Roman" w:hAnsi="Times New Roman"/>
                <w:b/>
                <w:sz w:val="20"/>
              </w:rPr>
            </w:pPr>
          </w:p>
          <w:p w14:paraId="199BA20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Betarp"/>
              <w:jc w:val="both"/>
              <w:rPr>
                <w:rFonts w:ascii="Times New Roman" w:hAnsi="Times New Roman"/>
                <w:b/>
                <w:sz w:val="20"/>
              </w:rPr>
            </w:pPr>
          </w:p>
          <w:p w14:paraId="5D66BA74"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Betarp"/>
              <w:jc w:val="both"/>
              <w:rPr>
                <w:rFonts w:ascii="Times New Roman" w:hAnsi="Times New Roman"/>
                <w:b/>
                <w:sz w:val="20"/>
              </w:rPr>
            </w:pPr>
          </w:p>
          <w:p w14:paraId="65EC9C37"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Betarp"/>
              <w:jc w:val="both"/>
              <w:rPr>
                <w:rFonts w:ascii="Times New Roman" w:hAnsi="Times New Roman"/>
                <w:b/>
                <w:sz w:val="20"/>
              </w:rPr>
            </w:pPr>
          </w:p>
          <w:p w14:paraId="2F098BC1"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Puslapioinaosnuoroda"/>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Betarp"/>
              <w:jc w:val="both"/>
              <w:rPr>
                <w:rFonts w:ascii="Times New Roman" w:hAnsi="Times New Roman"/>
                <w:b/>
                <w:sz w:val="20"/>
              </w:rPr>
            </w:pPr>
          </w:p>
          <w:p w14:paraId="3208A3A9" w14:textId="77777777" w:rsidR="00D355DA" w:rsidRPr="00763B8C" w:rsidRDefault="00D355DA" w:rsidP="00E90429">
            <w:pPr>
              <w:pStyle w:val="Betarp"/>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Betarp"/>
              <w:jc w:val="both"/>
              <w:rPr>
                <w:rFonts w:ascii="Times New Roman" w:hAnsi="Times New Roman"/>
                <w:b/>
                <w:sz w:val="20"/>
              </w:rPr>
            </w:pPr>
          </w:p>
          <w:p w14:paraId="52ECAEBC" w14:textId="2BB5533F"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Betarp"/>
              <w:jc w:val="both"/>
              <w:rPr>
                <w:rFonts w:ascii="Times New Roman" w:hAnsi="Times New Roman"/>
                <w:sz w:val="20"/>
              </w:rPr>
            </w:pPr>
          </w:p>
          <w:p w14:paraId="77BB26E7"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Betarp"/>
              <w:jc w:val="both"/>
              <w:rPr>
                <w:rFonts w:ascii="Times New Roman" w:hAnsi="Times New Roman"/>
                <w:sz w:val="20"/>
              </w:rPr>
            </w:pPr>
          </w:p>
          <w:p w14:paraId="58B3471D"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Betarp"/>
              <w:jc w:val="both"/>
              <w:rPr>
                <w:rFonts w:ascii="Times New Roman" w:hAnsi="Times New Roman"/>
                <w:sz w:val="20"/>
              </w:rPr>
            </w:pPr>
          </w:p>
          <w:p w14:paraId="3A8A27E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601DA4"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Betarp"/>
              <w:jc w:val="both"/>
              <w:rPr>
                <w:rFonts w:ascii="Times New Roman" w:hAnsi="Times New Roman"/>
                <w:sz w:val="20"/>
              </w:rPr>
            </w:pPr>
          </w:p>
          <w:p w14:paraId="675D3255"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Betarp"/>
              <w:jc w:val="both"/>
              <w:rPr>
                <w:rFonts w:ascii="Times New Roman" w:hAnsi="Times New Roman"/>
                <w:sz w:val="20"/>
              </w:rPr>
            </w:pPr>
          </w:p>
          <w:p w14:paraId="649F63D2" w14:textId="77777777" w:rsidR="00D355DA" w:rsidRPr="00763B8C" w:rsidRDefault="00D355DA" w:rsidP="00E90429">
            <w:pPr>
              <w:pStyle w:val="Betarp"/>
              <w:jc w:val="both"/>
              <w:rPr>
                <w:rFonts w:ascii="Times New Roman" w:hAnsi="Times New Roman"/>
                <w:sz w:val="20"/>
              </w:rPr>
            </w:pPr>
          </w:p>
          <w:p w14:paraId="51C555F1"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Betarp"/>
              <w:jc w:val="both"/>
              <w:rPr>
                <w:rFonts w:ascii="Times New Roman" w:hAnsi="Times New Roman"/>
                <w:b/>
                <w:sz w:val="20"/>
              </w:rPr>
            </w:pPr>
          </w:p>
          <w:p w14:paraId="6B7C3EAD" w14:textId="77777777" w:rsidR="00AE7CBE" w:rsidRPr="00763B8C" w:rsidRDefault="00E722F6"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00AE7CBE" w:rsidRPr="00763B8C">
                <w:rPr>
                  <w:color w:val="0000FF"/>
                  <w:sz w:val="20"/>
                  <w:u w:val="single"/>
                  <w:bdr w:val="none" w:sz="0" w:space="0" w:color="auto"/>
                  <w:lang w:val="lt-LT"/>
                </w:rPr>
                <w:t>https://vpt.lrv.lt/lt/nuorodos/kiti-duomenys/powerbi/melaginga-informacija-pateikusiu-tiekeju-sarasas-3/</w:t>
              </w:r>
            </w:hyperlink>
            <w:r w:rsidR="00AE7CBE" w:rsidRPr="00763B8C">
              <w:rPr>
                <w:sz w:val="20"/>
                <w:bdr w:val="none" w:sz="0" w:space="0" w:color="auto"/>
                <w:lang w:val="lt-LT"/>
              </w:rPr>
              <w:t xml:space="preserve"> .</w:t>
            </w:r>
          </w:p>
          <w:p w14:paraId="165603EC" w14:textId="00522C5B" w:rsidR="00D355DA" w:rsidRPr="00763B8C" w:rsidRDefault="00D355DA" w:rsidP="00E90429">
            <w:pPr>
              <w:pStyle w:val="Betarp"/>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Betarp"/>
              <w:jc w:val="both"/>
              <w:rPr>
                <w:rFonts w:ascii="Times New Roman" w:hAnsi="Times New Roman"/>
                <w:sz w:val="20"/>
              </w:rPr>
            </w:pPr>
          </w:p>
          <w:p w14:paraId="0C27875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Betarp"/>
              <w:jc w:val="both"/>
              <w:rPr>
                <w:rFonts w:ascii="Times New Roman" w:hAnsi="Times New Roman"/>
                <w:sz w:val="20"/>
              </w:rPr>
            </w:pPr>
          </w:p>
          <w:p w14:paraId="5E7B660A" w14:textId="77777777" w:rsidR="00D355DA" w:rsidRPr="00763B8C" w:rsidRDefault="00D355DA" w:rsidP="00E90429">
            <w:pPr>
              <w:pStyle w:val="Betarp"/>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Betarp"/>
              <w:jc w:val="both"/>
              <w:rPr>
                <w:rFonts w:ascii="Times New Roman" w:hAnsi="Times New Roman"/>
                <w:b/>
                <w:sz w:val="20"/>
              </w:rPr>
            </w:pPr>
          </w:p>
        </w:tc>
      </w:tr>
      <w:tr w:rsidR="00D355DA" w:rsidRPr="00601DA4"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Betarp"/>
              <w:jc w:val="both"/>
              <w:rPr>
                <w:rFonts w:ascii="Times New Roman" w:hAnsi="Times New Roman"/>
                <w:sz w:val="20"/>
              </w:rPr>
            </w:pPr>
          </w:p>
          <w:p w14:paraId="0734D651"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Betarp"/>
              <w:jc w:val="both"/>
              <w:rPr>
                <w:rFonts w:ascii="Times New Roman" w:hAnsi="Times New Roman"/>
                <w:sz w:val="20"/>
              </w:rPr>
            </w:pPr>
          </w:p>
          <w:p w14:paraId="7625C297" w14:textId="77777777" w:rsidR="00D355DA" w:rsidRPr="00763B8C" w:rsidRDefault="00D355DA" w:rsidP="00E90429">
            <w:pPr>
              <w:pStyle w:val="Betarp"/>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Betarp"/>
              <w:jc w:val="both"/>
              <w:rPr>
                <w:rFonts w:ascii="Times New Roman" w:hAnsi="Times New Roman"/>
                <w:sz w:val="20"/>
              </w:rPr>
            </w:pPr>
          </w:p>
          <w:p w14:paraId="22A6195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Betarp"/>
              <w:jc w:val="both"/>
              <w:rPr>
                <w:rFonts w:ascii="Times New Roman" w:hAnsi="Times New Roman"/>
                <w:sz w:val="20"/>
              </w:rPr>
            </w:pPr>
          </w:p>
          <w:p w14:paraId="60B989BA" w14:textId="77777777" w:rsidR="00AE7CBE" w:rsidRPr="00763B8C" w:rsidRDefault="00E722F6"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00AE7CBE" w:rsidRPr="00763B8C">
                <w:rPr>
                  <w:color w:val="0000FF"/>
                  <w:sz w:val="20"/>
                  <w:u w:val="single"/>
                  <w:bdr w:val="none" w:sz="0" w:space="0" w:color="auto"/>
                  <w:lang w:val="lt-LT"/>
                </w:rPr>
                <w:t>https://vpt.lrv.lt/lt/nuorodos/kiti-duomenys/powerbi/nepatikimi-tiekejai-1/</w:t>
              </w:r>
            </w:hyperlink>
            <w:r w:rsidR="00AE7CBE"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E722F6"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00AE7CBE" w:rsidRPr="00763B8C">
                <w:rPr>
                  <w:color w:val="0000FF"/>
                  <w:sz w:val="20"/>
                  <w:u w:val="single"/>
                  <w:bdr w:val="none" w:sz="0" w:space="0" w:color="auto"/>
                  <w:lang w:val="lt-LT"/>
                </w:rPr>
                <w:t>https://vpt.lrv.lt/lt/pasalinimo-pagrindai-1/nepatikimu-koncesininku-sarasas-1/nepatikimu-koncesininku-sarasas/</w:t>
              </w:r>
            </w:hyperlink>
            <w:r w:rsidR="00AE7CBE" w:rsidRPr="00763B8C">
              <w:rPr>
                <w:sz w:val="20"/>
                <w:bdr w:val="none" w:sz="0" w:space="0" w:color="auto"/>
                <w:lang w:val="lt-LT"/>
              </w:rPr>
              <w:t xml:space="preserve"> </w:t>
            </w:r>
          </w:p>
          <w:p w14:paraId="44E8FADE" w14:textId="77777777" w:rsidR="00D355DA" w:rsidRPr="00763B8C" w:rsidRDefault="00D355DA" w:rsidP="00E90429">
            <w:pPr>
              <w:pStyle w:val="Betarp"/>
              <w:jc w:val="both"/>
              <w:rPr>
                <w:rFonts w:ascii="Times New Roman" w:hAnsi="Times New Roman"/>
                <w:b/>
                <w:sz w:val="20"/>
              </w:rPr>
            </w:pPr>
          </w:p>
        </w:tc>
      </w:tr>
      <w:tr w:rsidR="00D355DA" w:rsidRPr="00601DA4"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Betarp"/>
              <w:numPr>
                <w:ilvl w:val="0"/>
                <w:numId w:val="4"/>
              </w:numPr>
              <w:rPr>
                <w:rFonts w:ascii="Times New Roman" w:hAnsi="Times New Roman"/>
                <w:sz w:val="20"/>
              </w:rPr>
            </w:pPr>
          </w:p>
          <w:p w14:paraId="7ACE7F41" w14:textId="77777777" w:rsidR="00D355DA" w:rsidRPr="00763B8C" w:rsidRDefault="00D355DA" w:rsidP="00E90429">
            <w:pPr>
              <w:pStyle w:val="Betarp"/>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2" w:name="part_030e6c6c64ba4f96a23474e439d1b80c"/>
            <w:bookmarkEnd w:id="2"/>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Betarp"/>
              <w:jc w:val="both"/>
              <w:rPr>
                <w:rFonts w:ascii="Times New Roman" w:hAnsi="Times New Roman"/>
                <w:sz w:val="20"/>
              </w:rPr>
            </w:pPr>
          </w:p>
          <w:p w14:paraId="7FACBB4B"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Betarp"/>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601DA4"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Betarp"/>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Betarp"/>
              <w:jc w:val="both"/>
              <w:rPr>
                <w:rFonts w:ascii="Times New Roman" w:hAnsi="Times New Roman"/>
                <w:sz w:val="20"/>
              </w:rPr>
            </w:pPr>
          </w:p>
          <w:p w14:paraId="0369081B"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Betarp"/>
              <w:jc w:val="both"/>
              <w:rPr>
                <w:rFonts w:ascii="Times New Roman" w:hAnsi="Times New Roman"/>
                <w:b/>
                <w:sz w:val="20"/>
              </w:rPr>
            </w:pPr>
          </w:p>
          <w:p w14:paraId="3B766D46" w14:textId="0DFF70F8"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Betarp"/>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Betarp"/>
              <w:jc w:val="both"/>
              <w:rPr>
                <w:rFonts w:ascii="Times New Roman" w:hAnsi="Times New Roman"/>
                <w:sz w:val="20"/>
              </w:rPr>
            </w:pPr>
          </w:p>
          <w:p w14:paraId="3D424DDC"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Betarp"/>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E722F6"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00FD57A1"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bookmarkEnd w:id="0"/>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35D9F841"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w:t>
      </w:r>
      <w:r w:rsidR="00AE3D32">
        <w:rPr>
          <w:b/>
          <w:sz w:val="22"/>
          <w:lang w:val="pt-BR"/>
        </w:rPr>
        <w:t>is</w:t>
      </w:r>
      <w:r w:rsidR="00B50BDA" w:rsidRPr="009A55D0">
        <w:rPr>
          <w:b/>
          <w:sz w:val="22"/>
          <w:lang w:val="pt-BR"/>
        </w:rPr>
        <w:t>)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Lentelstinklelis"/>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601DA4"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sidRPr="008B5CF5">
              <w:rPr>
                <w:b/>
                <w:sz w:val="22"/>
                <w:szCs w:val="22"/>
                <w:lang w:val="lt-LT"/>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147D1AC" w:rsidR="00C1725F" w:rsidRPr="009A55D0" w:rsidRDefault="00C1725F" w:rsidP="00763B8C">
            <w:pPr>
              <w:jc w:val="both"/>
              <w:rPr>
                <w:i/>
                <w:sz w:val="18"/>
                <w:szCs w:val="18"/>
                <w:lang w:val="lt-LT"/>
              </w:rPr>
            </w:pPr>
            <w:r w:rsidRPr="009A55D0">
              <w:rPr>
                <w:i/>
                <w:sz w:val="18"/>
                <w:szCs w:val="18"/>
                <w:lang w:val="lt-LT"/>
              </w:rPr>
              <w:t>*</w:t>
            </w:r>
            <w:r w:rsidRPr="008B5CF5">
              <w:rPr>
                <w:sz w:val="18"/>
                <w:szCs w:val="18"/>
                <w:lang w:val="lt-LT"/>
              </w:rPr>
              <w:t xml:space="preserve"> </w:t>
            </w:r>
            <w:r w:rsidR="007C7FB5">
              <w:rPr>
                <w:i/>
                <w:sz w:val="18"/>
                <w:szCs w:val="18"/>
                <w:lang w:val="lt-LT"/>
              </w:rPr>
              <w:t>deklaruoja</w:t>
            </w:r>
            <w:r w:rsidR="007C7FB5" w:rsidRPr="009A55D0">
              <w:rPr>
                <w:i/>
                <w:sz w:val="18"/>
                <w:szCs w:val="18"/>
                <w:lang w:val="lt-LT"/>
              </w:rPr>
              <w:t xml:space="preserve"> </w:t>
            </w:r>
            <w:r w:rsidR="003E55B3">
              <w:rPr>
                <w:i/>
                <w:sz w:val="18"/>
                <w:szCs w:val="18"/>
                <w:lang w:val="lt-LT"/>
              </w:rPr>
              <w:t xml:space="preserve">atskirai </w:t>
            </w:r>
            <w:r w:rsidRPr="009A55D0">
              <w:rPr>
                <w:i/>
                <w:sz w:val="18"/>
                <w:szCs w:val="18"/>
                <w:lang w:val="lt-LT"/>
              </w:rPr>
              <w:t xml:space="preserve">tiekėjas ir subtiekėjai (išskyrus </w:t>
            </w:r>
            <w:proofErr w:type="spellStart"/>
            <w:r w:rsidRPr="009A55D0">
              <w:rPr>
                <w:i/>
                <w:sz w:val="18"/>
                <w:szCs w:val="18"/>
                <w:lang w:val="lt-LT"/>
              </w:rPr>
              <w:t>kvazisubtiekėjus</w:t>
            </w:r>
            <w:proofErr w:type="spellEnd"/>
          </w:p>
        </w:tc>
      </w:tr>
      <w:tr w:rsidR="00B50BDA" w:rsidRPr="00601DA4"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0CFB732F"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601DA4"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37E0CC04" w:rsidR="00B50BDA" w:rsidRPr="009A55D0" w:rsidRDefault="00B50BDA" w:rsidP="00763B8C">
            <w:pPr>
              <w:jc w:val="both"/>
              <w:rPr>
                <w:sz w:val="22"/>
                <w:lang w:val="lt-LT"/>
              </w:rPr>
            </w:pPr>
            <w:r w:rsidRPr="009A55D0">
              <w:rPr>
                <w:sz w:val="22"/>
                <w:lang w:val="lt-LT"/>
              </w:rPr>
              <w:t xml:space="preserve"> tiekėjo atstovas, </w:t>
            </w:r>
            <w:r w:rsidR="00D23C61">
              <w:rPr>
                <w:sz w:val="22"/>
                <w:lang w:val="lt-LT"/>
              </w:rPr>
              <w:t>ar jo</w:t>
            </w:r>
            <w:r w:rsidR="00D23C61" w:rsidRPr="009A55D0">
              <w:rPr>
                <w:sz w:val="22"/>
                <w:lang w:val="lt-LT"/>
              </w:rPr>
              <w:t xml:space="preserve"> </w:t>
            </w:r>
            <w:r w:rsidRPr="009A55D0">
              <w:rPr>
                <w:sz w:val="22"/>
                <w:lang w:val="lt-LT"/>
              </w:rPr>
              <w:t xml:space="preserve">atstovaujama bendrovė </w:t>
            </w:r>
            <w:r w:rsidR="00E26EBF">
              <w:rPr>
                <w:sz w:val="22"/>
                <w:lang w:val="lt-LT"/>
              </w:rPr>
              <w:t>yra</w:t>
            </w:r>
            <w:r w:rsidR="00E26EBF" w:rsidRPr="009A55D0">
              <w:rPr>
                <w:sz w:val="22"/>
                <w:lang w:val="lt-LT"/>
              </w:rPr>
              <w:t xml:space="preserve"> </w:t>
            </w:r>
            <w:r w:rsidRPr="009A55D0">
              <w:rPr>
                <w:sz w:val="22"/>
                <w:lang w:val="lt-LT"/>
              </w:rPr>
              <w:t>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601DA4"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601DA4"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45FF833B"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2EF27C83" w:rsidR="00527E9F" w:rsidRPr="005711CF" w:rsidRDefault="00527E9F" w:rsidP="007C7FB5">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w:t>
      </w:r>
      <w:r w:rsidRPr="005711CF">
        <w:rPr>
          <w:color w:val="000000"/>
          <w:sz w:val="22"/>
          <w:szCs w:val="22"/>
          <w:lang w:val="lt-LT"/>
        </w:rPr>
        <w:lastRenderedPageBreak/>
        <w:t>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ipersaitas"/>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3E64AC3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917C34">
        <w:rPr>
          <w:rFonts w:cs="Times New Roman"/>
          <w:color w:val="000000" w:themeColor="text1"/>
          <w:lang w:val="lt-LT"/>
        </w:rPr>
        <w:t>90 kalendorinių dienų</w:t>
      </w:r>
      <w:r w:rsidR="004F0B59" w:rsidRPr="005711CF">
        <w:rPr>
          <w:rFonts w:cs="Times New Roman"/>
          <w:color w:val="000000" w:themeColor="text1"/>
          <w:lang w:val="lt-LT"/>
        </w:rPr>
        <w:t xml:space="preserve"> </w:t>
      </w:r>
      <w:r w:rsidRPr="005711CF">
        <w:rPr>
          <w:rFonts w:cs="Times New Roman"/>
          <w:color w:val="000000" w:themeColor="text1"/>
          <w:lang w:val="lt-LT"/>
        </w:rPr>
        <w:t xml:space="preserve">nuo konkurso pasiūlymų pateikimo termino pabaigos. Jeigu pasiūlyme </w:t>
      </w:r>
      <w:r w:rsidRPr="005711CF">
        <w:rPr>
          <w:rFonts w:cs="Times New Roman"/>
          <w:color w:val="000000" w:themeColor="text1"/>
          <w:lang w:val="lt-LT"/>
        </w:rPr>
        <w:lastRenderedPageBreak/>
        <w:t>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79F7EB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skelbimą</w:t>
      </w:r>
      <w:r w:rsidR="001B1DDB">
        <w:rPr>
          <w:rFonts w:cs="Times New Roman"/>
          <w:color w:val="000000" w:themeColor="text1"/>
          <w:lang w:val="lt-LT"/>
        </w:rPr>
        <w:t xml:space="preserve"> apie pakeitimus</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1CED8AB4"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w:t>
      </w:r>
      <w:r w:rsidR="007A7B0F" w:rsidRPr="000E2DCE">
        <w:rPr>
          <w:rFonts w:eastAsia="Times New Roman" w:cs="Times New Roman"/>
          <w:bdr w:val="none" w:sz="0" w:space="0" w:color="auto"/>
          <w:lang w:val="lt-LT"/>
        </w:rPr>
        <w:t>dokumentas, EBPVD, ,</w:t>
      </w:r>
      <w:r w:rsidR="007A7B0F" w:rsidRPr="00BB69E2">
        <w:rPr>
          <w:rFonts w:eastAsia="Times New Roman" w:cs="Times New Roman"/>
          <w:bdr w:val="none" w:sz="0" w:space="0" w:color="auto"/>
          <w:lang w:val="lt-LT"/>
        </w:rPr>
        <w:t xml:space="preserve"> techniniai ir atitikimo nustatytiems kokybės kriterijams pasiūlymo duomenys, kita informacija ir dokumentai), kitoje - pateikta kaina arba sąnaudos.</w:t>
      </w:r>
      <w:r w:rsidR="001B1DDB" w:rsidRPr="00A72495">
        <w:rPr>
          <w:lang w:val="lt-LT"/>
        </w:rPr>
        <w:t xml:space="preserve"> </w:t>
      </w:r>
      <w:r w:rsidR="001B1DDB">
        <w:rPr>
          <w:rFonts w:eastAsia="Times New Roman" w:cs="Times New Roman"/>
          <w:bdr w:val="none" w:sz="0" w:space="0" w:color="auto"/>
          <w:lang w:val="lt-LT"/>
        </w:rPr>
        <w:t>T</w:t>
      </w:r>
      <w:r w:rsidR="001B1DDB" w:rsidRPr="001B1DDB">
        <w:rPr>
          <w:rFonts w:eastAsia="Times New Roman" w:cs="Times New Roman"/>
          <w:bdr w:val="none" w:sz="0" w:space="0" w:color="auto"/>
          <w:lang w:val="lt-LT"/>
        </w:rPr>
        <w:t>iekėjų pašalinimo pagrindų nebuvimą patvirtinantys dokumentai, tiekėjų kvalifikacijos atitiktį konkurso sąlygose nustatytiems kvalifikacijos (atrankos) reikalavimams patvirtinantys dokumentai</w:t>
      </w:r>
      <w:r w:rsidR="001B1DDB">
        <w:rPr>
          <w:rFonts w:eastAsia="Times New Roman" w:cs="Times New Roman"/>
          <w:bdr w:val="none" w:sz="0" w:space="0" w:color="auto"/>
          <w:lang w:val="lt-LT"/>
        </w:rPr>
        <w:t xml:space="preserve"> bus prašomi tik išgalimo laimėtojo.</w:t>
      </w:r>
      <w:r w:rsidR="007A7B0F" w:rsidRPr="00BB69E2">
        <w:rPr>
          <w:rFonts w:eastAsia="Times New Roman" w:cs="Times New Roman"/>
          <w:bdr w:val="none" w:sz="0" w:space="0" w:color="auto"/>
          <w:lang w:val="lt-LT"/>
        </w:rPr>
        <w:t xml:space="preserve">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 xml:space="preserve">Tiekėjai privalo užtikrinti, kad pasiūlymo dalyje, kurioje pateikti administraciniai, pašalinimo pagrindų, kvalifikacijos (atrankos) techniniai pasiūlymo </w:t>
      </w:r>
      <w:r w:rsidR="007A7B0F" w:rsidRPr="007A7B0F">
        <w:rPr>
          <w:rFonts w:eastAsia="Times New Roman" w:cs="Times New Roman"/>
          <w:bdr w:val="none" w:sz="0" w:space="0" w:color="auto"/>
          <w:lang w:val="lt-LT"/>
        </w:rPr>
        <w:lastRenderedPageBreak/>
        <w:t>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ipersaitas"/>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50AE00E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6.1.2. iki pirminio susipažinimo su CVP IS priemonėmis pateiktais pasiūlymais procedūros  pradžios CVP IS</w:t>
      </w:r>
      <w:r w:rsidR="003E55B3">
        <w:rPr>
          <w:rFonts w:cs="Times New Roman"/>
          <w:color w:val="000000" w:themeColor="text1"/>
          <w:lang w:val="lt-LT"/>
        </w:rPr>
        <w:t xml:space="preserve"> (BPS 10.1 punktas)</w:t>
      </w:r>
      <w:r w:rsidRPr="005711CF">
        <w:rPr>
          <w:rFonts w:cs="Times New Roman"/>
          <w:color w:val="000000" w:themeColor="text1"/>
          <w:lang w:val="lt-LT"/>
        </w:rPr>
        <w:t xml:space="preserve">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8B5CF5">
        <w:rPr>
          <w:lang w:val="lt-LT"/>
        </w:rPr>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Komentarotekstas"/>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672F9012"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 xml:space="preserve">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w:t>
      </w:r>
      <w:r w:rsidR="001B1DDB" w:rsidRPr="001B1DDB">
        <w:rPr>
          <w:rFonts w:cs="Times New Roman"/>
          <w:iCs/>
          <w:lang w:val="lt-LT"/>
        </w:rPr>
        <w:t xml:space="preserve">būtų buvę galima leisti dalyvauti kitiems kandidatams, negu iš pradžių atrinktiesiems, arba pirkimo procedūra būtų pritraukusi daugiau </w:t>
      </w:r>
      <w:r w:rsidR="001B1DDB">
        <w:rPr>
          <w:rFonts w:cs="Times New Roman"/>
          <w:iCs/>
          <w:lang w:val="lt-LT"/>
        </w:rPr>
        <w:t>tiekėjams</w:t>
      </w:r>
      <w:r w:rsidR="001B1DDB" w:rsidRPr="001B1DDB">
        <w:rPr>
          <w:rFonts w:cs="Times New Roman"/>
          <w:iCs/>
          <w:lang w:val="lt-LT"/>
        </w:rPr>
        <w:t>.</w:t>
      </w:r>
      <w:r w:rsidR="00400E1E" w:rsidRPr="005711CF">
        <w:rPr>
          <w:rFonts w:cs="Times New Roman"/>
          <w:iCs/>
          <w:lang w:val="lt-LT"/>
        </w:rPr>
        <w:t>,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Komentarotekstas"/>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w:t>
      </w:r>
      <w:bookmarkStart w:id="3" w:name="_GoBack"/>
      <w:r w:rsidRPr="005711CF">
        <w:rPr>
          <w:rFonts w:cs="Times New Roman"/>
          <w:color w:val="000000" w:themeColor="text1"/>
          <w:lang w:val="lt-LT"/>
        </w:rPr>
        <w:t xml:space="preserve">Elektroninis aukcionas </w:t>
      </w:r>
      <w:bookmarkEnd w:id="3"/>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w:t>
      </w:r>
      <w:r w:rsidR="00B9767C" w:rsidRPr="00B9767C">
        <w:rPr>
          <w:rFonts w:cs="Times New Roman"/>
          <w:color w:val="000000" w:themeColor="text1"/>
          <w:lang w:val="lt-LT"/>
        </w:rPr>
        <w:lastRenderedPageBreak/>
        <w:t xml:space="preserve">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1BE0C5E4"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1FF60" w16cex:dateUtc="2026-01-13T11:00:00Z"/>
  <w16cex:commentExtensible w16cex:durableId="5BE4B9F7" w16cex:dateUtc="2026-01-07T06:59:00Z"/>
  <w16cex:commentExtensible w16cex:durableId="4AA368A6" w16cex:dateUtc="2026-01-13T11:12:00Z"/>
  <w16cex:commentExtensible w16cex:durableId="2866BC72" w16cex:dateUtc="2026-01-07T07:41:00Z"/>
  <w16cex:commentExtensible w16cex:durableId="0F85D9C1" w16cex:dateUtc="2026-01-07T13: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4C71B" w14:textId="77777777" w:rsidR="00E722F6" w:rsidRDefault="00E722F6">
      <w:r>
        <w:separator/>
      </w:r>
    </w:p>
  </w:endnote>
  <w:endnote w:type="continuationSeparator" w:id="0">
    <w:p w14:paraId="43D87F34" w14:textId="77777777" w:rsidR="00E722F6" w:rsidRDefault="00E722F6">
      <w:r>
        <w:continuationSeparator/>
      </w:r>
    </w:p>
  </w:endnote>
  <w:endnote w:type="continuationNotice" w:id="1">
    <w:p w14:paraId="5F461104" w14:textId="77777777" w:rsidR="00E722F6" w:rsidRDefault="00E72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0390630B" w:rsidR="00E26EBF" w:rsidRPr="00B06C64" w:rsidRDefault="00E26EBF">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w:t>
    </w:r>
    <w:r w:rsidR="00D23C61">
      <w:rPr>
        <w:i/>
        <w:iCs/>
        <w:color w:val="D9D9D9" w:themeColor="background1" w:themeShade="D9"/>
      </w:rPr>
      <w:t>2-11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2B584C6B" w:rsidR="00E26EBF" w:rsidRPr="00D96BF2" w:rsidRDefault="00E26EBF">
    <w:pPr>
      <w:pStyle w:val="Porat"/>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w:t>
    </w:r>
    <w:r w:rsidR="00D23C61">
      <w:rPr>
        <w:i/>
        <w:iCs/>
        <w:color w:val="D9D9D9" w:themeColor="background1" w:themeShade="D9"/>
        <w:sz w:val="20"/>
        <w:szCs w:val="20"/>
        <w:lang w:val="lt-LT"/>
      </w:rPr>
      <w:t>2-11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E26EBF" w:rsidRPr="00B06C64" w:rsidRDefault="00E26EBF" w:rsidP="00EA1A87">
    <w:pPr>
      <w:pStyle w:val="Porat"/>
      <w:rPr>
        <w:i/>
        <w:iCs/>
      </w:rPr>
    </w:pPr>
  </w:p>
  <w:p w14:paraId="15332929" w14:textId="3ABC95F0" w:rsidR="00E26EBF" w:rsidRPr="00B06C64" w:rsidRDefault="00E26EBF" w:rsidP="00534ABD">
    <w:pPr>
      <w:pStyle w:val="Porat"/>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w:t>
    </w:r>
    <w:r w:rsidR="00D23C61">
      <w:rPr>
        <w:i/>
        <w:iCs/>
        <w:color w:val="D9D9D9" w:themeColor="background1" w:themeShade="D9"/>
        <w:sz w:val="20"/>
        <w:szCs w:val="20"/>
        <w:lang w:val="lt-LT"/>
      </w:rPr>
      <w:t>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66F24" w14:textId="77777777" w:rsidR="00E722F6" w:rsidRDefault="00E722F6">
      <w:r>
        <w:separator/>
      </w:r>
    </w:p>
  </w:footnote>
  <w:footnote w:type="continuationSeparator" w:id="0">
    <w:p w14:paraId="210FA272" w14:textId="77777777" w:rsidR="00E722F6" w:rsidRDefault="00E722F6">
      <w:r>
        <w:continuationSeparator/>
      </w:r>
    </w:p>
  </w:footnote>
  <w:footnote w:type="continuationNotice" w:id="1">
    <w:p w14:paraId="3F4BAE18" w14:textId="77777777" w:rsidR="00E722F6" w:rsidRDefault="00E722F6"/>
  </w:footnote>
  <w:footnote w:id="2">
    <w:p w14:paraId="021CADB4" w14:textId="77777777" w:rsidR="00E26EBF" w:rsidRPr="001620D3" w:rsidRDefault="00E26EBF" w:rsidP="00D355D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E26EBF" w:rsidRPr="001620D3" w:rsidRDefault="00E26EBF" w:rsidP="00D355D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E26EBF" w:rsidRDefault="00E26EBF" w:rsidP="00D355D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E26EBF" w:rsidRPr="001620D3" w:rsidRDefault="00E26EBF" w:rsidP="00D355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E26EBF" w:rsidRPr="001620D3" w:rsidRDefault="00E26EBF" w:rsidP="00D355D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E26EBF" w:rsidRDefault="00E26EBF" w:rsidP="00D355D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E26EBF" w:rsidRPr="001620D3" w:rsidRDefault="00E26EBF" w:rsidP="00D355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E26EBF" w:rsidRPr="001620D3" w:rsidRDefault="00E26EBF" w:rsidP="00D355DA">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E26EBF" w:rsidRDefault="00E26EBF" w:rsidP="00D355DA">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649A0C44" w:rsidR="00E26EBF" w:rsidRDefault="00E26EBF">
        <w:pPr>
          <w:pStyle w:val="Antrats"/>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E26EBF" w:rsidRDefault="00E26E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3B4E" w14:textId="77777777" w:rsidR="00E26EBF" w:rsidRPr="00861445" w:rsidRDefault="00E26EBF"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77777777" w:rsidR="00E26EBF" w:rsidRPr="00E52C9C" w:rsidRDefault="00E26EBF"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E26EBF" w:rsidRDefault="00E26EB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E26EBF" w:rsidRPr="004C189C" w:rsidRDefault="00E26EBF" w:rsidP="004C189C">
    <w:pPr>
      <w:pStyle w:val="Antrats"/>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pt;height:7.2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4"/>
  </w:num>
  <w:num w:numId="2">
    <w:abstractNumId w:val="3"/>
  </w:num>
  <w:num w:numId="3">
    <w:abstractNumId w:val="9"/>
  </w:num>
  <w:num w:numId="4">
    <w:abstractNumId w:val="13"/>
  </w:num>
  <w:num w:numId="5">
    <w:abstractNumId w:val="7"/>
  </w:num>
  <w:num w:numId="6">
    <w:abstractNumId w:val="10"/>
  </w:num>
  <w:num w:numId="7">
    <w:abstractNumId w:val="12"/>
  </w:num>
  <w:num w:numId="8">
    <w:abstractNumId w:val="0"/>
  </w:num>
  <w:num w:numId="9">
    <w:abstractNumId w:val="6"/>
  </w:num>
  <w:num w:numId="10">
    <w:abstractNumId w:val="1"/>
  </w:num>
  <w:num w:numId="11">
    <w:abstractNumId w:val="2"/>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5692E"/>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2DCE"/>
    <w:rsid w:val="000E4515"/>
    <w:rsid w:val="000E467E"/>
    <w:rsid w:val="000E4E50"/>
    <w:rsid w:val="000E5208"/>
    <w:rsid w:val="000F4946"/>
    <w:rsid w:val="0011010D"/>
    <w:rsid w:val="00111AF6"/>
    <w:rsid w:val="001144C7"/>
    <w:rsid w:val="00117044"/>
    <w:rsid w:val="00117E06"/>
    <w:rsid w:val="00123C5C"/>
    <w:rsid w:val="00125AD1"/>
    <w:rsid w:val="0013164D"/>
    <w:rsid w:val="001353D4"/>
    <w:rsid w:val="00136A50"/>
    <w:rsid w:val="001431C1"/>
    <w:rsid w:val="001503FE"/>
    <w:rsid w:val="00151CD1"/>
    <w:rsid w:val="00161D92"/>
    <w:rsid w:val="00167AC7"/>
    <w:rsid w:val="00174615"/>
    <w:rsid w:val="00177927"/>
    <w:rsid w:val="001A1626"/>
    <w:rsid w:val="001A31AA"/>
    <w:rsid w:val="001B1DDB"/>
    <w:rsid w:val="001B431A"/>
    <w:rsid w:val="001B550A"/>
    <w:rsid w:val="001B7326"/>
    <w:rsid w:val="001B7C95"/>
    <w:rsid w:val="001C275F"/>
    <w:rsid w:val="001E0D80"/>
    <w:rsid w:val="001E0EC8"/>
    <w:rsid w:val="001E2F3C"/>
    <w:rsid w:val="001F32F9"/>
    <w:rsid w:val="002223B8"/>
    <w:rsid w:val="00222ACB"/>
    <w:rsid w:val="002260CB"/>
    <w:rsid w:val="00230DF1"/>
    <w:rsid w:val="0023367A"/>
    <w:rsid w:val="0024056E"/>
    <w:rsid w:val="00241575"/>
    <w:rsid w:val="0024699C"/>
    <w:rsid w:val="002504DB"/>
    <w:rsid w:val="00256D88"/>
    <w:rsid w:val="00264D59"/>
    <w:rsid w:val="00264D9D"/>
    <w:rsid w:val="00276AAF"/>
    <w:rsid w:val="00281577"/>
    <w:rsid w:val="00281DD9"/>
    <w:rsid w:val="00282BA1"/>
    <w:rsid w:val="00282CC2"/>
    <w:rsid w:val="00284ABF"/>
    <w:rsid w:val="00287087"/>
    <w:rsid w:val="00291F83"/>
    <w:rsid w:val="0029227F"/>
    <w:rsid w:val="00294A9C"/>
    <w:rsid w:val="00296051"/>
    <w:rsid w:val="002A573F"/>
    <w:rsid w:val="002A7AD3"/>
    <w:rsid w:val="002B15A9"/>
    <w:rsid w:val="002B2FF2"/>
    <w:rsid w:val="002B64F1"/>
    <w:rsid w:val="002B753E"/>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CF9"/>
    <w:rsid w:val="00336EF0"/>
    <w:rsid w:val="003507A1"/>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E55B3"/>
    <w:rsid w:val="003F1A88"/>
    <w:rsid w:val="003F2B08"/>
    <w:rsid w:val="003F6EC7"/>
    <w:rsid w:val="00400E1E"/>
    <w:rsid w:val="00402937"/>
    <w:rsid w:val="00403686"/>
    <w:rsid w:val="00410080"/>
    <w:rsid w:val="004100DF"/>
    <w:rsid w:val="0041328D"/>
    <w:rsid w:val="004170E5"/>
    <w:rsid w:val="004218DC"/>
    <w:rsid w:val="00422CCF"/>
    <w:rsid w:val="0042501C"/>
    <w:rsid w:val="00426BF9"/>
    <w:rsid w:val="0043108C"/>
    <w:rsid w:val="00431428"/>
    <w:rsid w:val="00433AC0"/>
    <w:rsid w:val="00441FB2"/>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756"/>
    <w:rsid w:val="0052580C"/>
    <w:rsid w:val="0052684A"/>
    <w:rsid w:val="00527E9F"/>
    <w:rsid w:val="00530BBE"/>
    <w:rsid w:val="00530E5B"/>
    <w:rsid w:val="00531E10"/>
    <w:rsid w:val="005325E9"/>
    <w:rsid w:val="00534ABD"/>
    <w:rsid w:val="00535C9F"/>
    <w:rsid w:val="005652BE"/>
    <w:rsid w:val="005711CF"/>
    <w:rsid w:val="0057282C"/>
    <w:rsid w:val="00573084"/>
    <w:rsid w:val="00576AD2"/>
    <w:rsid w:val="005777D2"/>
    <w:rsid w:val="00582569"/>
    <w:rsid w:val="00586720"/>
    <w:rsid w:val="00590D24"/>
    <w:rsid w:val="00592548"/>
    <w:rsid w:val="0059498A"/>
    <w:rsid w:val="00597090"/>
    <w:rsid w:val="00597E46"/>
    <w:rsid w:val="005A05DE"/>
    <w:rsid w:val="005A286B"/>
    <w:rsid w:val="005A4214"/>
    <w:rsid w:val="005B1CFE"/>
    <w:rsid w:val="005B3CCC"/>
    <w:rsid w:val="005B45C0"/>
    <w:rsid w:val="005B7D10"/>
    <w:rsid w:val="005C2C48"/>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1DA4"/>
    <w:rsid w:val="00603F35"/>
    <w:rsid w:val="00604677"/>
    <w:rsid w:val="0060516F"/>
    <w:rsid w:val="00605429"/>
    <w:rsid w:val="00616FD1"/>
    <w:rsid w:val="00622E0A"/>
    <w:rsid w:val="006275E7"/>
    <w:rsid w:val="00632F9A"/>
    <w:rsid w:val="0063406E"/>
    <w:rsid w:val="006622A0"/>
    <w:rsid w:val="00673853"/>
    <w:rsid w:val="006752FD"/>
    <w:rsid w:val="006773CC"/>
    <w:rsid w:val="00691FEB"/>
    <w:rsid w:val="00692152"/>
    <w:rsid w:val="00695772"/>
    <w:rsid w:val="00695914"/>
    <w:rsid w:val="006A10A1"/>
    <w:rsid w:val="006A111D"/>
    <w:rsid w:val="006B125B"/>
    <w:rsid w:val="006B3800"/>
    <w:rsid w:val="006B3DCE"/>
    <w:rsid w:val="006B771F"/>
    <w:rsid w:val="006C0030"/>
    <w:rsid w:val="006C2745"/>
    <w:rsid w:val="006C2D8E"/>
    <w:rsid w:val="006C36DE"/>
    <w:rsid w:val="006C3EB4"/>
    <w:rsid w:val="006C6452"/>
    <w:rsid w:val="006D1544"/>
    <w:rsid w:val="006D1A88"/>
    <w:rsid w:val="006D2590"/>
    <w:rsid w:val="006D5F7C"/>
    <w:rsid w:val="006D68AF"/>
    <w:rsid w:val="006E0EDD"/>
    <w:rsid w:val="006E308F"/>
    <w:rsid w:val="006E6F2D"/>
    <w:rsid w:val="006F1EA5"/>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1E00"/>
    <w:rsid w:val="007B4800"/>
    <w:rsid w:val="007C0A1D"/>
    <w:rsid w:val="007C116B"/>
    <w:rsid w:val="007C14B7"/>
    <w:rsid w:val="007C7FB5"/>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13C8"/>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B5CF5"/>
    <w:rsid w:val="008C6A5E"/>
    <w:rsid w:val="008D5C61"/>
    <w:rsid w:val="008E24BE"/>
    <w:rsid w:val="008E5BB8"/>
    <w:rsid w:val="008E5EFD"/>
    <w:rsid w:val="008F58FA"/>
    <w:rsid w:val="008F70AC"/>
    <w:rsid w:val="00906941"/>
    <w:rsid w:val="00913031"/>
    <w:rsid w:val="00917C34"/>
    <w:rsid w:val="0092131B"/>
    <w:rsid w:val="009304BD"/>
    <w:rsid w:val="009336BB"/>
    <w:rsid w:val="009424E3"/>
    <w:rsid w:val="00946267"/>
    <w:rsid w:val="00947014"/>
    <w:rsid w:val="00947AA0"/>
    <w:rsid w:val="00950D9A"/>
    <w:rsid w:val="00950FD6"/>
    <w:rsid w:val="00951B01"/>
    <w:rsid w:val="0095477A"/>
    <w:rsid w:val="009603FD"/>
    <w:rsid w:val="009639FC"/>
    <w:rsid w:val="00964BC7"/>
    <w:rsid w:val="00973B5F"/>
    <w:rsid w:val="00974862"/>
    <w:rsid w:val="00975817"/>
    <w:rsid w:val="00976BF9"/>
    <w:rsid w:val="00981DB2"/>
    <w:rsid w:val="009836B6"/>
    <w:rsid w:val="009863B5"/>
    <w:rsid w:val="00991237"/>
    <w:rsid w:val="00993B7D"/>
    <w:rsid w:val="009A1259"/>
    <w:rsid w:val="009A2BB6"/>
    <w:rsid w:val="009A397F"/>
    <w:rsid w:val="009A55D0"/>
    <w:rsid w:val="009A6C6E"/>
    <w:rsid w:val="009B101A"/>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55FE3"/>
    <w:rsid w:val="00A60C31"/>
    <w:rsid w:val="00A612BD"/>
    <w:rsid w:val="00A6163A"/>
    <w:rsid w:val="00A61775"/>
    <w:rsid w:val="00A61AE2"/>
    <w:rsid w:val="00A66276"/>
    <w:rsid w:val="00A71620"/>
    <w:rsid w:val="00A71EB8"/>
    <w:rsid w:val="00A72495"/>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3D32"/>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2EB7"/>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3756"/>
    <w:rsid w:val="00C7432E"/>
    <w:rsid w:val="00C74601"/>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CF319B"/>
    <w:rsid w:val="00D031A4"/>
    <w:rsid w:val="00D038A5"/>
    <w:rsid w:val="00D123D8"/>
    <w:rsid w:val="00D21498"/>
    <w:rsid w:val="00D23C61"/>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274D"/>
    <w:rsid w:val="00D74855"/>
    <w:rsid w:val="00D82573"/>
    <w:rsid w:val="00D8439E"/>
    <w:rsid w:val="00D860B7"/>
    <w:rsid w:val="00D91772"/>
    <w:rsid w:val="00D96BF2"/>
    <w:rsid w:val="00DA0EA8"/>
    <w:rsid w:val="00DA5A0F"/>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0167"/>
    <w:rsid w:val="00E17D1F"/>
    <w:rsid w:val="00E26EBF"/>
    <w:rsid w:val="00E31616"/>
    <w:rsid w:val="00E45F3E"/>
    <w:rsid w:val="00E51E4B"/>
    <w:rsid w:val="00E53EBF"/>
    <w:rsid w:val="00E722F6"/>
    <w:rsid w:val="00E74D04"/>
    <w:rsid w:val="00E75C93"/>
    <w:rsid w:val="00E80DA5"/>
    <w:rsid w:val="00E8710A"/>
    <w:rsid w:val="00E87DAD"/>
    <w:rsid w:val="00E90429"/>
    <w:rsid w:val="00E90B75"/>
    <w:rsid w:val="00E91B91"/>
    <w:rsid w:val="00EA037F"/>
    <w:rsid w:val="00EA13D7"/>
    <w:rsid w:val="00EA1A87"/>
    <w:rsid w:val="00EA4D18"/>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27D9F"/>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266D"/>
    <w:rsid w:val="00F85639"/>
    <w:rsid w:val="00F87084"/>
    <w:rsid w:val="00F87AF4"/>
    <w:rsid w:val="00F90202"/>
    <w:rsid w:val="00F91A2B"/>
    <w:rsid w:val="00F93F30"/>
    <w:rsid w:val="00FA1840"/>
    <w:rsid w:val="00FA302F"/>
    <w:rsid w:val="00FA7070"/>
    <w:rsid w:val="00FB1C76"/>
    <w:rsid w:val="00FB3004"/>
    <w:rsid w:val="00FB3D1A"/>
    <w:rsid w:val="00FB7249"/>
    <w:rsid w:val="00FB7E8B"/>
    <w:rsid w:val="00FC4B1C"/>
    <w:rsid w:val="00FC59AF"/>
    <w:rsid w:val="00FC6517"/>
    <w:rsid w:val="00FD48F7"/>
    <w:rsid w:val="00FD57A1"/>
    <w:rsid w:val="00FE0C5C"/>
    <w:rsid w:val="00FE13A0"/>
    <w:rsid w:val="00FE48C1"/>
    <w:rsid w:val="00FF0320"/>
    <w:rsid w:val="00FF09A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styleId="prastasiniatinklio">
    <w:name w:val="Normal (Web)"/>
    <w:basedOn w:val="prastasis"/>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basedOn w:val="prastasis"/>
    <w:link w:val="AntratsDiagrama"/>
    <w:uiPriority w:val="99"/>
    <w:unhideWhenUsed/>
    <w:rsid w:val="00744E2A"/>
    <w:pPr>
      <w:tabs>
        <w:tab w:val="center" w:pos="4819"/>
        <w:tab w:val="right" w:pos="9638"/>
      </w:tabs>
    </w:pPr>
  </w:style>
  <w:style w:type="character" w:customStyle="1" w:styleId="AntratsDiagrama">
    <w:name w:val="Antraštės Diagrama"/>
    <w:basedOn w:val="Numatytasispastraiposriftas"/>
    <w:link w:val="Antrats"/>
    <w:uiPriority w:val="99"/>
    <w:rsid w:val="00744E2A"/>
    <w:rPr>
      <w:sz w:val="24"/>
      <w:szCs w:val="24"/>
      <w:lang w:val="en-US" w:eastAsia="en-US"/>
    </w:rPr>
  </w:style>
  <w:style w:type="paragraph" w:styleId="Porat">
    <w:name w:val="footer"/>
    <w:basedOn w:val="prastasis"/>
    <w:link w:val="PoratDiagrama"/>
    <w:uiPriority w:val="99"/>
    <w:unhideWhenUsed/>
    <w:rsid w:val="00744E2A"/>
    <w:pPr>
      <w:tabs>
        <w:tab w:val="center" w:pos="4819"/>
        <w:tab w:val="right" w:pos="9638"/>
      </w:tabs>
    </w:pPr>
  </w:style>
  <w:style w:type="character" w:customStyle="1" w:styleId="PoratDiagrama">
    <w:name w:val="Poraštė Diagrama"/>
    <w:basedOn w:val="Numatytasispastraiposriftas"/>
    <w:link w:val="Porat"/>
    <w:uiPriority w:val="99"/>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uiPriority w:val="99"/>
    <w:rsid w:val="00F61499"/>
    <w:rPr>
      <w:rFonts w:ascii="Brandon Grotesque Regular" w:hAnsi="Brandon Grotesque Regular" w:hint="default"/>
      <w:color w:val="000000"/>
    </w:rPr>
  </w:style>
  <w:style w:type="paragraph" w:styleId="Debesliotekstas">
    <w:name w:val="Balloon Text"/>
    <w:basedOn w:val="prastasis"/>
    <w:link w:val="DebesliotekstasDiagrama"/>
    <w:uiPriority w:val="99"/>
    <w:semiHidden/>
    <w:unhideWhenUsed/>
    <w:rsid w:val="008B0D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0D52"/>
    <w:rPr>
      <w:rFonts w:ascii="Segoe UI" w:hAnsi="Segoe UI" w:cs="Segoe UI"/>
      <w:sz w:val="18"/>
      <w:szCs w:val="18"/>
      <w:lang w:val="en-US" w:eastAsia="en-US"/>
    </w:rPr>
  </w:style>
  <w:style w:type="character" w:styleId="Komentaronuoroda">
    <w:name w:val="annotation reference"/>
    <w:basedOn w:val="Numatytasispastraiposriftas"/>
    <w:unhideWhenUsed/>
    <w:rsid w:val="003F1A88"/>
    <w:rPr>
      <w:sz w:val="16"/>
      <w:szCs w:val="16"/>
    </w:rPr>
  </w:style>
  <w:style w:type="paragraph" w:styleId="Komentarotekstas">
    <w:name w:val="annotation text"/>
    <w:basedOn w:val="prastasis"/>
    <w:link w:val="KomentarotekstasDiagrama"/>
    <w:unhideWhenUsed/>
    <w:rsid w:val="003F1A88"/>
    <w:rPr>
      <w:sz w:val="20"/>
      <w:szCs w:val="20"/>
    </w:rPr>
  </w:style>
  <w:style w:type="character" w:customStyle="1" w:styleId="KomentarotekstasDiagrama">
    <w:name w:val="Komentaro tekstas Diagrama"/>
    <w:basedOn w:val="Numatytasispastraiposriftas"/>
    <w:link w:val="Komentarotekstas"/>
    <w:rsid w:val="003F1A88"/>
    <w:rPr>
      <w:lang w:val="en-US" w:eastAsia="en-US"/>
    </w:rPr>
  </w:style>
  <w:style w:type="paragraph" w:styleId="Komentarotema">
    <w:name w:val="annotation subject"/>
    <w:basedOn w:val="Komentarotekstas"/>
    <w:next w:val="Komentarotekstas"/>
    <w:link w:val="KomentarotemaDiagrama"/>
    <w:uiPriority w:val="99"/>
    <w:semiHidden/>
    <w:unhideWhenUsed/>
    <w:rsid w:val="003F1A88"/>
    <w:rPr>
      <w:b/>
      <w:bCs/>
    </w:rPr>
  </w:style>
  <w:style w:type="character" w:customStyle="1" w:styleId="KomentarotemaDiagrama">
    <w:name w:val="Komentaro tema Diagrama"/>
    <w:basedOn w:val="KomentarotekstasDiagrama"/>
    <w:link w:val="Komentarotema"/>
    <w:uiPriority w:val="99"/>
    <w:semiHidden/>
    <w:rsid w:val="003F1A88"/>
    <w:rPr>
      <w:b/>
      <w:bCs/>
      <w:lang w:val="en-US" w:eastAsia="en-US"/>
    </w:rPr>
  </w:style>
  <w:style w:type="character" w:styleId="Grietas">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faz">
    <w:name w:val="Emphasis"/>
    <w:basedOn w:val="Numatytasispastraiposriftas"/>
    <w:uiPriority w:val="20"/>
    <w:qFormat/>
    <w:rsid w:val="00316017"/>
    <w:rPr>
      <w:i/>
      <w:iCs/>
    </w:rPr>
  </w:style>
  <w:style w:type="character" w:customStyle="1" w:styleId="UnresolvedMention1">
    <w:name w:val="Unresolved Mention1"/>
    <w:basedOn w:val="Numatytasispastraiposriftas"/>
    <w:uiPriority w:val="99"/>
    <w:semiHidden/>
    <w:unhideWhenUsed/>
    <w:rsid w:val="00F47BAB"/>
    <w:rPr>
      <w:color w:val="605E5C"/>
      <w:shd w:val="clear" w:color="auto" w:fill="E1DFDD"/>
    </w:rPr>
  </w:style>
  <w:style w:type="paragraph" w:styleId="Betarp">
    <w:name w:val="No Spacing"/>
    <w:link w:val="BetarpDiagrama"/>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basedOn w:val="Numatytasispastraiposriftas"/>
    <w:link w:val="Betarp"/>
    <w:uiPriority w:val="1"/>
    <w:rsid w:val="00CD63A3"/>
    <w:rPr>
      <w:rFonts w:asciiTheme="minorHAnsi" w:eastAsiaTheme="minorEastAsia" w:hAnsiTheme="minorHAnsi" w:cstheme="minorBidi"/>
      <w:sz w:val="21"/>
      <w:szCs w:val="21"/>
      <w:bdr w:val="none" w:sz="0" w:space="0" w:color="auto"/>
    </w:rPr>
  </w:style>
  <w:style w:type="paragraph" w:styleId="Puslapioinaostekstas">
    <w:name w:val="footnote text"/>
    <w:basedOn w:val="prastasis"/>
    <w:link w:val="PuslapioinaostekstasDiagrama"/>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CD63A3"/>
    <w:rPr>
      <w:rFonts w:asciiTheme="minorHAnsi" w:eastAsiaTheme="minorEastAsia" w:hAnsiTheme="minorHAnsi" w:cstheme="minorBidi"/>
      <w:bdr w:val="none" w:sz="0" w:space="0" w:color="auto"/>
    </w:rPr>
  </w:style>
  <w:style w:type="character" w:styleId="Puslapioinaosnuoroda">
    <w:name w:val="footnote reference"/>
    <w:basedOn w:val="Numatytasispastraiposriftas"/>
    <w:uiPriority w:val="99"/>
    <w:semiHidden/>
    <w:unhideWhenUsed/>
    <w:rsid w:val="00CD63A3"/>
    <w:rPr>
      <w:vertAlign w:val="superscript"/>
    </w:rPr>
  </w:style>
  <w:style w:type="character" w:styleId="Perirtashipersaitas">
    <w:name w:val="FollowedHyperlink"/>
    <w:basedOn w:val="Numatytasispastraiposriftas"/>
    <w:uiPriority w:val="99"/>
    <w:semiHidden/>
    <w:unhideWhenUsed/>
    <w:rsid w:val="00CD63A3"/>
    <w:rPr>
      <w:color w:val="FF00FF" w:themeColor="followedHyperlink"/>
      <w:u w:val="single"/>
    </w:rPr>
  </w:style>
  <w:style w:type="table" w:styleId="Lentelstinklelis">
    <w:name w:val="Table Grid"/>
    <w:basedOn w:val="prastojilente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A3088"/>
    <w:pPr>
      <w:ind w:left="720"/>
      <w:contextualSpacing/>
    </w:pPr>
  </w:style>
  <w:style w:type="paragraph" w:styleId="Pataisymai">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B3D5A"/>
    <w:rPr>
      <w:sz w:val="24"/>
      <w:szCs w:val="24"/>
      <w:lang w:val="en-US" w:eastAsia="en-US"/>
    </w:rPr>
  </w:style>
  <w:style w:type="character" w:styleId="Neapdorotaspaminjimas">
    <w:name w:val="Unresolved Mention"/>
    <w:basedOn w:val="Numatytasispastraiposriftas"/>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 Id="rId35"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C9C3C5A1-81E5-4A62-94C8-A0FDF35A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54262</Words>
  <Characters>30930</Characters>
  <Application>Microsoft Office Word</Application>
  <DocSecurity>0</DocSecurity>
  <Lines>257</Lines>
  <Paragraphs>170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BPS_CPVA rekomendacijos</vt:lpstr>
      <vt:lpstr>BPS_CPVA rekomendacijos</vt:lpstr>
    </vt:vector>
  </TitlesOfParts>
  <Company/>
  <LinksUpToDate>false</LinksUpToDate>
  <CharactersWithSpaces>85022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Asta Volosevičienė</cp:lastModifiedBy>
  <cp:revision>6</cp:revision>
  <cp:lastPrinted>2022-05-17T11:05:00Z</cp:lastPrinted>
  <dcterms:created xsi:type="dcterms:W3CDTF">2026-01-13T11:17:00Z</dcterms:created>
  <dcterms:modified xsi:type="dcterms:W3CDTF">2026-02-18T09:30:00Z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