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20DB" w14:textId="77777777" w:rsidR="00007B46" w:rsidRDefault="00007B46" w:rsidP="00007B46">
      <w:pPr>
        <w:rPr>
          <w:rFonts w:ascii="Arial" w:hAnsi="Arial" w:cs="Arial"/>
          <w:sz w:val="22"/>
          <w:szCs w:val="22"/>
        </w:rPr>
      </w:pPr>
    </w:p>
    <w:p w14:paraId="04655E82" w14:textId="22B37015" w:rsidR="00007B46" w:rsidRPr="00C91AA4" w:rsidRDefault="00635C7F" w:rsidP="00635C7F">
      <w:pPr>
        <w:pStyle w:val="ListParagraph"/>
        <w:suppressAutoHyphens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SPS priedas Nr</w:t>
      </w:r>
      <w:r w:rsidRPr="00AE7CE6">
        <w:rPr>
          <w:rFonts w:ascii="Arial" w:hAnsi="Arial" w:cs="Arial"/>
          <w:sz w:val="22"/>
          <w:szCs w:val="22"/>
        </w:rPr>
        <w:t>. 1</w:t>
      </w:r>
      <w:r w:rsidR="008055D3" w:rsidRPr="00AE7CE6">
        <w:rPr>
          <w:rFonts w:ascii="Arial" w:hAnsi="Arial" w:cs="Arial"/>
          <w:sz w:val="22"/>
          <w:szCs w:val="22"/>
        </w:rPr>
        <w:t>1</w:t>
      </w:r>
      <w:r w:rsidRPr="00AE7CE6">
        <w:rPr>
          <w:rFonts w:ascii="Arial" w:hAnsi="Arial" w:cs="Arial"/>
          <w:sz w:val="22"/>
          <w:szCs w:val="22"/>
        </w:rPr>
        <w:t xml:space="preserve"> </w:t>
      </w:r>
    </w:p>
    <w:p w14:paraId="5553182E" w14:textId="77777777" w:rsidR="00007B46" w:rsidRDefault="00007B46" w:rsidP="00007B46">
      <w:pPr>
        <w:pStyle w:val="ListParagraph"/>
        <w:suppressAutoHyphens/>
        <w:ind w:left="360"/>
        <w:jc w:val="center"/>
        <w:rPr>
          <w:rFonts w:ascii="Arial" w:hAnsi="Arial" w:cs="Arial"/>
          <w:b/>
          <w:sz w:val="22"/>
          <w:szCs w:val="22"/>
        </w:rPr>
      </w:pPr>
      <w:bookmarkStart w:id="0" w:name="_TIEKĖJŲ_KVALIFIKACIJOS_REIKALAVIMAI"/>
      <w:bookmarkEnd w:id="0"/>
    </w:p>
    <w:p w14:paraId="6FD37400" w14:textId="405384F3" w:rsidR="00007B46" w:rsidRDefault="00007B46" w:rsidP="00007B46">
      <w:pPr>
        <w:pStyle w:val="ListParagraph"/>
        <w:suppressAutoHyphens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07E54">
        <w:rPr>
          <w:rFonts w:ascii="Arial" w:hAnsi="Arial" w:cs="Arial"/>
          <w:b/>
          <w:sz w:val="22"/>
          <w:szCs w:val="22"/>
        </w:rPr>
        <w:t>APLINKOS APSAUGOS VADYBOS SISTEMOS STANDARTAI</w:t>
      </w:r>
    </w:p>
    <w:p w14:paraId="1E16154B" w14:textId="77777777" w:rsidR="00007B46" w:rsidRDefault="00007B46" w:rsidP="00007B46">
      <w:pPr>
        <w:pStyle w:val="ListParagraph"/>
        <w:suppressAutoHyphens/>
        <w:ind w:left="360"/>
        <w:jc w:val="center"/>
        <w:rPr>
          <w:rFonts w:ascii="Arial" w:hAnsi="Arial" w:cs="Arial"/>
          <w:sz w:val="22"/>
          <w:szCs w:val="22"/>
        </w:rPr>
      </w:pPr>
      <w:r w:rsidRPr="00DA7C27">
        <w:rPr>
          <w:rFonts w:ascii="Arial" w:hAnsi="Arial" w:cs="Arial"/>
          <w:sz w:val="22"/>
          <w:szCs w:val="22"/>
        </w:rPr>
        <w:tab/>
      </w:r>
    </w:p>
    <w:p w14:paraId="1C010D76" w14:textId="77777777" w:rsidR="00007B46" w:rsidRPr="00DA7C27" w:rsidRDefault="00007B46" w:rsidP="00007B46">
      <w:pPr>
        <w:pStyle w:val="ListParagraph"/>
        <w:suppressAutoHyphens/>
        <w:ind w:left="36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714"/>
        <w:gridCol w:w="4358"/>
      </w:tblGrid>
      <w:tr w:rsidR="00007B46" w:rsidRPr="00275E33" w14:paraId="2B4972AA" w14:textId="77777777" w:rsidTr="0097485C">
        <w:tc>
          <w:tcPr>
            <w:tcW w:w="704" w:type="dxa"/>
            <w:vAlign w:val="center"/>
          </w:tcPr>
          <w:p w14:paraId="6F6E3843" w14:textId="77777777" w:rsidR="00007B46" w:rsidRPr="00275E33" w:rsidRDefault="00007B46" w:rsidP="009748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E3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714" w:type="dxa"/>
            <w:vAlign w:val="center"/>
          </w:tcPr>
          <w:p w14:paraId="72715EB8" w14:textId="77777777" w:rsidR="00007B46" w:rsidRPr="00275E33" w:rsidRDefault="00007B46" w:rsidP="009748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E33">
              <w:rPr>
                <w:rFonts w:ascii="Arial" w:hAnsi="Arial" w:cs="Arial"/>
                <w:b/>
                <w:sz w:val="22"/>
                <w:szCs w:val="22"/>
              </w:rPr>
              <w:t xml:space="preserve">Reikalavimas </w:t>
            </w:r>
          </w:p>
        </w:tc>
        <w:tc>
          <w:tcPr>
            <w:tcW w:w="4358" w:type="dxa"/>
            <w:vAlign w:val="center"/>
          </w:tcPr>
          <w:p w14:paraId="024BA6C5" w14:textId="77777777" w:rsidR="00007B46" w:rsidRPr="00275E33" w:rsidRDefault="00007B46" w:rsidP="009748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E33">
              <w:rPr>
                <w:rFonts w:ascii="Arial" w:hAnsi="Arial" w:cs="Arial"/>
                <w:b/>
                <w:sz w:val="22"/>
                <w:szCs w:val="22"/>
              </w:rPr>
              <w:t>Patvirtinančių dokumentų sąrašas</w:t>
            </w:r>
          </w:p>
        </w:tc>
      </w:tr>
      <w:tr w:rsidR="00007B46" w:rsidRPr="00207E54" w14:paraId="6C52CC65" w14:textId="77777777" w:rsidTr="0097485C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8688" w14:textId="77777777" w:rsidR="00007B46" w:rsidRPr="00207E54" w:rsidRDefault="00007B46" w:rsidP="0097485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APLINKOS APSAUGOS VADYBOS SISTEMOS STANDARTAI</w:t>
            </w:r>
          </w:p>
        </w:tc>
      </w:tr>
      <w:tr w:rsidR="00007B46" w:rsidRPr="00B476A3" w14:paraId="1DE2F35F" w14:textId="77777777" w:rsidTr="0097485C">
        <w:tc>
          <w:tcPr>
            <w:tcW w:w="704" w:type="dxa"/>
          </w:tcPr>
          <w:p w14:paraId="3F783959" w14:textId="32591C77" w:rsidR="00007B46" w:rsidRPr="00B476A3" w:rsidRDefault="00B96BE3" w:rsidP="0097485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07B46" w:rsidRPr="00B476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14" w:type="dxa"/>
          </w:tcPr>
          <w:p w14:paraId="023CF283" w14:textId="65228587" w:rsidR="00007B46" w:rsidRPr="00B476A3" w:rsidRDefault="00007B46" w:rsidP="009748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476A3">
              <w:rPr>
                <w:rFonts w:ascii="Arial" w:hAnsi="Arial" w:cs="Arial"/>
                <w:bCs/>
                <w:sz w:val="22"/>
                <w:szCs w:val="22"/>
              </w:rPr>
              <w:t>Tiekėjas,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F028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vykdydamas statybos darbus</w:t>
            </w:r>
            <w:r w:rsidR="00DF028F" w:rsidRPr="00DF028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(žr. sutarties projekto 9.</w:t>
            </w:r>
            <w:r w:rsidR="00DD2A7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</w:t>
            </w:r>
            <w:r w:rsidR="00DF028F" w:rsidRPr="00DF028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p.)</w:t>
            </w:r>
            <w:r w:rsidRPr="00DF028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B476A3">
              <w:rPr>
                <w:rFonts w:ascii="Arial" w:hAnsi="Arial" w:cs="Arial"/>
                <w:bCs/>
                <w:sz w:val="22"/>
                <w:szCs w:val="22"/>
              </w:rPr>
              <w:t>taik</w:t>
            </w:r>
            <w:r w:rsidR="00196DB7">
              <w:rPr>
                <w:rFonts w:ascii="Arial" w:hAnsi="Arial" w:cs="Arial"/>
                <w:bCs/>
                <w:sz w:val="22"/>
                <w:szCs w:val="22"/>
              </w:rPr>
              <w:t>ys</w:t>
            </w:r>
            <w:r w:rsidRPr="00B476A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773043A2" w14:textId="77777777" w:rsidR="00007B46" w:rsidRPr="00B476A3" w:rsidRDefault="00007B46" w:rsidP="009748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476A3">
              <w:rPr>
                <w:rFonts w:ascii="Arial" w:hAnsi="Arial" w:cs="Arial"/>
                <w:bCs/>
                <w:sz w:val="22"/>
                <w:szCs w:val="22"/>
              </w:rPr>
              <w:t>-  2009 m. lapkričio 25 d. Europos Parlamento ir Tarybos reglamentu (EB) Nr. 1221/2009 pripažįstamos Europos Sąjungos aplinkos apsaugos vadybos ir audito sistemos (angl. Eco-Managment and Audit Scheme, EMAS)  arba pagal minėto reglamento 45 straipsnį pripažįstamos kitos aplinkos apsaugos vadybos sistemos reikalavimus, arba</w:t>
            </w:r>
          </w:p>
          <w:p w14:paraId="119F98F7" w14:textId="77777777" w:rsidR="00007B46" w:rsidRPr="00B476A3" w:rsidRDefault="00007B46" w:rsidP="009748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476A3">
              <w:rPr>
                <w:rFonts w:ascii="Arial" w:hAnsi="Arial" w:cs="Arial"/>
                <w:bCs/>
                <w:sz w:val="22"/>
                <w:szCs w:val="22"/>
              </w:rPr>
              <w:t>- standarto LST EN ISO 14001:2015 (arba lygiaverčio standarto) reikalavimus.</w:t>
            </w:r>
          </w:p>
          <w:p w14:paraId="32BBF08E" w14:textId="77777777" w:rsidR="00007B46" w:rsidRPr="00B476A3" w:rsidRDefault="00007B46" w:rsidP="009748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085398" w14:textId="504F2261" w:rsidR="00007B46" w:rsidRPr="00B476A3" w:rsidRDefault="00007B46" w:rsidP="0097485C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476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Jeigu pasiūlymą teikia jungtinės veiklos sutarties pagrindu veikianti ūkio subjektų grupė, tuomet šį reikalavimą turi atitikti kiekvienas </w:t>
            </w:r>
            <w:r w:rsidR="006607B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minėtos </w:t>
            </w:r>
            <w:r w:rsidRPr="00B476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ūkio subjektų grupės narys (-iai), pagal jų prisiimamus įsipareigojimus </w:t>
            </w:r>
            <w:r w:rsidR="000E302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statybos darbams</w:t>
            </w:r>
            <w:r w:rsidR="008C46B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, kuriems keliamas šis re</w:t>
            </w:r>
            <w:r w:rsidR="00926BF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</w:t>
            </w:r>
            <w:r w:rsidR="008C46B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kalavimas,</w:t>
            </w:r>
            <w:r w:rsidRPr="00B476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vykdyti.  Šio punkto reikalavimą turi atitikti visi partneriai kartu.</w:t>
            </w:r>
          </w:p>
          <w:p w14:paraId="2D7BF085" w14:textId="77777777" w:rsidR="00007B46" w:rsidRPr="00B476A3" w:rsidRDefault="00007B46" w:rsidP="0097485C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06C6F35D" w14:textId="0F479EF7" w:rsidR="00007B46" w:rsidRPr="00F74F61" w:rsidRDefault="00007B46" w:rsidP="009748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4F61">
              <w:rPr>
                <w:rFonts w:ascii="Arial" w:hAnsi="Arial" w:cs="Arial"/>
                <w:b/>
                <w:sz w:val="22"/>
                <w:szCs w:val="22"/>
              </w:rPr>
              <w:t>Pastaba:</w:t>
            </w:r>
            <w:r w:rsidRPr="00F74F61">
              <w:rPr>
                <w:rFonts w:ascii="Arial" w:hAnsi="Arial" w:cs="Arial"/>
                <w:bCs/>
                <w:sz w:val="22"/>
                <w:szCs w:val="22"/>
              </w:rPr>
              <w:t xml:space="preserve"> Jeigu Tiekėjas pats atitinka šį reikalavimą, tačiau pasitelkia </w:t>
            </w:r>
            <w:r w:rsidR="00A34A43" w:rsidRPr="00F74F61">
              <w:rPr>
                <w:rFonts w:ascii="Arial" w:hAnsi="Arial" w:cs="Arial"/>
                <w:bCs/>
                <w:sz w:val="22"/>
                <w:szCs w:val="22"/>
              </w:rPr>
              <w:t>subrangovus</w:t>
            </w:r>
            <w:r w:rsidRPr="00F74F61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A53533" w:rsidRPr="00F74F61">
              <w:rPr>
                <w:rFonts w:ascii="Arial" w:hAnsi="Arial" w:cs="Arial"/>
                <w:bCs/>
                <w:sz w:val="22"/>
                <w:szCs w:val="22"/>
              </w:rPr>
              <w:t xml:space="preserve">statybos </w:t>
            </w:r>
            <w:r w:rsidRPr="00F74F61">
              <w:rPr>
                <w:rFonts w:ascii="Arial" w:hAnsi="Arial" w:cs="Arial"/>
                <w:bCs/>
                <w:sz w:val="22"/>
                <w:szCs w:val="22"/>
              </w:rPr>
              <w:t xml:space="preserve">darbams, kuriems (-ioms) yra keliamas šis reikalavimas, tokiu atveju </w:t>
            </w:r>
            <w:r w:rsidR="005708A7" w:rsidRPr="00F74F61">
              <w:rPr>
                <w:rFonts w:ascii="Arial" w:hAnsi="Arial" w:cs="Arial"/>
                <w:bCs/>
                <w:sz w:val="22"/>
                <w:szCs w:val="22"/>
              </w:rPr>
              <w:t>subrangova</w:t>
            </w:r>
            <w:r w:rsidRPr="00F74F61">
              <w:rPr>
                <w:rFonts w:ascii="Arial" w:hAnsi="Arial" w:cs="Arial"/>
                <w:bCs/>
                <w:sz w:val="22"/>
                <w:szCs w:val="22"/>
              </w:rPr>
              <w:t xml:space="preserve">i </w:t>
            </w:r>
            <w:r w:rsidRPr="00F74F61">
              <w:rPr>
                <w:rFonts w:ascii="Arial" w:hAnsi="Arial" w:cs="Arial"/>
                <w:sz w:val="22"/>
                <w:szCs w:val="22"/>
              </w:rPr>
              <w:t xml:space="preserve"> sutarties vykdymo metu</w:t>
            </w:r>
            <w:r w:rsidRPr="00F74F61">
              <w:rPr>
                <w:rFonts w:ascii="Arial" w:hAnsi="Arial" w:cs="Arial"/>
                <w:bCs/>
                <w:sz w:val="22"/>
                <w:szCs w:val="22"/>
              </w:rPr>
              <w:t xml:space="preserve"> turi laikytis reikalaujamo aplinkos apsaugos vadybos standarto reikalavimų, atsižvelgiant į jų prisiimamus įsipareigojimus </w:t>
            </w:r>
            <w:r w:rsidR="00ED6F8B">
              <w:rPr>
                <w:rFonts w:ascii="Arial" w:hAnsi="Arial" w:cs="Arial"/>
                <w:bCs/>
                <w:sz w:val="22"/>
                <w:szCs w:val="22"/>
              </w:rPr>
              <w:t>statybos darbų, kuriems keliamas šis reikalavimas, vykdyme</w:t>
            </w:r>
            <w:r w:rsidRPr="00F74F6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0266C" w:rsidRPr="00F74F6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957C7" w:rsidRPr="00F74F61">
              <w:rPr>
                <w:rFonts w:ascii="Arial" w:hAnsi="Arial" w:cs="Arial"/>
                <w:bCs/>
                <w:sz w:val="22"/>
                <w:szCs w:val="22"/>
              </w:rPr>
              <w:t xml:space="preserve">Sutarties vykdymo metu perkančioji organizacija bet kuriuo momentu gali paprašyti </w:t>
            </w:r>
            <w:r w:rsidR="00FC7D5B" w:rsidRPr="00F74F61">
              <w:rPr>
                <w:rFonts w:ascii="Arial" w:hAnsi="Arial" w:cs="Arial"/>
                <w:bCs/>
                <w:sz w:val="22"/>
                <w:szCs w:val="22"/>
              </w:rPr>
              <w:t>rango</w:t>
            </w:r>
            <w:r w:rsidR="00E773E5" w:rsidRPr="00F74F61">
              <w:rPr>
                <w:rFonts w:ascii="Arial" w:hAnsi="Arial" w:cs="Arial"/>
                <w:bCs/>
                <w:sz w:val="22"/>
                <w:szCs w:val="22"/>
              </w:rPr>
              <w:t xml:space="preserve">vo pateikti įrodymus, kad subrangovas laikosi aplinkos apsaugos vadybos standarto reikalavimų, atsižvelgiant į </w:t>
            </w:r>
            <w:r w:rsidR="0017378C" w:rsidRPr="00F74F61">
              <w:rPr>
                <w:rFonts w:ascii="Arial" w:hAnsi="Arial" w:cs="Arial"/>
                <w:bCs/>
                <w:sz w:val="22"/>
                <w:szCs w:val="22"/>
              </w:rPr>
              <w:t>to subran</w:t>
            </w:r>
            <w:r w:rsidR="006601CC" w:rsidRPr="00F74F61">
              <w:rPr>
                <w:rFonts w:ascii="Arial" w:hAnsi="Arial" w:cs="Arial"/>
                <w:bCs/>
                <w:sz w:val="22"/>
                <w:szCs w:val="22"/>
              </w:rPr>
              <w:t>govo</w:t>
            </w:r>
            <w:r w:rsidR="00E773E5" w:rsidRPr="00F74F61">
              <w:rPr>
                <w:rFonts w:ascii="Arial" w:hAnsi="Arial" w:cs="Arial"/>
                <w:bCs/>
                <w:sz w:val="22"/>
                <w:szCs w:val="22"/>
              </w:rPr>
              <w:t xml:space="preserve"> prisiimamus įsipareigojimus </w:t>
            </w:r>
            <w:r w:rsidR="00DD5AD2" w:rsidRPr="00F74F61">
              <w:rPr>
                <w:rFonts w:ascii="Arial" w:hAnsi="Arial" w:cs="Arial"/>
                <w:bCs/>
                <w:sz w:val="22"/>
                <w:szCs w:val="22"/>
              </w:rPr>
              <w:t>statybos darbų, kuriems keliamas šis reikalavimas, vykdyme</w:t>
            </w:r>
            <w:r w:rsidR="00F74F61" w:rsidRPr="00F74F6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E54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C7F36">
              <w:rPr>
                <w:rFonts w:ascii="Arial" w:hAnsi="Arial" w:cs="Arial"/>
                <w:bCs/>
                <w:sz w:val="22"/>
                <w:szCs w:val="22"/>
              </w:rPr>
              <w:t>Tokiu atveju rangovas turi pateikti dokument</w:t>
            </w:r>
            <w:r w:rsidR="00F97144">
              <w:rPr>
                <w:rFonts w:ascii="Arial" w:hAnsi="Arial" w:cs="Arial"/>
                <w:bCs/>
                <w:sz w:val="22"/>
                <w:szCs w:val="22"/>
              </w:rPr>
              <w:t xml:space="preserve">ą (-us), nurodytą (-us) </w:t>
            </w:r>
            <w:r w:rsidR="00F97144" w:rsidRPr="00F323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Patvirtinančių dokumentų sąrašo</w:t>
            </w:r>
            <w:r w:rsidR="00F97144">
              <w:rPr>
                <w:rFonts w:ascii="Arial" w:hAnsi="Arial" w:cs="Arial"/>
                <w:bCs/>
                <w:sz w:val="22"/>
                <w:szCs w:val="22"/>
              </w:rPr>
              <w:t xml:space="preserve"> 2 punkte. </w:t>
            </w:r>
          </w:p>
          <w:p w14:paraId="1972F07C" w14:textId="77777777" w:rsidR="00007B46" w:rsidRPr="00B476A3" w:rsidRDefault="00007B46" w:rsidP="009748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320FA5" w14:textId="77777777" w:rsidR="00007B46" w:rsidRPr="00B476A3" w:rsidRDefault="00007B46" w:rsidP="009748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8F3277" w14:textId="36B0A90C" w:rsidR="00007B46" w:rsidRPr="00B476A3" w:rsidRDefault="00007B46" w:rsidP="0097485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358" w:type="dxa"/>
          </w:tcPr>
          <w:p w14:paraId="3C8FCD15" w14:textId="27F6CB32" w:rsidR="00007B46" w:rsidRPr="00B476A3" w:rsidRDefault="00B16075" w:rsidP="0097485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</w:t>
            </w:r>
            <w:r w:rsidR="00DE544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326AB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E54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7B46" w:rsidRPr="00B476A3">
              <w:rPr>
                <w:rFonts w:ascii="Arial" w:hAnsi="Arial" w:cs="Arial"/>
                <w:bCs/>
                <w:sz w:val="22"/>
                <w:szCs w:val="22"/>
              </w:rPr>
              <w:t>Nepriklausomos įstaigos išduotas sertifikatas, patvirtinantis, kad Tiekėjas, tiekėjų grupės partneris pagal prisiimamus įsipareigojimus, taiko:</w:t>
            </w:r>
          </w:p>
          <w:p w14:paraId="73BB6DE6" w14:textId="77777777" w:rsidR="00007B46" w:rsidRPr="00B476A3" w:rsidRDefault="00007B46" w:rsidP="009748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476A3">
              <w:rPr>
                <w:rFonts w:ascii="Arial" w:hAnsi="Arial" w:cs="Arial"/>
                <w:bCs/>
                <w:sz w:val="22"/>
                <w:szCs w:val="22"/>
              </w:rPr>
              <w:t>- 2009 m. lapkričio 25 d. Europos Parlamento ir Tarybos reglamentu (EB) Nr. 1221/2009 pripažįstamos Europos Sąjungos aplinkos apsaugos vadybos ir audito sistemos  (EMAS) arba kitos aplinkos apsaugos vadybos sistemos, pripažįstamos pagal minėto reglamento 45 straipsnį, reikalavimus, arba</w:t>
            </w:r>
          </w:p>
          <w:p w14:paraId="7874177F" w14:textId="77777777" w:rsidR="00007B46" w:rsidRPr="00B476A3" w:rsidRDefault="00007B46" w:rsidP="009748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476A3">
              <w:rPr>
                <w:rFonts w:ascii="Arial" w:hAnsi="Arial" w:cs="Arial"/>
                <w:bCs/>
                <w:sz w:val="22"/>
                <w:szCs w:val="22"/>
              </w:rPr>
              <w:t>- standarto LST EN ISO 14001:2015 (arba lygiaverčio standarto) reikalavimus.</w:t>
            </w:r>
          </w:p>
          <w:p w14:paraId="28D7094D" w14:textId="5D546776" w:rsidR="00007B46" w:rsidRPr="00B476A3" w:rsidRDefault="00B16075" w:rsidP="0097485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007B46" w:rsidRPr="00B476A3">
              <w:rPr>
                <w:rFonts w:ascii="Arial" w:hAnsi="Arial" w:cs="Arial"/>
                <w:bCs/>
                <w:sz w:val="22"/>
                <w:szCs w:val="22"/>
              </w:rPr>
              <w:t xml:space="preserve">Perkančioji organizacija pripažįsta ir kitose Europos Sąjungos valstybėse </w:t>
            </w:r>
            <w:r w:rsidR="00B96BE3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007B46" w:rsidRPr="00B476A3">
              <w:rPr>
                <w:rFonts w:ascii="Arial" w:hAnsi="Arial" w:cs="Arial"/>
                <w:bCs/>
                <w:sz w:val="22"/>
                <w:szCs w:val="22"/>
              </w:rPr>
              <w:t xml:space="preserve"> narėse įsisteigusių nepriklausomų įstaigų išduotus lygiaverčius sertifikatus.</w:t>
            </w:r>
          </w:p>
          <w:p w14:paraId="651C4B0B" w14:textId="1BF55D59" w:rsidR="00FE7E77" w:rsidRPr="00FE7E77" w:rsidRDefault="00B16075" w:rsidP="00FE7E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FE7E77" w:rsidRPr="00FE7E77">
              <w:rPr>
                <w:rFonts w:ascii="Arial" w:hAnsi="Arial" w:cs="Arial"/>
                <w:bCs/>
                <w:sz w:val="22"/>
                <w:szCs w:val="22"/>
              </w:rPr>
              <w:t>Perkančioji organizacija priima ir kitus tiekėjo lygiaverčių aplinkos apsaugos vadybos   užtikrinimo priemonių įrodymus,  kurie patvirtintų, kad: </w:t>
            </w:r>
          </w:p>
          <w:p w14:paraId="0977D5C4" w14:textId="77777777" w:rsidR="00FE7E77" w:rsidRPr="00FE7E77" w:rsidRDefault="00FE7E77" w:rsidP="00FE7E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E7E77">
              <w:rPr>
                <w:rFonts w:ascii="Arial" w:hAnsi="Arial" w:cs="Arial"/>
                <w:bCs/>
                <w:sz w:val="22"/>
                <w:szCs w:val="22"/>
              </w:rPr>
              <w:t>- jo taikomos aplinkos apsaugos vadybos užtikrinimo priemonės atitinka  pagal 2009 m. lapkričio 25 d. Europos Parlamento ir Tarybos reglamentą (EB) Nr. 1221/2009 pripažįstamų aplinkos apsaugos vadybos ir audito sistemų reikalavimus, arba </w:t>
            </w:r>
          </w:p>
          <w:p w14:paraId="555081D7" w14:textId="77777777" w:rsidR="00FE7E77" w:rsidRPr="00FE7E77" w:rsidRDefault="00FE7E77" w:rsidP="00FE7E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E7E77">
              <w:rPr>
                <w:rFonts w:ascii="Arial" w:hAnsi="Arial" w:cs="Arial"/>
                <w:bCs/>
                <w:sz w:val="22"/>
                <w:szCs w:val="22"/>
              </w:rPr>
              <w:t>- jo taikomos aplinkos apsaugos vadybos užtikrinimo priemonės atitinka  standarto LST EN ISO 14001:2015 (arba lygiaverčio standarto) reikalavimus. </w:t>
            </w:r>
          </w:p>
          <w:p w14:paraId="1552B43B" w14:textId="77777777" w:rsidR="00007B46" w:rsidRDefault="00007B46" w:rsidP="00FE7E77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40DA9DC2" w14:textId="7B22D2CF" w:rsidR="00DE5449" w:rsidRPr="00DE5449" w:rsidRDefault="006E22BE" w:rsidP="00FE7E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DE5449" w:rsidRPr="00DE5449"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 w:rsidR="00DE54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6AB" w:rsidRPr="00FF4CD7">
              <w:rPr>
                <w:rFonts w:ascii="Arial" w:hAnsi="Arial" w:cs="Arial"/>
                <w:b/>
                <w:sz w:val="22"/>
                <w:szCs w:val="22"/>
              </w:rPr>
              <w:t>Pastaboje</w:t>
            </w:r>
            <w:r w:rsidR="009326AB">
              <w:rPr>
                <w:rFonts w:ascii="Arial" w:hAnsi="Arial" w:cs="Arial"/>
                <w:bCs/>
                <w:sz w:val="22"/>
                <w:szCs w:val="22"/>
              </w:rPr>
              <w:t xml:space="preserve"> nurodyt</w:t>
            </w:r>
            <w:r w:rsidR="00FF4CD7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9326AB">
              <w:rPr>
                <w:rFonts w:ascii="Arial" w:hAnsi="Arial" w:cs="Arial"/>
                <w:bCs/>
                <w:sz w:val="22"/>
                <w:szCs w:val="22"/>
              </w:rPr>
              <w:t xml:space="preserve"> atveju </w:t>
            </w:r>
            <w:r w:rsidR="00665598">
              <w:rPr>
                <w:rFonts w:ascii="Arial" w:hAnsi="Arial" w:cs="Arial"/>
                <w:bCs/>
                <w:sz w:val="22"/>
                <w:szCs w:val="22"/>
              </w:rPr>
              <w:t>sutarties vykdymo metu</w:t>
            </w:r>
            <w:r w:rsidR="00A24531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F443E8">
              <w:rPr>
                <w:rFonts w:ascii="Arial" w:hAnsi="Arial" w:cs="Arial"/>
                <w:bCs/>
                <w:sz w:val="22"/>
                <w:szCs w:val="22"/>
              </w:rPr>
              <w:t>perkančiajai organizacijai pareikalavus)</w:t>
            </w:r>
            <w:r w:rsidR="0066559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6AB">
              <w:rPr>
                <w:rFonts w:ascii="Arial" w:hAnsi="Arial" w:cs="Arial"/>
                <w:bCs/>
                <w:sz w:val="22"/>
                <w:szCs w:val="22"/>
              </w:rPr>
              <w:t>turi būti pateikiama</w:t>
            </w:r>
            <w:r w:rsidR="002B4C1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264BFE">
              <w:rPr>
                <w:rFonts w:ascii="Arial" w:hAnsi="Arial" w:cs="Arial"/>
                <w:bCs/>
                <w:sz w:val="22"/>
                <w:szCs w:val="22"/>
              </w:rPr>
              <w:t>rangovo</w:t>
            </w:r>
            <w:r w:rsidR="00264BFE" w:rsidRPr="00264BF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vidaus dokumentas (pvz., </w:t>
            </w:r>
            <w:r w:rsidR="0035670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rangovo</w:t>
            </w:r>
            <w:r w:rsidR="00264BFE" w:rsidRPr="00264BF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patvirtinta aplinkos apsaugos politika ar kiti dokumentai) arba su sub</w:t>
            </w:r>
            <w:r w:rsidR="002E452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rangovu</w:t>
            </w:r>
            <w:r w:rsidR="00264BFE" w:rsidRPr="00264BF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pasirašytas susitarimas, arba kitas dokumentas, kuriame yra aprašyta, kad sub</w:t>
            </w:r>
            <w:r w:rsidR="002E452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rangovas</w:t>
            </w:r>
            <w:r w:rsidR="00264BFE" w:rsidRPr="00264BF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turi laikytis tiekėjo aplinkos apsaugos vadybos standarto tiek kiek jis taikomas atsižvelgiant į sub</w:t>
            </w:r>
            <w:r w:rsidR="002E452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rangovo</w:t>
            </w:r>
            <w:r w:rsidR="00264BFE" w:rsidRPr="00264BF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prisiimamus įsipareigojimus </w:t>
            </w:r>
            <w:r w:rsidR="002E452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statybos darbams</w:t>
            </w:r>
            <w:r w:rsidR="0009326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, kuriems keliamas šis reikalavimas,</w:t>
            </w:r>
            <w:r w:rsidR="00264BFE" w:rsidRPr="00264BF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vykdyti bei nustatyta </w:t>
            </w:r>
            <w:r w:rsidR="002E452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rangovo</w:t>
            </w:r>
            <w:r w:rsidR="00264BFE" w:rsidRPr="00264BF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atsakomybė prižiūrėti, kad sub</w:t>
            </w:r>
            <w:r w:rsidR="002E452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rangovas</w:t>
            </w:r>
            <w:r w:rsidR="00264BFE" w:rsidRPr="00264BF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264BFE" w:rsidRPr="00264BF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lastRenderedPageBreak/>
              <w:t>vadovautųsi tiekėjo turimu aplinkos apsaugos vadybos standartu.</w:t>
            </w:r>
            <w:r w:rsidR="00264BFE" w:rsidRPr="00264BFE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</w:tbl>
    <w:p w14:paraId="4123294D" w14:textId="77777777" w:rsidR="00007B46" w:rsidRPr="00B476A3" w:rsidRDefault="00007B46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7CF44FDA" w14:textId="77777777" w:rsidR="00007B46" w:rsidRDefault="00007B46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43A85914" w14:textId="77777777" w:rsidR="00007B46" w:rsidRDefault="00007B46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2C6E29E9" w14:textId="77777777" w:rsidR="00007B46" w:rsidRDefault="00007B46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194A9ABA" w14:textId="77777777" w:rsidR="00007B46" w:rsidRDefault="00007B46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132B88F5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7B72BE32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60FCE323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587DFFD7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70290CD6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7C243A8E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0ABCE883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40F4FC1D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609695C3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656B8AFA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71FA5F6A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74DB6995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488DAB12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14:paraId="64BDFA7B" w14:textId="77777777" w:rsidR="001A782A" w:rsidRDefault="001A782A" w:rsidP="00007B46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sectPr w:rsidR="001A782A" w:rsidSect="00007B46">
      <w:headerReference w:type="default" r:id="rId10"/>
      <w:headerReference w:type="first" r:id="rId11"/>
      <w:pgSz w:w="11906" w:h="16838" w:code="9"/>
      <w:pgMar w:top="1134" w:right="567" w:bottom="1134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F40D" w14:textId="77777777" w:rsidR="007612B1" w:rsidRDefault="007612B1">
      <w:r>
        <w:separator/>
      </w:r>
    </w:p>
  </w:endnote>
  <w:endnote w:type="continuationSeparator" w:id="0">
    <w:p w14:paraId="5A890CE1" w14:textId="77777777" w:rsidR="007612B1" w:rsidRDefault="0076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6426" w14:textId="77777777" w:rsidR="007612B1" w:rsidRDefault="007612B1">
      <w:r>
        <w:separator/>
      </w:r>
    </w:p>
  </w:footnote>
  <w:footnote w:type="continuationSeparator" w:id="0">
    <w:p w14:paraId="63662D30" w14:textId="77777777" w:rsidR="007612B1" w:rsidRDefault="0076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28080780"/>
      <w:docPartObj>
        <w:docPartGallery w:val="Page Numbers (Top of Page)"/>
        <w:docPartUnique/>
      </w:docPartObj>
    </w:sdtPr>
    <w:sdtContent>
      <w:p w14:paraId="744676ED" w14:textId="77777777" w:rsidR="00527F87" w:rsidRPr="00F73FF3" w:rsidRDefault="00527F87">
        <w:pPr>
          <w:pStyle w:val="Header"/>
          <w:jc w:val="center"/>
          <w:rPr>
            <w:rFonts w:ascii="Arial" w:hAnsi="Arial" w:cs="Arial"/>
            <w:sz w:val="18"/>
            <w:szCs w:val="18"/>
          </w:rPr>
        </w:pPr>
        <w:r w:rsidRPr="00F73FF3">
          <w:rPr>
            <w:rFonts w:ascii="Arial" w:hAnsi="Arial" w:cs="Arial"/>
            <w:sz w:val="18"/>
            <w:szCs w:val="18"/>
          </w:rPr>
          <w:fldChar w:fldCharType="begin"/>
        </w:r>
        <w:r w:rsidRPr="00F73FF3">
          <w:rPr>
            <w:rFonts w:ascii="Arial" w:hAnsi="Arial" w:cs="Arial"/>
            <w:sz w:val="18"/>
            <w:szCs w:val="18"/>
          </w:rPr>
          <w:instrText>PAGE   \* MERGEFORMAT</w:instrText>
        </w:r>
        <w:r w:rsidRPr="00F73FF3">
          <w:rPr>
            <w:rFonts w:ascii="Arial" w:hAnsi="Arial" w:cs="Arial"/>
            <w:sz w:val="18"/>
            <w:szCs w:val="18"/>
          </w:rPr>
          <w:fldChar w:fldCharType="separate"/>
        </w:r>
        <w:r w:rsidRPr="00F73FF3">
          <w:rPr>
            <w:rFonts w:ascii="Arial" w:hAnsi="Arial" w:cs="Arial"/>
            <w:noProof/>
            <w:sz w:val="18"/>
            <w:szCs w:val="18"/>
          </w:rPr>
          <w:t>45</w:t>
        </w:r>
        <w:r w:rsidRPr="00F73FF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E4D46BA" w14:textId="77777777" w:rsidR="00527F87" w:rsidRDefault="00527F87" w:rsidP="0060569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3C70" w14:textId="77777777" w:rsidR="00527F87" w:rsidRDefault="00527F87" w:rsidP="00C43D47">
    <w:pPr>
      <w:pStyle w:val="Header"/>
    </w:pPr>
  </w:p>
  <w:p w14:paraId="24866E61" w14:textId="77777777" w:rsidR="00527F87" w:rsidRDefault="00527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612E5"/>
    <w:multiLevelType w:val="hybridMultilevel"/>
    <w:tmpl w:val="93E64CE4"/>
    <w:lvl w:ilvl="0" w:tplc="D2E4199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B80"/>
    <w:multiLevelType w:val="hybridMultilevel"/>
    <w:tmpl w:val="05D653D4"/>
    <w:lvl w:ilvl="0" w:tplc="462EB2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66609">
    <w:abstractNumId w:val="1"/>
  </w:num>
  <w:num w:numId="2" w16cid:durableId="99302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46"/>
    <w:rsid w:val="00007B46"/>
    <w:rsid w:val="00060141"/>
    <w:rsid w:val="0009326C"/>
    <w:rsid w:val="000C09F9"/>
    <w:rsid w:val="000D64EF"/>
    <w:rsid w:val="000E3021"/>
    <w:rsid w:val="00136EA0"/>
    <w:rsid w:val="0017378C"/>
    <w:rsid w:val="00196DB7"/>
    <w:rsid w:val="001A782A"/>
    <w:rsid w:val="001B522C"/>
    <w:rsid w:val="001D15BD"/>
    <w:rsid w:val="002304D1"/>
    <w:rsid w:val="00264BFE"/>
    <w:rsid w:val="002A1545"/>
    <w:rsid w:val="002B1F17"/>
    <w:rsid w:val="002B4C19"/>
    <w:rsid w:val="002D1C0A"/>
    <w:rsid w:val="002E4526"/>
    <w:rsid w:val="002F0596"/>
    <w:rsid w:val="00356709"/>
    <w:rsid w:val="0037245B"/>
    <w:rsid w:val="003A28D6"/>
    <w:rsid w:val="003C0650"/>
    <w:rsid w:val="0040266C"/>
    <w:rsid w:val="00447495"/>
    <w:rsid w:val="0044766E"/>
    <w:rsid w:val="00496391"/>
    <w:rsid w:val="004D34FD"/>
    <w:rsid w:val="004F1E59"/>
    <w:rsid w:val="00514DC8"/>
    <w:rsid w:val="00527F87"/>
    <w:rsid w:val="005708A7"/>
    <w:rsid w:val="005A0B97"/>
    <w:rsid w:val="00635C7F"/>
    <w:rsid w:val="006601CC"/>
    <w:rsid w:val="006607BD"/>
    <w:rsid w:val="00665598"/>
    <w:rsid w:val="006E22BE"/>
    <w:rsid w:val="006E541E"/>
    <w:rsid w:val="0071484F"/>
    <w:rsid w:val="007612B1"/>
    <w:rsid w:val="008055D3"/>
    <w:rsid w:val="008C46B9"/>
    <w:rsid w:val="008C634F"/>
    <w:rsid w:val="00926BF7"/>
    <w:rsid w:val="009326AB"/>
    <w:rsid w:val="0096549F"/>
    <w:rsid w:val="00A12D0A"/>
    <w:rsid w:val="00A13E1C"/>
    <w:rsid w:val="00A232D5"/>
    <w:rsid w:val="00A24531"/>
    <w:rsid w:val="00A34A43"/>
    <w:rsid w:val="00A41EEB"/>
    <w:rsid w:val="00A53533"/>
    <w:rsid w:val="00AA21AD"/>
    <w:rsid w:val="00AC1A66"/>
    <w:rsid w:val="00AC4A1F"/>
    <w:rsid w:val="00AE7CE6"/>
    <w:rsid w:val="00B04C4C"/>
    <w:rsid w:val="00B16075"/>
    <w:rsid w:val="00B168BF"/>
    <w:rsid w:val="00B17C35"/>
    <w:rsid w:val="00B27717"/>
    <w:rsid w:val="00B47840"/>
    <w:rsid w:val="00B965AA"/>
    <w:rsid w:val="00B96BE3"/>
    <w:rsid w:val="00BD0B52"/>
    <w:rsid w:val="00C01813"/>
    <w:rsid w:val="00C2220A"/>
    <w:rsid w:val="00D10E28"/>
    <w:rsid w:val="00D7337F"/>
    <w:rsid w:val="00DD2A7C"/>
    <w:rsid w:val="00DD5AD2"/>
    <w:rsid w:val="00DE00B3"/>
    <w:rsid w:val="00DE5449"/>
    <w:rsid w:val="00DF028F"/>
    <w:rsid w:val="00DF0733"/>
    <w:rsid w:val="00E10375"/>
    <w:rsid w:val="00E773E5"/>
    <w:rsid w:val="00E824C9"/>
    <w:rsid w:val="00E957C7"/>
    <w:rsid w:val="00EB5F62"/>
    <w:rsid w:val="00EC7F36"/>
    <w:rsid w:val="00ED6F8B"/>
    <w:rsid w:val="00EE38F6"/>
    <w:rsid w:val="00F23C3D"/>
    <w:rsid w:val="00F26A9E"/>
    <w:rsid w:val="00F3157F"/>
    <w:rsid w:val="00F323E7"/>
    <w:rsid w:val="00F443E8"/>
    <w:rsid w:val="00F74F61"/>
    <w:rsid w:val="00F97144"/>
    <w:rsid w:val="00FC7D5B"/>
    <w:rsid w:val="00FE7E77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F1EE"/>
  <w15:chartTrackingRefBased/>
  <w15:docId w15:val="{74FFE632-3EE4-4074-8770-00245C7A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B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07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B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B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B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B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0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B4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Normal"/>
    <w:link w:val="ListParagraphChar"/>
    <w:uiPriority w:val="99"/>
    <w:qFormat/>
    <w:rsid w:val="00007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B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7B46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7B4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rsid w:val="00007B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99"/>
    <w:qFormat/>
    <w:rsid w:val="00007B46"/>
  </w:style>
  <w:style w:type="character" w:styleId="CommentReference">
    <w:name w:val="annotation reference"/>
    <w:basedOn w:val="DefaultParagraphFont"/>
    <w:uiPriority w:val="99"/>
    <w:semiHidden/>
    <w:unhideWhenUsed/>
    <w:rsid w:val="00007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B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B4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007B46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markedcontent">
    <w:name w:val="markedcontent"/>
    <w:basedOn w:val="DefaultParagraphFont"/>
    <w:rsid w:val="001A782A"/>
  </w:style>
  <w:style w:type="paragraph" w:styleId="Footer">
    <w:name w:val="footer"/>
    <w:basedOn w:val="Normal"/>
    <w:link w:val="FooterChar"/>
    <w:uiPriority w:val="99"/>
    <w:unhideWhenUsed/>
    <w:rsid w:val="00A232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2D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3FAE4-759F-4B66-AC13-7B84622C5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65950-4824-4740-8A7A-318B1A372E6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1C184C79-8ED5-4896-A692-0CFC82F4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Antanas Narbutas</cp:lastModifiedBy>
  <cp:revision>3</cp:revision>
  <dcterms:created xsi:type="dcterms:W3CDTF">2026-02-20T10:01:00Z</dcterms:created>
  <dcterms:modified xsi:type="dcterms:W3CDTF">2026-02-20T10:02:00Z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