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6F7" w:rsidRPr="0067067F" w:rsidRDefault="000C26F7" w:rsidP="000C26F7">
      <w:pPr>
        <w:jc w:val="center"/>
        <w:rPr>
          <w:b/>
          <w:bCs/>
        </w:rPr>
      </w:pPr>
      <w:r w:rsidRPr="0067067F">
        <w:rPr>
          <w:b/>
          <w:bCs/>
        </w:rPr>
        <w:t xml:space="preserve">VIEŠOJO PIRKIMO–PARDAVIMO SUTARTIS </w:t>
      </w:r>
      <w:r w:rsidR="00DE3FDE" w:rsidRPr="00A16EF8">
        <w:rPr>
          <w:b/>
        </w:rPr>
        <w:t>Nr. VPK-AK/2015/</w:t>
      </w:r>
      <w:r w:rsidR="00824EFB">
        <w:rPr>
          <w:b/>
        </w:rPr>
        <w:t>8</w:t>
      </w:r>
    </w:p>
    <w:p w:rsidR="000C26F7" w:rsidRPr="0067067F" w:rsidRDefault="000C26F7" w:rsidP="000C26F7">
      <w:pPr>
        <w:jc w:val="center"/>
        <w:rPr>
          <w:b/>
          <w:bCs/>
        </w:rPr>
      </w:pPr>
    </w:p>
    <w:p w:rsidR="000C26F7" w:rsidRPr="0067067F" w:rsidRDefault="004B6977" w:rsidP="000C26F7">
      <w:pPr>
        <w:jc w:val="center"/>
        <w:rPr>
          <w:b/>
          <w:bCs/>
          <w:u w:val="single"/>
        </w:rPr>
      </w:pPr>
      <w:r>
        <w:rPr>
          <w:b/>
          <w:bCs/>
        </w:rPr>
        <w:t>2015-03-18</w:t>
      </w:r>
    </w:p>
    <w:p w:rsidR="000C26F7" w:rsidRPr="0067067F" w:rsidRDefault="000C26F7" w:rsidP="000C26F7">
      <w:pPr>
        <w:jc w:val="both"/>
        <w:rPr>
          <w:b/>
          <w:bCs/>
        </w:rPr>
      </w:pPr>
    </w:p>
    <w:p w:rsidR="000C26F7" w:rsidRPr="0067067F" w:rsidRDefault="000C26F7" w:rsidP="002D754B">
      <w:pPr>
        <w:pStyle w:val="Antrat1"/>
        <w:ind w:firstLine="567"/>
        <w:jc w:val="both"/>
        <w:rPr>
          <w:rFonts w:ascii="Times New Roman" w:hAnsi="Times New Roman"/>
          <w:b/>
          <w:bCs/>
          <w:spacing w:val="5"/>
          <w:sz w:val="24"/>
          <w:szCs w:val="24"/>
        </w:rPr>
      </w:pPr>
      <w:r w:rsidRPr="0067067F">
        <w:rPr>
          <w:rFonts w:ascii="Times New Roman" w:hAnsi="Times New Roman"/>
          <w:sz w:val="24"/>
          <w:szCs w:val="24"/>
        </w:rPr>
        <w:t xml:space="preserve">Valstybinis mokslinių tyrimų institutas </w:t>
      </w:r>
      <w:proofErr w:type="spellStart"/>
      <w:r w:rsidRPr="0067067F">
        <w:rPr>
          <w:rFonts w:ascii="Times New Roman" w:hAnsi="Times New Roman"/>
          <w:sz w:val="24"/>
          <w:szCs w:val="24"/>
        </w:rPr>
        <w:t>Inovatyvios</w:t>
      </w:r>
      <w:proofErr w:type="spellEnd"/>
      <w:r w:rsidRPr="0067067F">
        <w:rPr>
          <w:rFonts w:ascii="Times New Roman" w:hAnsi="Times New Roman"/>
          <w:sz w:val="24"/>
          <w:szCs w:val="24"/>
        </w:rPr>
        <w:t xml:space="preserve"> medicinos centras, juridinio asmens kodas 302877556</w:t>
      </w:r>
      <w:r w:rsidRPr="0067067F">
        <w:rPr>
          <w:rFonts w:ascii="Times New Roman" w:hAnsi="Times New Roman"/>
          <w:spacing w:val="8"/>
          <w:sz w:val="24"/>
          <w:szCs w:val="24"/>
        </w:rPr>
        <w:t xml:space="preserve">, PVM kodas LT100007301614, kurio  registruota buveinė yra </w:t>
      </w:r>
      <w:r w:rsidRPr="0067067F">
        <w:rPr>
          <w:rFonts w:ascii="Times New Roman" w:hAnsi="Times New Roman"/>
          <w:sz w:val="24"/>
          <w:szCs w:val="24"/>
        </w:rPr>
        <w:t>Žygimantų g. 9, LT-01102 Vilnius</w:t>
      </w:r>
      <w:r w:rsidRPr="0067067F">
        <w:rPr>
          <w:rFonts w:ascii="Times New Roman" w:hAnsi="Times New Roman"/>
          <w:spacing w:val="8"/>
          <w:sz w:val="24"/>
          <w:szCs w:val="24"/>
        </w:rPr>
        <w:t xml:space="preserve">, </w:t>
      </w:r>
      <w:r w:rsidRPr="0067067F">
        <w:rPr>
          <w:rFonts w:ascii="Times New Roman" w:hAnsi="Times New Roman"/>
          <w:spacing w:val="7"/>
          <w:sz w:val="24"/>
          <w:szCs w:val="24"/>
        </w:rPr>
        <w:t xml:space="preserve">duomenys apie įstaigą kaupiami ir saugomi Lietuvos Respublikos juridinių asmenų registre, </w:t>
      </w:r>
      <w:r w:rsidRPr="0067067F">
        <w:rPr>
          <w:rFonts w:ascii="Times New Roman" w:hAnsi="Times New Roman"/>
          <w:spacing w:val="4"/>
          <w:sz w:val="24"/>
          <w:szCs w:val="24"/>
        </w:rPr>
        <w:t xml:space="preserve">atstovaujama </w:t>
      </w:r>
      <w:r w:rsidRPr="0067067F">
        <w:rPr>
          <w:rFonts w:ascii="Times New Roman" w:hAnsi="Times New Roman"/>
          <w:sz w:val="24"/>
          <w:szCs w:val="24"/>
        </w:rPr>
        <w:t xml:space="preserve">Valstybinio mokslinių tyrimų instituto </w:t>
      </w:r>
      <w:proofErr w:type="spellStart"/>
      <w:r w:rsidRPr="0067067F">
        <w:rPr>
          <w:rFonts w:ascii="Times New Roman" w:hAnsi="Times New Roman"/>
          <w:sz w:val="24"/>
          <w:szCs w:val="24"/>
        </w:rPr>
        <w:t>Inovatyvios</w:t>
      </w:r>
      <w:proofErr w:type="spellEnd"/>
      <w:r w:rsidRPr="0067067F">
        <w:rPr>
          <w:rFonts w:ascii="Times New Roman" w:hAnsi="Times New Roman"/>
          <w:sz w:val="24"/>
          <w:szCs w:val="24"/>
        </w:rPr>
        <w:t xml:space="preserve"> medicinos centro direktoriaus prof., habil. dr. Algirdo </w:t>
      </w:r>
      <w:proofErr w:type="spellStart"/>
      <w:r w:rsidRPr="0067067F">
        <w:rPr>
          <w:rFonts w:ascii="Times New Roman" w:hAnsi="Times New Roman"/>
          <w:sz w:val="24"/>
          <w:szCs w:val="24"/>
        </w:rPr>
        <w:t>Venalio</w:t>
      </w:r>
      <w:proofErr w:type="spellEnd"/>
      <w:r w:rsidRPr="0067067F">
        <w:rPr>
          <w:rFonts w:ascii="Times New Roman" w:hAnsi="Times New Roman"/>
          <w:spacing w:val="4"/>
          <w:sz w:val="24"/>
          <w:szCs w:val="24"/>
        </w:rPr>
        <w:t>, veikiančio pagal įstaigos įstatus ( toliau –</w:t>
      </w:r>
      <w:r w:rsidRPr="0067067F">
        <w:rPr>
          <w:rFonts w:ascii="Times New Roman" w:hAnsi="Times New Roman"/>
          <w:spacing w:val="5"/>
          <w:sz w:val="24"/>
          <w:szCs w:val="24"/>
        </w:rPr>
        <w:t xml:space="preserve"> </w:t>
      </w:r>
      <w:r w:rsidR="002D754B">
        <w:rPr>
          <w:rFonts w:ascii="Times New Roman" w:hAnsi="Times New Roman"/>
          <w:b/>
          <w:bCs/>
          <w:spacing w:val="5"/>
          <w:sz w:val="24"/>
          <w:szCs w:val="24"/>
        </w:rPr>
        <w:t>Pirkėjas)</w:t>
      </w:r>
      <w:r w:rsidR="002D754B" w:rsidRPr="002D754B">
        <w:rPr>
          <w:rFonts w:ascii="Times New Roman" w:hAnsi="Times New Roman"/>
          <w:bCs/>
          <w:spacing w:val="5"/>
          <w:sz w:val="24"/>
          <w:szCs w:val="24"/>
        </w:rPr>
        <w:t>,</w:t>
      </w:r>
    </w:p>
    <w:p w:rsidR="002D754B" w:rsidRDefault="002D754B" w:rsidP="000C26F7">
      <w:pPr>
        <w:ind w:firstLine="540"/>
        <w:jc w:val="both"/>
      </w:pPr>
      <w:r>
        <w:t>i</w:t>
      </w:r>
      <w:r w:rsidR="000C26F7" w:rsidRPr="004B6977">
        <w:t>r</w:t>
      </w:r>
      <w:r w:rsidR="001E43ED">
        <w:t xml:space="preserve"> </w:t>
      </w:r>
      <w:r>
        <w:t xml:space="preserve">2015-02-09d. jungtinės veiklos sutarties Nr. 268 dalyviai: </w:t>
      </w:r>
    </w:p>
    <w:p w:rsidR="002D754B" w:rsidRDefault="002D754B" w:rsidP="000C26F7">
      <w:pPr>
        <w:ind w:firstLine="540"/>
        <w:jc w:val="both"/>
      </w:pPr>
      <w:r>
        <w:t xml:space="preserve">1. </w:t>
      </w:r>
      <w:r w:rsidR="004B6977" w:rsidRPr="004B6977">
        <w:rPr>
          <w:bCs/>
        </w:rPr>
        <w:t>UAB „</w:t>
      </w:r>
      <w:proofErr w:type="spellStart"/>
      <w:r w:rsidR="00F556D5">
        <w:rPr>
          <w:bCs/>
        </w:rPr>
        <w:t>Softneta</w:t>
      </w:r>
      <w:proofErr w:type="spellEnd"/>
      <w:r w:rsidR="004B6977" w:rsidRPr="004B6977">
        <w:rPr>
          <w:bCs/>
        </w:rPr>
        <w:t>“</w:t>
      </w:r>
      <w:r w:rsidR="004B6977">
        <w:t xml:space="preserve"> juridinio asmens kodas </w:t>
      </w:r>
      <w:r w:rsidR="00F556D5">
        <w:t>300664890</w:t>
      </w:r>
      <w:r w:rsidR="000C26F7" w:rsidRPr="0067067F">
        <w:t xml:space="preserve">, kurio registruota buveinė yra </w:t>
      </w:r>
      <w:r w:rsidR="00F556D5">
        <w:t>Varnių 1</w:t>
      </w:r>
      <w:r w:rsidR="004B6977">
        <w:t>,</w:t>
      </w:r>
      <w:r w:rsidR="00F556D5">
        <w:t xml:space="preserve"> LT-48310, Kaunas</w:t>
      </w:r>
      <w:r w:rsidR="004B6977">
        <w:t>,</w:t>
      </w:r>
      <w:r w:rsidR="000C26F7" w:rsidRPr="0067067F">
        <w:t xml:space="preserve"> </w:t>
      </w:r>
      <w:r w:rsidRPr="0067067F">
        <w:t xml:space="preserve">atstovaujama </w:t>
      </w:r>
      <w:r>
        <w:t>bendrovės direktoriaus Vytauto Baublio;</w:t>
      </w:r>
    </w:p>
    <w:p w:rsidR="002D754B" w:rsidRDefault="002D754B" w:rsidP="002D754B">
      <w:pPr>
        <w:ind w:firstLine="540"/>
        <w:jc w:val="both"/>
      </w:pPr>
      <w:r>
        <w:t xml:space="preserve">2. </w:t>
      </w:r>
      <w:r w:rsidRPr="004B6977">
        <w:rPr>
          <w:bCs/>
        </w:rPr>
        <w:t>UAB „</w:t>
      </w:r>
      <w:r>
        <w:rPr>
          <w:bCs/>
        </w:rPr>
        <w:t>BULL Baltija</w:t>
      </w:r>
      <w:r w:rsidRPr="004B6977">
        <w:rPr>
          <w:bCs/>
        </w:rPr>
        <w:t>“</w:t>
      </w:r>
      <w:r>
        <w:t xml:space="preserve"> juridinio asmens kodas 300047572</w:t>
      </w:r>
      <w:r w:rsidRPr="0067067F">
        <w:t xml:space="preserve">, kurio registruota buveinė yra </w:t>
      </w:r>
      <w:r>
        <w:t>Konstitucijos 7, LT-09308, Vilnius,</w:t>
      </w:r>
      <w:r w:rsidRPr="0067067F">
        <w:t xml:space="preserve"> atstovaujama </w:t>
      </w:r>
      <w:r>
        <w:t xml:space="preserve">bendrovės direktoriaus Sauliaus </w:t>
      </w:r>
      <w:proofErr w:type="spellStart"/>
      <w:r>
        <w:t>Eivos</w:t>
      </w:r>
      <w:proofErr w:type="spellEnd"/>
      <w:r>
        <w:t>;</w:t>
      </w:r>
    </w:p>
    <w:p w:rsidR="002D754B" w:rsidRDefault="002D754B" w:rsidP="002D754B">
      <w:pPr>
        <w:ind w:firstLine="567"/>
        <w:jc w:val="both"/>
      </w:pPr>
      <w:r>
        <w:t xml:space="preserve">3. </w:t>
      </w:r>
      <w:r w:rsidRPr="004B6977">
        <w:rPr>
          <w:bCs/>
        </w:rPr>
        <w:t>UAB „</w:t>
      </w:r>
      <w:proofErr w:type="spellStart"/>
      <w:r>
        <w:rPr>
          <w:bCs/>
        </w:rPr>
        <w:t>Spektramed</w:t>
      </w:r>
      <w:proofErr w:type="spellEnd"/>
      <w:r w:rsidRPr="004B6977">
        <w:rPr>
          <w:bCs/>
        </w:rPr>
        <w:t>“</w:t>
      </w:r>
      <w:r>
        <w:t xml:space="preserve"> juridinio asmens kodas 121292719</w:t>
      </w:r>
      <w:r w:rsidRPr="0067067F">
        <w:t xml:space="preserve"> kurio registruota buveinė yra </w:t>
      </w:r>
      <w:r>
        <w:t>Sierakausko 15a, LT-03105, Vilnius,</w:t>
      </w:r>
      <w:r w:rsidRPr="0067067F">
        <w:t xml:space="preserve"> atstovaujama </w:t>
      </w:r>
      <w:r>
        <w:t xml:space="preserve">bendrovės direktoriaus Jono </w:t>
      </w:r>
      <w:proofErr w:type="spellStart"/>
      <w:r>
        <w:t>Žiburkaus</w:t>
      </w:r>
      <w:proofErr w:type="spellEnd"/>
      <w:r>
        <w:t xml:space="preserve">; </w:t>
      </w:r>
    </w:p>
    <w:p w:rsidR="000C26F7" w:rsidRPr="0067067F" w:rsidRDefault="002D754B" w:rsidP="002D754B">
      <w:pPr>
        <w:ind w:firstLine="567"/>
        <w:jc w:val="both"/>
      </w:pPr>
      <w:r>
        <w:t xml:space="preserve">Atstovaujami pagrindinio tiekėjo </w:t>
      </w:r>
      <w:r w:rsidRPr="004B6977">
        <w:rPr>
          <w:bCs/>
        </w:rPr>
        <w:t>UAB „</w:t>
      </w:r>
      <w:proofErr w:type="spellStart"/>
      <w:r>
        <w:rPr>
          <w:bCs/>
        </w:rPr>
        <w:t>Softneta</w:t>
      </w:r>
      <w:proofErr w:type="spellEnd"/>
      <w:r w:rsidRPr="004B6977">
        <w:rPr>
          <w:bCs/>
        </w:rPr>
        <w:t>“</w:t>
      </w:r>
      <w:r>
        <w:t xml:space="preserve"> juridinio asmens kodas 300664890 direktoriaus Vytauto Baublio, veikiančio pagal bendrovės įstatus ir jungtinės veiklos sutartį N. 268 nuostatas </w:t>
      </w:r>
      <w:r w:rsidR="000C26F7" w:rsidRPr="0067067F">
        <w:t>(toliau</w:t>
      </w:r>
      <w:r w:rsidR="0006688A">
        <w:t xml:space="preserve"> </w:t>
      </w:r>
      <w:r w:rsidR="001E43ED">
        <w:t>-</w:t>
      </w:r>
      <w:r w:rsidR="0006688A">
        <w:t xml:space="preserve"> </w:t>
      </w:r>
      <w:r w:rsidR="000C26F7" w:rsidRPr="0067067F">
        <w:rPr>
          <w:b/>
          <w:bCs/>
        </w:rPr>
        <w:t>Tiekėjas</w:t>
      </w:r>
      <w:r w:rsidR="002F6B75">
        <w:t>), laimėję</w:t>
      </w:r>
      <w:r w:rsidR="004B6977">
        <w:t xml:space="preserve"> 2015-01-05</w:t>
      </w:r>
      <w:r w:rsidR="000C26F7" w:rsidRPr="0067067F">
        <w:t xml:space="preserve">d. skelbtą konkursą pirkti medicininę įrangą, vykdant projektą </w:t>
      </w:r>
      <w:r w:rsidR="000C26F7" w:rsidRPr="0067067F">
        <w:rPr>
          <w:bCs/>
        </w:rPr>
        <w:t xml:space="preserve">„Jungtinio </w:t>
      </w:r>
      <w:proofErr w:type="spellStart"/>
      <w:r w:rsidR="000C26F7" w:rsidRPr="0067067F">
        <w:rPr>
          <w:bCs/>
        </w:rPr>
        <w:t>inovatyvios</w:t>
      </w:r>
      <w:proofErr w:type="spellEnd"/>
      <w:r w:rsidR="000C26F7" w:rsidRPr="0067067F">
        <w:rPr>
          <w:bCs/>
        </w:rPr>
        <w:t xml:space="preserve"> medicinos centro įsteigimas“</w:t>
      </w:r>
      <w:r w:rsidR="000C26F7">
        <w:rPr>
          <w:bCs/>
        </w:rPr>
        <w:t>,</w:t>
      </w:r>
      <w:r w:rsidR="004B6977">
        <w:rPr>
          <w:bCs/>
        </w:rPr>
        <w:t xml:space="preserve"> </w:t>
      </w:r>
      <w:r w:rsidR="000C26F7" w:rsidRPr="0067067F">
        <w:t>toliau kartu šioje viešojo pirkimo–pardavimo Sutartyje vadinami „Šalimis“, o kiekvienas atskirai – „Šalimi“, sudarė šią viešojo pirkimo–pardavimo sutartį, toliau vadinamą „Sutartimi“ ir susitarė dėl toliau išvardytų sąlygų.</w:t>
      </w:r>
    </w:p>
    <w:p w:rsidR="000C26F7" w:rsidRPr="0067067F" w:rsidRDefault="000C26F7" w:rsidP="000C26F7">
      <w:pPr>
        <w:ind w:firstLine="540"/>
        <w:jc w:val="both"/>
      </w:pPr>
    </w:p>
    <w:p w:rsidR="000C26F7" w:rsidRPr="0067067F" w:rsidRDefault="000C26F7" w:rsidP="000C26F7">
      <w:pPr>
        <w:jc w:val="center"/>
        <w:rPr>
          <w:b/>
          <w:bCs/>
        </w:rPr>
      </w:pPr>
      <w:r w:rsidRPr="0067067F">
        <w:rPr>
          <w:b/>
          <w:bCs/>
        </w:rPr>
        <w:t>1. Sutarties dalykas</w:t>
      </w:r>
    </w:p>
    <w:p w:rsidR="000C26F7" w:rsidRPr="0067067F" w:rsidRDefault="000C26F7" w:rsidP="000C26F7">
      <w:pPr>
        <w:jc w:val="center"/>
        <w:rPr>
          <w:b/>
          <w:bCs/>
        </w:rPr>
      </w:pPr>
    </w:p>
    <w:p w:rsidR="000C26F7" w:rsidRPr="0067067F" w:rsidRDefault="000C26F7" w:rsidP="000C26F7">
      <w:pPr>
        <w:ind w:firstLine="567"/>
        <w:jc w:val="both"/>
      </w:pPr>
      <w:r w:rsidRPr="0067067F">
        <w:t xml:space="preserve">1.1. Sutarties dalykas yra </w:t>
      </w:r>
      <w:proofErr w:type="spellStart"/>
      <w:r w:rsidR="00E052D6">
        <w:t>B</w:t>
      </w:r>
      <w:r w:rsidR="00E052D6" w:rsidRPr="00E052D6">
        <w:t>ioinformacinių</w:t>
      </w:r>
      <w:proofErr w:type="spellEnd"/>
      <w:r w:rsidR="00E052D6" w:rsidRPr="00E052D6">
        <w:t xml:space="preserve"> ir medicininių vaizdų duomenų saugyklos</w:t>
      </w:r>
      <w:r w:rsidR="00E052D6" w:rsidRPr="0067067F">
        <w:t xml:space="preserve"> </w:t>
      </w:r>
      <w:r w:rsidRPr="0067067F">
        <w:t>pirkimas–pardavimas, pristatymas, sumontavimas ir pers</w:t>
      </w:r>
      <w:r w:rsidR="003538EC">
        <w:t>onalo apmokymas (toliau – Prekė</w:t>
      </w:r>
      <w:r w:rsidRPr="0067067F">
        <w:t>),  kurios kaina nurodyta Sutarties 3.1 punkte bei asortimentas Sutarties 1 priede „Prekių sąrašas“ ir 2 priede „Techninė specifikacija“:</w:t>
      </w:r>
    </w:p>
    <w:p w:rsidR="000C26F7" w:rsidRPr="0067067F" w:rsidRDefault="000C26F7" w:rsidP="000C26F7">
      <w:pPr>
        <w:numPr>
          <w:ilvl w:val="2"/>
          <w:numId w:val="1"/>
        </w:numPr>
        <w:tabs>
          <w:tab w:val="num" w:pos="0"/>
          <w:tab w:val="num" w:pos="720"/>
        </w:tabs>
        <w:ind w:left="0" w:firstLine="567"/>
        <w:jc w:val="both"/>
      </w:pPr>
      <w:r w:rsidRPr="0067067F">
        <w:t>Prekių kokybė turi atitikti toms Prekėms taikomus kokybės reikalavimus;</w:t>
      </w:r>
    </w:p>
    <w:p w:rsidR="000C26F7" w:rsidRPr="0067067F" w:rsidRDefault="000C26F7" w:rsidP="000C26F7">
      <w:pPr>
        <w:numPr>
          <w:ilvl w:val="2"/>
          <w:numId w:val="1"/>
        </w:numPr>
        <w:tabs>
          <w:tab w:val="num" w:pos="0"/>
          <w:tab w:val="num" w:pos="720"/>
        </w:tabs>
        <w:ind w:left="0" w:firstLine="567"/>
        <w:jc w:val="both"/>
      </w:pPr>
      <w:r w:rsidRPr="0067067F">
        <w:t>Prekių komplektiškumas turi atitikti suderinto asortimento reikalavimus;</w:t>
      </w:r>
    </w:p>
    <w:p w:rsidR="000C26F7" w:rsidRPr="0067067F" w:rsidRDefault="000C26F7" w:rsidP="000C26F7">
      <w:pPr>
        <w:numPr>
          <w:ilvl w:val="2"/>
          <w:numId w:val="1"/>
        </w:numPr>
        <w:tabs>
          <w:tab w:val="num" w:pos="0"/>
          <w:tab w:val="num" w:pos="720"/>
        </w:tabs>
        <w:ind w:left="0" w:firstLine="567"/>
        <w:jc w:val="both"/>
      </w:pPr>
      <w:r w:rsidRPr="0067067F">
        <w:t>Prekės pristatomos sukomplektuotos su visais būtinais reikmenimis, technine ir naudojimo instrukcijomis, serviso dokumentacija, CE sertifikatais (arba lygiaverčiais dokumentais), kad būtų užtikrintas tinkamas Prekių naudojamas, atitinkantis technines charakteristikas, nurodytas Prekių gamintojo dokumentacijoje ir šios Sutarties prieduose;</w:t>
      </w:r>
    </w:p>
    <w:p w:rsidR="000C26F7" w:rsidRPr="0067067F" w:rsidRDefault="000C26F7" w:rsidP="000C26F7">
      <w:pPr>
        <w:numPr>
          <w:ilvl w:val="2"/>
          <w:numId w:val="1"/>
        </w:numPr>
        <w:tabs>
          <w:tab w:val="num" w:pos="0"/>
          <w:tab w:val="num" w:pos="720"/>
        </w:tabs>
        <w:ind w:left="0" w:firstLine="567"/>
        <w:jc w:val="both"/>
      </w:pPr>
      <w:r w:rsidRPr="0067067F">
        <w:t xml:space="preserve"> į visus Prekių komplektus turi įeiti visos detalės ir kitos sudedamosios dalys bei medžiagos, reikalingos normaliam Prekių naudojimui;</w:t>
      </w:r>
    </w:p>
    <w:p w:rsidR="000C26F7" w:rsidRPr="0067067F" w:rsidRDefault="000C26F7" w:rsidP="000C26F7">
      <w:pPr>
        <w:numPr>
          <w:ilvl w:val="2"/>
          <w:numId w:val="1"/>
        </w:numPr>
        <w:tabs>
          <w:tab w:val="num" w:pos="0"/>
          <w:tab w:val="num" w:pos="720"/>
        </w:tabs>
        <w:ind w:left="0" w:firstLine="567"/>
        <w:jc w:val="both"/>
      </w:pPr>
      <w:r w:rsidRPr="0067067F">
        <w:t>jei dėl nuo Tiekėjo nepriklausančių aplinkybių, kurių nebuvo įmanoma numatyti rengiant pirkimo dokumentus ir (ar) Sutarties sudarymo metu, Tiekėjas negali pristatyti nurodyto modelio Prekės, kitoms Sutarties šalims raštu išreiškus sutikimą, nekeičiant Sutarties kainos, Tiekėjas gali pristatyti kito modelio prekę su sąlyga, kad naujas modelis atitiks keliamus reikalavimus ir bus pristatytas už tą pačią kainą.</w:t>
      </w:r>
    </w:p>
    <w:p w:rsidR="000C26F7" w:rsidRPr="0067067F" w:rsidRDefault="000C26F7" w:rsidP="000C26F7">
      <w:pPr>
        <w:ind w:firstLine="567"/>
        <w:jc w:val="both"/>
      </w:pPr>
      <w:r w:rsidRPr="0067067F">
        <w:t xml:space="preserve">1.2. Prekės turi būti pristatytos Santariškių </w:t>
      </w:r>
      <w:r>
        <w:t xml:space="preserve">g. </w:t>
      </w:r>
      <w:r w:rsidRPr="0067067F">
        <w:t>2, Vilnius</w:t>
      </w:r>
      <w:r w:rsidR="003538EC">
        <w:t>.</w:t>
      </w:r>
    </w:p>
    <w:p w:rsidR="000C26F7" w:rsidRPr="0067067F" w:rsidRDefault="000C26F7" w:rsidP="000C26F7">
      <w:pPr>
        <w:ind w:firstLine="567"/>
        <w:jc w:val="both"/>
      </w:pPr>
      <w:r w:rsidRPr="0067067F">
        <w:t xml:space="preserve">1.2.1. Tiekėjas, pristatytas, instaliuotas / įdiegtas Prekes turi perduoti Pirkėjui. Prekių pristatymo, instaliavimo/įdiegimo bei Pirkėjo personalo apmokymo data yra Pirkėjo pasirašymo Prekių priėmimo–perdavimo ir instaliavimo akte data. </w:t>
      </w:r>
    </w:p>
    <w:p w:rsidR="000C26F7" w:rsidRPr="0067067F" w:rsidRDefault="000C26F7" w:rsidP="000C26F7">
      <w:pPr>
        <w:ind w:firstLine="567"/>
        <w:jc w:val="both"/>
      </w:pPr>
      <w:r w:rsidRPr="0067067F">
        <w:t>1.2.2. Tiekėjui pristačius prekes, Pirkėjas kartu su Tiekėju įsipareigoja patikrinti Prekių kokybę ir komplektiškumą bei įforminti Prekių priėmimo–perdavimo aktą, kuriame pažymimi trūkumai ar pažeidimai, jei tokie nustatyti.</w:t>
      </w:r>
    </w:p>
    <w:p w:rsidR="000C26F7" w:rsidRPr="0067067F" w:rsidRDefault="000C26F7" w:rsidP="000C26F7">
      <w:pPr>
        <w:ind w:firstLine="567"/>
        <w:jc w:val="both"/>
      </w:pPr>
      <w:r w:rsidRPr="0067067F">
        <w:t xml:space="preserve">1.2.3. Tiekėjas privalo ne vėliau kaip prieš 7 darbo dienas </w:t>
      </w:r>
      <w:r>
        <w:t>informuoti</w:t>
      </w:r>
      <w:r w:rsidRPr="0067067F">
        <w:t xml:space="preserve"> Pirkėją </w:t>
      </w:r>
      <w:r>
        <w:t>Sutartyje nurodytomis ir Šalims priimtinomis informavimo priemonėmis</w:t>
      </w:r>
      <w:r w:rsidRPr="0067067F">
        <w:t xml:space="preserve"> apie ketinimą pristatyti Prekes, kad </w:t>
      </w:r>
      <w:r w:rsidRPr="0067067F">
        <w:lastRenderedPageBreak/>
        <w:t xml:space="preserve">Pirkėjas galėtų tinkamai pasiruošti Prekių priėmimui. Pirkėjas su tiekėju </w:t>
      </w:r>
      <w:r>
        <w:t>Sutartyje nurodytomis ir Šalims priimtinomis informavimo priemonėmis</w:t>
      </w:r>
      <w:r w:rsidRPr="0067067F">
        <w:t xml:space="preserve"> suderina prekių pristatymo grafiką.</w:t>
      </w:r>
    </w:p>
    <w:p w:rsidR="000C26F7" w:rsidRPr="0067067F" w:rsidRDefault="000C26F7" w:rsidP="000C26F7">
      <w:pPr>
        <w:ind w:firstLine="567"/>
        <w:jc w:val="both"/>
      </w:pPr>
      <w:r w:rsidRPr="0067067F">
        <w:t>1.3. Tiekėjas įsipareigoja perduoti Pirkėjui Sutarties Prekių sąraše  ir techninėje specifikacijoje  nurodytas Prekes, Pirkėjas įsipareigoja priimti tvarkingas ir kokybiškas Prekes, o Pirkėjas įsipareigoja sumokėti Tiekėjui Sutartyje numatytą kainą Sutartyje numatytomis sąlygomis ir terminais.</w:t>
      </w:r>
    </w:p>
    <w:p w:rsidR="000C26F7" w:rsidRPr="0067067F" w:rsidRDefault="000C26F7" w:rsidP="000C26F7">
      <w:pPr>
        <w:ind w:firstLine="567"/>
        <w:jc w:val="both"/>
      </w:pPr>
      <w:r w:rsidRPr="0067067F">
        <w:t>1.4. Garantinių įsipareigojimų laikotarpiu:</w:t>
      </w:r>
    </w:p>
    <w:p w:rsidR="000C26F7" w:rsidRPr="0067067F" w:rsidRDefault="000C26F7" w:rsidP="000C26F7">
      <w:pPr>
        <w:ind w:firstLine="567"/>
        <w:jc w:val="both"/>
      </w:pPr>
      <w:r w:rsidRPr="0067067F">
        <w:t xml:space="preserve">1.4.1. Prekėms Tiekėjas suteikia ne trumpesnę kaip 12 mėnesių garantiją, skaičiuojamą nuo Prekių priėmimo-perdavimo ir instaliavimo akto pasirašymo dienos. Prekių techninį aptarnavimą turi atlikti tik Tiekėjo įgalioti ir Prekių gamintojo sertifikuoti atlikti techninį aptarnavimą asmenys. Garantija netaikoma, jei defektai atsirado dėl Pirkėjo kaltės. </w:t>
      </w:r>
    </w:p>
    <w:p w:rsidR="000C26F7" w:rsidRPr="0067067F" w:rsidRDefault="000C26F7" w:rsidP="000C26F7">
      <w:pPr>
        <w:ind w:firstLine="567"/>
        <w:jc w:val="both"/>
      </w:pPr>
      <w:r w:rsidRPr="0067067F">
        <w:t xml:space="preserve">1.4.2. Paaiškėjus paslėptiems ir kitiems Prekių trūkumams ar jei Prekės neatitinka Sutarties reikalavimų, Tiekėjas privalo per 5 (penkias) darbo dienas nuo pranešimo apie trūkumus, juos pašalinti arba per protingą terminą, bet ne ilgiau kaip per terminą, nustatytą šios Sutarties 1.2. punkte, prekes pakeisti naujomis. </w:t>
      </w:r>
    </w:p>
    <w:p w:rsidR="000C26F7" w:rsidRPr="0067067F" w:rsidRDefault="000C26F7" w:rsidP="000C26F7">
      <w:pPr>
        <w:ind w:firstLine="567"/>
        <w:jc w:val="both"/>
      </w:pPr>
      <w:r w:rsidRPr="0067067F">
        <w:t xml:space="preserve">1.4.3. Jei Prekių trūkumų neįmanoma pašalinti, o Tiekėjas nesutinka ar negali Prekių pakeisti savo sąskaita naujomis per Sutarties </w:t>
      </w:r>
      <w:r>
        <w:t>2.1</w:t>
      </w:r>
      <w:r w:rsidRPr="0067067F">
        <w:t xml:space="preserve"> punkte  nustatytą terminą, Pirkėjas turi teisę nutraukti Sutarties vykdymą šioje Sutartyje nustatyta tvarka ir pareikalauti iš Tiekėjo dėl Sutarties nutraukimo patirtų nuostolių atlyginimo.</w:t>
      </w:r>
    </w:p>
    <w:p w:rsidR="000C26F7" w:rsidRDefault="000C26F7" w:rsidP="000C26F7">
      <w:pPr>
        <w:ind w:firstLine="567"/>
        <w:jc w:val="both"/>
      </w:pPr>
      <w:r w:rsidRPr="0067067F">
        <w:t xml:space="preserve">1.4.4. Garantijos termino metu Tiekėjas nemokamai atlieka Prekių profilaktinę techninę apžiūrą pagal gamintojų reikalavimus, Pirkėjui teikia konsultacijas ir paaiškinimus telefonu. Prekių gedimo atveju, kai konsultacijos  telefonu neužtenka, atvyksta remontuoti prekes per 24 valandas nuo pranešimo apie Prekių gedimą gavimo. Nemokamai remontuoja arba keičia sugedusias dalis (detales). </w:t>
      </w:r>
    </w:p>
    <w:p w:rsidR="001E43ED" w:rsidRPr="0067067F" w:rsidRDefault="001E43ED" w:rsidP="001E43ED">
      <w:pPr>
        <w:ind w:firstLine="567"/>
        <w:jc w:val="both"/>
      </w:pPr>
    </w:p>
    <w:p w:rsidR="000C26F7" w:rsidRPr="0067067F" w:rsidRDefault="000C26F7" w:rsidP="000C26F7">
      <w:pPr>
        <w:jc w:val="center"/>
        <w:outlineLvl w:val="0"/>
        <w:rPr>
          <w:b/>
          <w:bCs/>
        </w:rPr>
      </w:pPr>
      <w:r w:rsidRPr="0067067F">
        <w:rPr>
          <w:b/>
          <w:bCs/>
        </w:rPr>
        <w:t>2. Sutarties galiojimas, vykdymo pradžia, trukmė ir terminai</w:t>
      </w:r>
    </w:p>
    <w:p w:rsidR="000C26F7" w:rsidRPr="0067067F" w:rsidRDefault="000C26F7" w:rsidP="000C26F7">
      <w:pPr>
        <w:jc w:val="center"/>
      </w:pPr>
    </w:p>
    <w:p w:rsidR="000C26F7" w:rsidRPr="0067067F" w:rsidRDefault="000C26F7" w:rsidP="000C26F7">
      <w:pPr>
        <w:jc w:val="both"/>
      </w:pPr>
      <w:r w:rsidRPr="0067067F">
        <w:t xml:space="preserve">         2.1. Ši Sutartis įsigalioja nuo jos pasirašymo dienos, ir  galioja 3</w:t>
      </w:r>
      <w:r>
        <w:t xml:space="preserve"> </w:t>
      </w:r>
      <w:r w:rsidRPr="0067067F">
        <w:t>mėnesius. Jei per nustatytą laikotarpį įrangos pristatymas dėl objektyvių priežasčių nebus įvykdytas, ar tiekėjui sutrukdys nenumatytos aplinkybės laiku sutartį įvykdyti, įrangos pristatymo terminas gali būti pratęsiamas 60 kalendorinių dienų,  iki visiško sutartinių įsipareigojimų įvykdymo. Sutarties pratęsimo atveju kitos sutarties sąlygos (kiekis, darbų apimtis, kaina) nesikeis. Sutarties pratęsimas turi būti patvirtinamas abiejų susitariančių šalių, atskiru susitarimu.</w:t>
      </w:r>
    </w:p>
    <w:p w:rsidR="000C26F7" w:rsidRPr="0067067F" w:rsidRDefault="000C26F7" w:rsidP="000C26F7">
      <w:pPr>
        <w:pStyle w:val="Pagrindinistekstas"/>
        <w:ind w:firstLine="540"/>
        <w:jc w:val="both"/>
        <w:rPr>
          <w:b/>
          <w:bCs/>
          <w:i/>
          <w:iCs/>
          <w:noProof w:val="0"/>
          <w:color w:val="auto"/>
          <w:sz w:val="24"/>
          <w:szCs w:val="24"/>
        </w:rPr>
      </w:pPr>
      <w:r w:rsidRPr="0067067F">
        <w:rPr>
          <w:noProof w:val="0"/>
          <w:color w:val="auto"/>
          <w:sz w:val="24"/>
          <w:szCs w:val="24"/>
        </w:rPr>
        <w:t xml:space="preserve">2.2. Šalis nėra 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w:t>
      </w:r>
    </w:p>
    <w:p w:rsidR="000C26F7" w:rsidRPr="0067067F" w:rsidRDefault="000C26F7" w:rsidP="000C26F7">
      <w:pPr>
        <w:pStyle w:val="Pagrindinistekstas"/>
        <w:ind w:firstLine="720"/>
        <w:jc w:val="both"/>
        <w:rPr>
          <w:b/>
          <w:bCs/>
          <w:noProof w:val="0"/>
          <w:color w:val="auto"/>
          <w:sz w:val="24"/>
          <w:szCs w:val="24"/>
        </w:rPr>
      </w:pPr>
    </w:p>
    <w:p w:rsidR="000C26F7" w:rsidRPr="0067067F" w:rsidRDefault="000C26F7" w:rsidP="000C26F7">
      <w:pPr>
        <w:jc w:val="center"/>
        <w:rPr>
          <w:b/>
          <w:bCs/>
        </w:rPr>
      </w:pPr>
      <w:r w:rsidRPr="0067067F">
        <w:rPr>
          <w:b/>
          <w:bCs/>
        </w:rPr>
        <w:t>3. Sutarties kaina (kainodaros taisyklės) ir mokėjimo sąlygos</w:t>
      </w:r>
    </w:p>
    <w:p w:rsidR="000C26F7" w:rsidRPr="0067067F" w:rsidRDefault="000C26F7" w:rsidP="000C26F7">
      <w:pPr>
        <w:jc w:val="both"/>
      </w:pPr>
    </w:p>
    <w:p w:rsidR="000C26F7" w:rsidRPr="0067067F" w:rsidRDefault="000C26F7" w:rsidP="000C26F7">
      <w:pPr>
        <w:widowControl w:val="0"/>
        <w:ind w:firstLine="567"/>
        <w:jc w:val="both"/>
      </w:pPr>
      <w:r w:rsidRPr="0067067F">
        <w:t>3.1. Sutarties kaina:</w:t>
      </w:r>
    </w:p>
    <w:p w:rsidR="000C26F7" w:rsidRPr="0067067F" w:rsidRDefault="000C26F7" w:rsidP="000C26F7">
      <w:pPr>
        <w:widowControl w:val="0"/>
        <w:ind w:firstLine="567"/>
        <w:jc w:val="both"/>
      </w:pPr>
      <w:r w:rsidRPr="0067067F">
        <w:t xml:space="preserve">Sutarties kaina be PVM </w:t>
      </w:r>
      <w:r w:rsidR="00E052D6">
        <w:t>213.026</w:t>
      </w:r>
      <w:r w:rsidR="003538EC">
        <w:t>,00Eur. (</w:t>
      </w:r>
      <w:r w:rsidR="00E052D6">
        <w:t>du šimtai trylika tūkstančių ir dvidešimt šeši eurai</w:t>
      </w:r>
      <w:r w:rsidR="003538EC">
        <w:t xml:space="preserve"> 00ct).</w:t>
      </w:r>
    </w:p>
    <w:p w:rsidR="000C26F7" w:rsidRPr="0067067F" w:rsidRDefault="000C26F7" w:rsidP="000C26F7">
      <w:pPr>
        <w:widowControl w:val="0"/>
        <w:ind w:firstLine="567"/>
        <w:jc w:val="both"/>
      </w:pPr>
      <w:r w:rsidRPr="0067067F">
        <w:t xml:space="preserve">PVM </w:t>
      </w:r>
      <w:r w:rsidR="00B148AA">
        <w:t>44.735,46</w:t>
      </w:r>
      <w:r w:rsidR="003538EC">
        <w:t xml:space="preserve"> </w:t>
      </w:r>
      <w:proofErr w:type="spellStart"/>
      <w:r w:rsidR="003538EC">
        <w:t>Eur</w:t>
      </w:r>
      <w:proofErr w:type="spellEnd"/>
      <w:r w:rsidR="003538EC">
        <w:t>. (</w:t>
      </w:r>
      <w:r w:rsidR="00B148AA">
        <w:t>keturiasdešimt keturi tūkstančiai septyni šimtai trisdešimt penki</w:t>
      </w:r>
      <w:r w:rsidR="003538EC">
        <w:t xml:space="preserve"> eurai </w:t>
      </w:r>
      <w:r w:rsidR="00B148AA">
        <w:t>46</w:t>
      </w:r>
      <w:r w:rsidR="003538EC">
        <w:t>ct)</w:t>
      </w:r>
    </w:p>
    <w:p w:rsidR="000C26F7" w:rsidRPr="0067067F" w:rsidRDefault="003538EC" w:rsidP="000C26F7">
      <w:pPr>
        <w:jc w:val="both"/>
      </w:pPr>
      <w:r>
        <w:t xml:space="preserve">         </w:t>
      </w:r>
      <w:r w:rsidR="000C26F7" w:rsidRPr="003538EC">
        <w:rPr>
          <w:b/>
        </w:rPr>
        <w:t>Bendra Sutarties kain</w:t>
      </w:r>
      <w:r w:rsidR="000C26F7" w:rsidRPr="0067067F">
        <w:t xml:space="preserve">a (Sutarties kaina + PVM) </w:t>
      </w:r>
      <w:r w:rsidR="00B148AA">
        <w:rPr>
          <w:b/>
        </w:rPr>
        <w:t>257.761,46</w:t>
      </w:r>
      <w:r w:rsidRPr="003538EC">
        <w:rPr>
          <w:b/>
        </w:rPr>
        <w:t xml:space="preserve"> </w:t>
      </w:r>
      <w:proofErr w:type="spellStart"/>
      <w:r w:rsidRPr="003538EC">
        <w:rPr>
          <w:b/>
        </w:rPr>
        <w:t>Eur</w:t>
      </w:r>
      <w:proofErr w:type="spellEnd"/>
      <w:r w:rsidRPr="003538EC">
        <w:rPr>
          <w:b/>
        </w:rPr>
        <w:t>.</w:t>
      </w:r>
      <w:r>
        <w:t xml:space="preserve"> (</w:t>
      </w:r>
      <w:r w:rsidR="00B148AA">
        <w:t>du šimtai penkiasdešimt septyni tūkstančiai septyni šimtai šešiasdešimt vienas</w:t>
      </w:r>
      <w:r>
        <w:t xml:space="preserve"> eur</w:t>
      </w:r>
      <w:r w:rsidR="00B148AA">
        <w:t>as</w:t>
      </w:r>
      <w:r>
        <w:t xml:space="preserve"> </w:t>
      </w:r>
      <w:r w:rsidR="00B148AA">
        <w:t>46</w:t>
      </w:r>
      <w:r>
        <w:t>ct).</w:t>
      </w:r>
    </w:p>
    <w:p w:rsidR="000C26F7" w:rsidRPr="0067067F" w:rsidRDefault="000C26F7" w:rsidP="000C26F7">
      <w:pPr>
        <w:ind w:firstLine="567"/>
        <w:jc w:val="both"/>
        <w:rPr>
          <w:u w:val="single"/>
        </w:rPr>
      </w:pPr>
      <w:r w:rsidRPr="0067067F">
        <w:t>3.2. Sutartyje nustatoma fiksuota kaina, nes Sutartyje nurodomas tikslus Prekių kiekis ir Tiekėjas turi realias galimybes numatyti ir įvertinti Sutarties įvykdymo išlaidas bei gali prisiimti riziką dėl šių išlaidų dydžio.</w:t>
      </w:r>
    </w:p>
    <w:p w:rsidR="000C26F7" w:rsidRPr="0067067F" w:rsidRDefault="000C26F7" w:rsidP="000C26F7">
      <w:pPr>
        <w:pStyle w:val="BodyText1"/>
        <w:tabs>
          <w:tab w:val="left" w:pos="567"/>
        </w:tabs>
        <w:ind w:firstLine="567"/>
        <w:rPr>
          <w:rFonts w:ascii="Times New Roman" w:hAnsi="Times New Roman"/>
          <w:sz w:val="24"/>
          <w:szCs w:val="24"/>
          <w:lang w:val="lt-LT"/>
        </w:rPr>
      </w:pPr>
      <w:r w:rsidRPr="0067067F">
        <w:rPr>
          <w:rFonts w:ascii="Times New Roman" w:hAnsi="Times New Roman"/>
          <w:sz w:val="24"/>
          <w:szCs w:val="24"/>
          <w:lang w:val="lt-LT"/>
        </w:rPr>
        <w:t>3.3. Mokėjimai atliekami eurais tokia tvarka:</w:t>
      </w:r>
    </w:p>
    <w:p w:rsidR="000C26F7" w:rsidRPr="0067067F" w:rsidRDefault="000C26F7" w:rsidP="000C26F7">
      <w:pPr>
        <w:pStyle w:val="BodyText1"/>
        <w:tabs>
          <w:tab w:val="left" w:pos="567"/>
        </w:tabs>
        <w:ind w:firstLine="567"/>
        <w:rPr>
          <w:rFonts w:ascii="Times New Roman" w:hAnsi="Times New Roman"/>
          <w:sz w:val="24"/>
          <w:szCs w:val="24"/>
          <w:lang w:val="lt-LT"/>
        </w:rPr>
      </w:pPr>
      <w:r w:rsidRPr="0067067F">
        <w:rPr>
          <w:rFonts w:ascii="Times New Roman" w:hAnsi="Times New Roman"/>
          <w:sz w:val="24"/>
          <w:szCs w:val="24"/>
          <w:lang w:val="lt-LT"/>
        </w:rPr>
        <w:lastRenderedPageBreak/>
        <w:t xml:space="preserve">3.3.1. </w:t>
      </w:r>
      <w:r w:rsidRPr="0067067F">
        <w:rPr>
          <w:rFonts w:ascii="Times New Roman" w:eastAsia="Times New Roman" w:hAnsi="Times New Roman"/>
          <w:sz w:val="24"/>
          <w:szCs w:val="24"/>
          <w:lang w:val="lt-LT"/>
        </w:rPr>
        <w:t>Sudaryta sutartis bus finansuojama iš ES SF lėšų, taikant sąskaitų apmokėjimo būdą, numatytą Projektų administravimo ir finansavimo taisyklėse, patvirtintose Lietuvos Respublikos Vyriausybės 2007 m. gruodžio 19 d. nutarim</w:t>
      </w:r>
      <w:r>
        <w:rPr>
          <w:rFonts w:ascii="Times New Roman" w:eastAsia="Times New Roman" w:hAnsi="Times New Roman"/>
          <w:sz w:val="24"/>
          <w:szCs w:val="24"/>
          <w:lang w:val="lt-LT"/>
        </w:rPr>
        <w:t>u</w:t>
      </w:r>
      <w:r w:rsidRPr="0067067F">
        <w:rPr>
          <w:rFonts w:ascii="Times New Roman" w:eastAsia="Times New Roman" w:hAnsi="Times New Roman"/>
          <w:sz w:val="24"/>
          <w:szCs w:val="24"/>
          <w:lang w:val="lt-LT"/>
        </w:rPr>
        <w:t xml:space="preserve"> Nr. 1443. Atsižvelgdama į tai, </w:t>
      </w:r>
      <w:r w:rsidRPr="0067067F">
        <w:rPr>
          <w:rFonts w:ascii="Times New Roman" w:hAnsi="Times New Roman"/>
          <w:sz w:val="24"/>
          <w:szCs w:val="24"/>
          <w:lang w:val="lt-LT"/>
        </w:rPr>
        <w:t>Perkančiajai organizacijai reikalingi ilgesni nei 30 d. apmokėjimo terminai, todėl mokėjimus Per</w:t>
      </w:r>
      <w:r>
        <w:rPr>
          <w:rFonts w:ascii="Times New Roman" w:hAnsi="Times New Roman"/>
          <w:sz w:val="24"/>
          <w:szCs w:val="24"/>
          <w:lang w:val="lt-LT"/>
        </w:rPr>
        <w:t>k</w:t>
      </w:r>
      <w:r w:rsidRPr="0067067F">
        <w:rPr>
          <w:rFonts w:ascii="Times New Roman" w:hAnsi="Times New Roman"/>
          <w:sz w:val="24"/>
          <w:szCs w:val="24"/>
          <w:lang w:val="lt-LT"/>
        </w:rPr>
        <w:t>ančioji organizacija atliks ne vėliau kaip per 60 kalendorinių dienų, pagal tinkamai surašytą ir Tiekėjo pateiktą pirkėjui PVM sąskaitą faktūrą ir pasirašytą prekių priėmimo-perdavimo aktą, kai prekės bus pristatytos Pirkėjui, sumontuotos bei apmokytas Pirkėjo personalas. Avansiniai mokėjimai nenumatomi.</w:t>
      </w:r>
    </w:p>
    <w:p w:rsidR="000C26F7" w:rsidRDefault="000C26F7" w:rsidP="000C26F7">
      <w:pPr>
        <w:pStyle w:val="Tekstas"/>
        <w:ind w:firstLine="0"/>
      </w:pPr>
      <w:r w:rsidRPr="0067067F">
        <w:rPr>
          <w:szCs w:val="24"/>
        </w:rPr>
        <w:t xml:space="preserve">       3.3.2. Pirkėjas už</w:t>
      </w:r>
      <w:r w:rsidRPr="0067067F">
        <w:t xml:space="preserve"> perkamas Prekes Tiekėjui atsiskaito mokėjimo pavedimu į Tiekėjo nurodytą banko sąskaitą. Apmokėjimas laikomas įvykdytu, kai pinigai patenka į Tiekėjo šiame punkte nurodytą sąskaitą.</w:t>
      </w:r>
    </w:p>
    <w:p w:rsidR="000C26F7" w:rsidRPr="0067067F" w:rsidRDefault="000C26F7" w:rsidP="000C26F7">
      <w:pPr>
        <w:shd w:val="clear" w:color="auto" w:fill="FFFFFF"/>
        <w:tabs>
          <w:tab w:val="left" w:pos="1339"/>
          <w:tab w:val="left" w:pos="9498"/>
          <w:tab w:val="left" w:pos="9639"/>
        </w:tabs>
        <w:autoSpaceDE w:val="0"/>
        <w:jc w:val="both"/>
        <w:rPr>
          <w:spacing w:val="4"/>
        </w:rPr>
      </w:pPr>
      <w:r>
        <w:t xml:space="preserve">          </w:t>
      </w:r>
      <w:r w:rsidRPr="0067067F">
        <w:t xml:space="preserve">3.4. Sutartyje numatyta Prekių kaina per visą Sutarties galiojimo laikotarpį nekeičiama, išskyrus atvejus, kai teisės aktais yra pakeičiamas Sutartyje nurodytoms Prekėms taikomas pridėtinės vertės mokestis. </w:t>
      </w:r>
      <w:r w:rsidRPr="0067067F">
        <w:rPr>
          <w:spacing w:val="4"/>
        </w:rPr>
        <w:t xml:space="preserve">Pasikeitus pridėtines vertės mokesčiui </w:t>
      </w:r>
      <w:r w:rsidRPr="0067067F">
        <w:rPr>
          <w:spacing w:val="13"/>
        </w:rPr>
        <w:t xml:space="preserve">(toliau – PVM) </w:t>
      </w:r>
      <w:r w:rsidRPr="0067067F">
        <w:rPr>
          <w:spacing w:val="4"/>
        </w:rPr>
        <w:t>galutinė sutarties kaina perskaičiuojama atsi</w:t>
      </w:r>
      <w:r w:rsidRPr="0067067F">
        <w:rPr>
          <w:spacing w:val="13"/>
        </w:rPr>
        <w:t>žvelgiant j naują PVM tarifą. Perskaičiuojama tik ta sutarties vertės dalis, kuri turi būti apmo</w:t>
      </w:r>
      <w:r w:rsidRPr="0067067F">
        <w:rPr>
          <w:spacing w:val="4"/>
        </w:rPr>
        <w:t>kėta po datos nuo kurios įsigalioja nauji mokesčiai.</w:t>
      </w:r>
    </w:p>
    <w:p w:rsidR="000C26F7" w:rsidRPr="0067067F" w:rsidRDefault="000C26F7" w:rsidP="000C26F7">
      <w:pPr>
        <w:ind w:firstLine="567"/>
        <w:jc w:val="both"/>
      </w:pPr>
      <w:r w:rsidRPr="0067067F">
        <w:t>3.5. Perskaičiuota Sutarties kaina įforminama Sutarties Šalių atstovų pasirašomu papildomu susitarimu, kuris yra šios Sutarties neatskiriama dalis.</w:t>
      </w:r>
    </w:p>
    <w:p w:rsidR="000C26F7" w:rsidRPr="0067067F" w:rsidRDefault="000C26F7" w:rsidP="000C26F7">
      <w:pPr>
        <w:jc w:val="both"/>
      </w:pPr>
    </w:p>
    <w:p w:rsidR="000C26F7" w:rsidRPr="0067067F" w:rsidRDefault="000C26F7" w:rsidP="000C26F7">
      <w:pPr>
        <w:jc w:val="center"/>
        <w:rPr>
          <w:b/>
          <w:bCs/>
        </w:rPr>
      </w:pPr>
      <w:r w:rsidRPr="0067067F">
        <w:rPr>
          <w:b/>
          <w:bCs/>
        </w:rPr>
        <w:t>4. Sutarties įvykdymo užtikrinimas</w:t>
      </w:r>
      <w:r>
        <w:rPr>
          <w:b/>
          <w:bCs/>
        </w:rPr>
        <w:t xml:space="preserve"> ir šalių atsakomybė</w:t>
      </w:r>
    </w:p>
    <w:p w:rsidR="000C26F7" w:rsidRPr="0067067F" w:rsidRDefault="000C26F7" w:rsidP="000C26F7">
      <w:pPr>
        <w:jc w:val="center"/>
        <w:rPr>
          <w:b/>
          <w:bCs/>
        </w:rPr>
      </w:pPr>
    </w:p>
    <w:p w:rsidR="000C26F7" w:rsidRDefault="000C26F7" w:rsidP="000C26F7">
      <w:pPr>
        <w:shd w:val="clear" w:color="auto" w:fill="FFFFFF"/>
        <w:tabs>
          <w:tab w:val="left" w:pos="-8364"/>
        </w:tabs>
        <w:autoSpaceDE w:val="0"/>
        <w:ind w:right="38" w:firstLine="426"/>
        <w:jc w:val="both"/>
      </w:pPr>
      <w:r w:rsidRPr="0067067F">
        <w:t xml:space="preserve">4.1. </w:t>
      </w:r>
      <w:r w:rsidRPr="00AF7FF3">
        <w:rPr>
          <w:spacing w:val="14"/>
        </w:rPr>
        <w:t xml:space="preserve">Sutarties įvykdymas </w:t>
      </w:r>
      <w:r>
        <w:rPr>
          <w:spacing w:val="14"/>
        </w:rPr>
        <w:t xml:space="preserve">turi būti </w:t>
      </w:r>
      <w:r w:rsidRPr="00AF7FF3">
        <w:rPr>
          <w:spacing w:val="14"/>
        </w:rPr>
        <w:t xml:space="preserve">užtikrinamas Lietuvos </w:t>
      </w:r>
      <w:r w:rsidRPr="00AF7FF3">
        <w:rPr>
          <w:spacing w:val="4"/>
        </w:rPr>
        <w:t>Respublikoje ar užsienyje registruoto banko</w:t>
      </w:r>
      <w:r>
        <w:rPr>
          <w:spacing w:val="4"/>
        </w:rPr>
        <w:t xml:space="preserve">, </w:t>
      </w:r>
      <w:r w:rsidRPr="00AF7FF3">
        <w:rPr>
          <w:spacing w:val="4"/>
        </w:rPr>
        <w:t xml:space="preserve">kredito unijos garantija arba draudimo bendrovės laidavimo raštu. </w:t>
      </w:r>
      <w:r>
        <w:rPr>
          <w:spacing w:val="4"/>
        </w:rPr>
        <w:t>G</w:t>
      </w:r>
      <w:r w:rsidRPr="00AF7FF3">
        <w:t>arantijos arba laidavimo suma negali būti mažesnė, kaip 5</w:t>
      </w:r>
      <w:r>
        <w:t>% sutarties vertės. Perkančioji organizacija panaudos sutarties įvykdymo užtikrinimą jeigu tiekėjas nevykdys ar netinkamai vykdys sutartines prievoles:</w:t>
      </w:r>
    </w:p>
    <w:p w:rsidR="000C26F7" w:rsidRDefault="000C26F7" w:rsidP="000C26F7">
      <w:pPr>
        <w:shd w:val="clear" w:color="auto" w:fill="FFFFFF"/>
        <w:tabs>
          <w:tab w:val="left" w:pos="-8364"/>
        </w:tabs>
        <w:autoSpaceDE w:val="0"/>
        <w:ind w:right="38" w:firstLine="426"/>
        <w:jc w:val="both"/>
      </w:pPr>
      <w:r>
        <w:t>4.1.1.Tiekėjo pateiktos prekės neatitiks Sutartyje numatytų reikalavimų;</w:t>
      </w:r>
    </w:p>
    <w:p w:rsidR="000C26F7" w:rsidRDefault="000C26F7" w:rsidP="000C26F7">
      <w:pPr>
        <w:shd w:val="clear" w:color="auto" w:fill="FFFFFF"/>
        <w:tabs>
          <w:tab w:val="left" w:pos="-8364"/>
        </w:tabs>
        <w:autoSpaceDE w:val="0"/>
        <w:ind w:right="38" w:firstLine="426"/>
        <w:jc w:val="both"/>
      </w:pPr>
      <w:r>
        <w:t>4.1.2. Tiekėjas pažeis Sutartyje numatytus prievolių vykdymo terminus, esant Sutarties 4.5 punkte nurodytoms sąlygoms, išskyrus tuos atvejus, jei tie terminai bus pažeisti ne dėl jo kaltės;</w:t>
      </w:r>
    </w:p>
    <w:p w:rsidR="000C26F7" w:rsidRDefault="000C26F7" w:rsidP="000C26F7">
      <w:pPr>
        <w:shd w:val="clear" w:color="auto" w:fill="FFFFFF"/>
        <w:tabs>
          <w:tab w:val="left" w:pos="-8364"/>
        </w:tabs>
        <w:autoSpaceDE w:val="0"/>
        <w:ind w:right="38" w:firstLine="426"/>
        <w:jc w:val="both"/>
      </w:pPr>
      <w:r>
        <w:t>4.1.3. Tiekėjas neteisėtai atsisakys vykdyti savo sutartinius įsipareigojimus;</w:t>
      </w:r>
    </w:p>
    <w:p w:rsidR="000C26F7" w:rsidRDefault="000C26F7" w:rsidP="000C26F7">
      <w:pPr>
        <w:shd w:val="clear" w:color="auto" w:fill="FFFFFF"/>
        <w:tabs>
          <w:tab w:val="left" w:pos="-8364"/>
        </w:tabs>
        <w:autoSpaceDE w:val="0"/>
        <w:ind w:right="38" w:firstLine="426"/>
        <w:jc w:val="both"/>
      </w:pPr>
      <w:r>
        <w:t>4.2</w:t>
      </w:r>
      <w:r w:rsidRPr="00790A6F">
        <w:t>. Neatlikus apmokėjimo nustatytais terminais, Tiekėjo pareikalavimu Pirkėjas privalo sumokėti Tiekė</w:t>
      </w:r>
      <w:r>
        <w:t>jui už kiekvieną uždelstą dieną</w:t>
      </w:r>
      <w:r w:rsidRPr="00790A6F">
        <w:t xml:space="preserve"> </w:t>
      </w:r>
      <w:r w:rsidRPr="00790A6F">
        <w:rPr>
          <w:iCs/>
        </w:rPr>
        <w:t>0,0</w:t>
      </w:r>
      <w:r>
        <w:rPr>
          <w:iCs/>
        </w:rPr>
        <w:t>4</w:t>
      </w:r>
      <w:r w:rsidRPr="00790A6F">
        <w:rPr>
          <w:iCs/>
        </w:rPr>
        <w:t xml:space="preserve"> </w:t>
      </w:r>
      <w:r>
        <w:t>%</w:t>
      </w:r>
      <w:r w:rsidRPr="00790A6F">
        <w:t xml:space="preserve"> delspini</w:t>
      </w:r>
      <w:r>
        <w:t>gių nuo laiku neapmokėtos sumos.</w:t>
      </w:r>
      <w:r w:rsidRPr="00790A6F">
        <w:t xml:space="preserve"> </w:t>
      </w:r>
    </w:p>
    <w:p w:rsidR="000C26F7" w:rsidRPr="00790A6F" w:rsidRDefault="000C26F7" w:rsidP="000C26F7">
      <w:pPr>
        <w:shd w:val="clear" w:color="auto" w:fill="FFFFFF"/>
        <w:tabs>
          <w:tab w:val="left" w:pos="-8364"/>
        </w:tabs>
        <w:autoSpaceDE w:val="0"/>
        <w:ind w:right="38" w:firstLine="426"/>
        <w:jc w:val="both"/>
      </w:pPr>
      <w:r>
        <w:t>4.3</w:t>
      </w:r>
      <w:r w:rsidRPr="00790A6F">
        <w:t xml:space="preserve">. Jei Tiekėjas dėl savo kaltės nepristato Prekių nustatytu terminu, Pirkėjas turi teisę be oficialaus įspėjimo ir nesumažindamas kitų savo teisių gynimo būdų pradėti skaičiuoti </w:t>
      </w:r>
      <w:r>
        <w:t>0,04</w:t>
      </w:r>
      <w:r w:rsidRPr="00790A6F">
        <w:t xml:space="preserve"> % dydžio delspinigius nuo laiku nepatiektų Prekių kainos už kiekvieną termino praleidimo dieną, neviršijant </w:t>
      </w:r>
      <w:r>
        <w:t>5</w:t>
      </w:r>
      <w:r w:rsidRPr="00790A6F">
        <w:t xml:space="preserve"> % bendros Sutarties kainos.</w:t>
      </w:r>
    </w:p>
    <w:p w:rsidR="000C26F7" w:rsidRPr="00790A6F" w:rsidRDefault="000C26F7" w:rsidP="000C26F7">
      <w:pPr>
        <w:shd w:val="clear" w:color="auto" w:fill="FFFFFF"/>
        <w:tabs>
          <w:tab w:val="left" w:pos="-8364"/>
        </w:tabs>
        <w:autoSpaceDE w:val="0"/>
        <w:ind w:right="38" w:firstLine="426"/>
        <w:jc w:val="both"/>
      </w:pPr>
      <w:r>
        <w:t>4.4</w:t>
      </w:r>
      <w:r w:rsidRPr="00790A6F">
        <w:t xml:space="preserve">. Jei apskaičiuoti delspinigiai viršija </w:t>
      </w:r>
      <w:r>
        <w:t xml:space="preserve">2 </w:t>
      </w:r>
      <w:r w:rsidRPr="00790A6F">
        <w:t>%</w:t>
      </w:r>
      <w:r w:rsidRPr="00790A6F">
        <w:rPr>
          <w:i/>
        </w:rPr>
        <w:t xml:space="preserve"> </w:t>
      </w:r>
      <w:r w:rsidRPr="00790A6F">
        <w:t>bendros Sutarties</w:t>
      </w:r>
      <w:r w:rsidRPr="00790A6F">
        <w:rPr>
          <w:i/>
        </w:rPr>
        <w:t xml:space="preserve"> </w:t>
      </w:r>
      <w:r w:rsidRPr="00790A6F">
        <w:t>kainos, Pirkėjas gali, prieš tai raštu įspėjęs Tiekėją:</w:t>
      </w:r>
    </w:p>
    <w:p w:rsidR="000C26F7" w:rsidRPr="00790A6F" w:rsidRDefault="000C26F7" w:rsidP="000C26F7">
      <w:pPr>
        <w:shd w:val="clear" w:color="auto" w:fill="FFFFFF"/>
        <w:tabs>
          <w:tab w:val="left" w:pos="-8364"/>
        </w:tabs>
        <w:autoSpaceDE w:val="0"/>
        <w:ind w:right="38" w:firstLine="426"/>
        <w:jc w:val="both"/>
      </w:pPr>
      <w:r>
        <w:t>4.4</w:t>
      </w:r>
      <w:r w:rsidRPr="00790A6F">
        <w:t>.1. išskaičiuoti delspinigių sumą iš Tiekėjui mokėtinų sumų;</w:t>
      </w:r>
    </w:p>
    <w:p w:rsidR="000C26F7" w:rsidRPr="00790A6F" w:rsidRDefault="000C26F7" w:rsidP="000C26F7">
      <w:pPr>
        <w:shd w:val="clear" w:color="auto" w:fill="FFFFFF"/>
        <w:tabs>
          <w:tab w:val="left" w:pos="-8364"/>
        </w:tabs>
        <w:autoSpaceDE w:val="0"/>
        <w:ind w:right="38" w:firstLine="426"/>
        <w:jc w:val="both"/>
      </w:pPr>
      <w:r>
        <w:t>4.4</w:t>
      </w:r>
      <w:r w:rsidRPr="00790A6F">
        <w:t>.2. pasinaudoti Sutarties įvykdymo užtikrinimu;</w:t>
      </w:r>
    </w:p>
    <w:p w:rsidR="000C26F7" w:rsidRPr="00790A6F" w:rsidRDefault="000C26F7" w:rsidP="000C26F7">
      <w:pPr>
        <w:shd w:val="clear" w:color="auto" w:fill="FFFFFF"/>
        <w:tabs>
          <w:tab w:val="left" w:pos="-8364"/>
        </w:tabs>
        <w:autoSpaceDE w:val="0"/>
        <w:ind w:right="38" w:firstLine="426"/>
        <w:jc w:val="both"/>
      </w:pPr>
      <w:r>
        <w:t>4.4</w:t>
      </w:r>
      <w:r w:rsidRPr="00790A6F">
        <w:t>.3. nutraukti Sutartį.</w:t>
      </w:r>
    </w:p>
    <w:p w:rsidR="000C26F7" w:rsidRPr="0067067F" w:rsidRDefault="000C26F7" w:rsidP="000C26F7">
      <w:pPr>
        <w:jc w:val="both"/>
      </w:pPr>
    </w:p>
    <w:p w:rsidR="000C26F7" w:rsidRPr="0067067F" w:rsidRDefault="000C26F7" w:rsidP="000C26F7">
      <w:pPr>
        <w:keepNext/>
        <w:jc w:val="center"/>
        <w:outlineLvl w:val="0"/>
        <w:rPr>
          <w:b/>
          <w:bCs/>
        </w:rPr>
      </w:pPr>
      <w:r w:rsidRPr="0067067F">
        <w:rPr>
          <w:b/>
          <w:bCs/>
        </w:rPr>
        <w:t>5. Susirašinėjimas</w:t>
      </w:r>
    </w:p>
    <w:p w:rsidR="000C26F7" w:rsidRPr="0067067F" w:rsidRDefault="000C26F7" w:rsidP="000C26F7">
      <w:pPr>
        <w:keepNext/>
        <w:jc w:val="center"/>
        <w:outlineLvl w:val="0"/>
        <w:rPr>
          <w:b/>
          <w:bCs/>
        </w:rPr>
      </w:pPr>
    </w:p>
    <w:p w:rsidR="000C26F7" w:rsidRPr="0067067F" w:rsidRDefault="000C26F7" w:rsidP="000C26F7">
      <w:pPr>
        <w:pStyle w:val="Pagrindinistekstas"/>
        <w:ind w:firstLine="567"/>
        <w:jc w:val="both"/>
        <w:rPr>
          <w:b/>
          <w:bCs/>
          <w:noProof w:val="0"/>
          <w:color w:val="auto"/>
          <w:sz w:val="24"/>
          <w:szCs w:val="24"/>
        </w:rPr>
      </w:pPr>
      <w:r w:rsidRPr="0067067F">
        <w:rPr>
          <w:noProof w:val="0"/>
          <w:color w:val="auto"/>
          <w:sz w:val="24"/>
          <w:szCs w:val="24"/>
        </w:rPr>
        <w:t>5.1.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pPr w:leftFromText="180" w:rightFromText="180" w:vertAnchor="text" w:horzAnchor="page" w:tblpX="2494" w:tblpY="272"/>
        <w:tblW w:w="8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3254"/>
        <w:gridCol w:w="2321"/>
      </w:tblGrid>
      <w:tr w:rsidR="000C26F7" w:rsidRPr="0067067F" w:rsidTr="007D130F">
        <w:tc>
          <w:tcPr>
            <w:tcW w:w="2808" w:type="dxa"/>
            <w:tcBorders>
              <w:top w:val="single" w:sz="4" w:space="0" w:color="auto"/>
              <w:left w:val="single" w:sz="4" w:space="0" w:color="auto"/>
              <w:bottom w:val="single" w:sz="4" w:space="0" w:color="auto"/>
              <w:right w:val="single" w:sz="4" w:space="0" w:color="auto"/>
            </w:tcBorders>
          </w:tcPr>
          <w:p w:rsidR="000C26F7" w:rsidRPr="0067067F" w:rsidRDefault="000C26F7" w:rsidP="003B6B04">
            <w:pPr>
              <w:jc w:val="both"/>
            </w:pPr>
          </w:p>
        </w:tc>
        <w:tc>
          <w:tcPr>
            <w:tcW w:w="3254" w:type="dxa"/>
            <w:tcBorders>
              <w:top w:val="single" w:sz="4" w:space="0" w:color="auto"/>
              <w:left w:val="single" w:sz="4" w:space="0" w:color="auto"/>
              <w:bottom w:val="single" w:sz="4" w:space="0" w:color="auto"/>
              <w:right w:val="single" w:sz="4" w:space="0" w:color="auto"/>
            </w:tcBorders>
          </w:tcPr>
          <w:p w:rsidR="000C26F7" w:rsidRPr="0067067F" w:rsidRDefault="000C26F7" w:rsidP="003B6B04">
            <w:pPr>
              <w:jc w:val="both"/>
            </w:pPr>
            <w:r w:rsidRPr="0067067F">
              <w:t>Pirkėjas</w:t>
            </w:r>
          </w:p>
        </w:tc>
        <w:tc>
          <w:tcPr>
            <w:tcW w:w="2321" w:type="dxa"/>
            <w:tcBorders>
              <w:top w:val="single" w:sz="4" w:space="0" w:color="auto"/>
              <w:left w:val="single" w:sz="4" w:space="0" w:color="auto"/>
              <w:bottom w:val="single" w:sz="4" w:space="0" w:color="auto"/>
              <w:right w:val="single" w:sz="4" w:space="0" w:color="auto"/>
            </w:tcBorders>
          </w:tcPr>
          <w:p w:rsidR="000C26F7" w:rsidRPr="0067067F" w:rsidRDefault="000C26F7" w:rsidP="003B6B04">
            <w:pPr>
              <w:jc w:val="both"/>
            </w:pPr>
            <w:r w:rsidRPr="0067067F">
              <w:t>Tiekėjas</w:t>
            </w:r>
          </w:p>
        </w:tc>
      </w:tr>
      <w:tr w:rsidR="000C26F7" w:rsidRPr="0067067F" w:rsidTr="007D130F">
        <w:tc>
          <w:tcPr>
            <w:tcW w:w="2808" w:type="dxa"/>
            <w:tcBorders>
              <w:top w:val="single" w:sz="4" w:space="0" w:color="auto"/>
              <w:left w:val="single" w:sz="4" w:space="0" w:color="auto"/>
              <w:bottom w:val="single" w:sz="4" w:space="0" w:color="auto"/>
              <w:right w:val="single" w:sz="4" w:space="0" w:color="auto"/>
            </w:tcBorders>
          </w:tcPr>
          <w:p w:rsidR="000C26F7" w:rsidRPr="0067067F" w:rsidRDefault="000C26F7" w:rsidP="003B6B04">
            <w:pPr>
              <w:jc w:val="both"/>
            </w:pPr>
            <w:r w:rsidRPr="0067067F">
              <w:t>Vardas, pavardė</w:t>
            </w:r>
          </w:p>
        </w:tc>
        <w:tc>
          <w:tcPr>
            <w:tcW w:w="3254" w:type="dxa"/>
            <w:tcBorders>
              <w:top w:val="single" w:sz="4" w:space="0" w:color="auto"/>
              <w:left w:val="single" w:sz="4" w:space="0" w:color="auto"/>
              <w:bottom w:val="single" w:sz="4" w:space="0" w:color="auto"/>
              <w:right w:val="single" w:sz="4" w:space="0" w:color="auto"/>
            </w:tcBorders>
          </w:tcPr>
          <w:p w:rsidR="000C26F7" w:rsidRPr="0067067F" w:rsidRDefault="007D130F" w:rsidP="003B6B04">
            <w:pPr>
              <w:jc w:val="both"/>
            </w:pPr>
            <w:r>
              <w:t xml:space="preserve">R. </w:t>
            </w:r>
            <w:proofErr w:type="spellStart"/>
            <w:r>
              <w:t>Kizlaitis</w:t>
            </w:r>
            <w:proofErr w:type="spellEnd"/>
          </w:p>
        </w:tc>
        <w:tc>
          <w:tcPr>
            <w:tcW w:w="2321" w:type="dxa"/>
            <w:tcBorders>
              <w:top w:val="single" w:sz="4" w:space="0" w:color="auto"/>
              <w:left w:val="single" w:sz="4" w:space="0" w:color="auto"/>
              <w:bottom w:val="single" w:sz="4" w:space="0" w:color="auto"/>
              <w:right w:val="single" w:sz="4" w:space="0" w:color="auto"/>
            </w:tcBorders>
          </w:tcPr>
          <w:p w:rsidR="000C26F7" w:rsidRPr="0067067F" w:rsidRDefault="000C26F7" w:rsidP="003B6B04">
            <w:pPr>
              <w:jc w:val="both"/>
            </w:pPr>
          </w:p>
        </w:tc>
      </w:tr>
      <w:tr w:rsidR="000C26F7" w:rsidRPr="0067067F" w:rsidTr="007D130F">
        <w:tc>
          <w:tcPr>
            <w:tcW w:w="2808" w:type="dxa"/>
            <w:tcBorders>
              <w:top w:val="single" w:sz="4" w:space="0" w:color="auto"/>
              <w:left w:val="single" w:sz="4" w:space="0" w:color="auto"/>
              <w:bottom w:val="single" w:sz="4" w:space="0" w:color="auto"/>
              <w:right w:val="single" w:sz="4" w:space="0" w:color="auto"/>
            </w:tcBorders>
          </w:tcPr>
          <w:p w:rsidR="000C26F7" w:rsidRPr="0067067F" w:rsidRDefault="000C26F7" w:rsidP="003B6B04">
            <w:pPr>
              <w:jc w:val="both"/>
            </w:pPr>
            <w:r w:rsidRPr="0067067F">
              <w:t>Adresas</w:t>
            </w:r>
          </w:p>
        </w:tc>
        <w:tc>
          <w:tcPr>
            <w:tcW w:w="3254" w:type="dxa"/>
            <w:tcBorders>
              <w:top w:val="single" w:sz="4" w:space="0" w:color="auto"/>
              <w:left w:val="single" w:sz="4" w:space="0" w:color="auto"/>
              <w:bottom w:val="single" w:sz="4" w:space="0" w:color="auto"/>
              <w:right w:val="single" w:sz="4" w:space="0" w:color="auto"/>
            </w:tcBorders>
          </w:tcPr>
          <w:p w:rsidR="000C26F7" w:rsidRPr="0067067F" w:rsidRDefault="000C26F7" w:rsidP="003B6B04">
            <w:pPr>
              <w:jc w:val="both"/>
            </w:pPr>
            <w:r w:rsidRPr="0067067F">
              <w:t>Santariškių g. 2, Vilnius</w:t>
            </w:r>
          </w:p>
        </w:tc>
        <w:tc>
          <w:tcPr>
            <w:tcW w:w="2321" w:type="dxa"/>
            <w:tcBorders>
              <w:top w:val="single" w:sz="4" w:space="0" w:color="auto"/>
              <w:left w:val="single" w:sz="4" w:space="0" w:color="auto"/>
              <w:bottom w:val="single" w:sz="4" w:space="0" w:color="auto"/>
              <w:right w:val="single" w:sz="4" w:space="0" w:color="auto"/>
            </w:tcBorders>
          </w:tcPr>
          <w:p w:rsidR="000C26F7" w:rsidRPr="0067067F" w:rsidRDefault="000C26F7" w:rsidP="003B6B04">
            <w:pPr>
              <w:jc w:val="both"/>
            </w:pPr>
          </w:p>
        </w:tc>
      </w:tr>
      <w:tr w:rsidR="000C26F7" w:rsidRPr="0067067F" w:rsidTr="007D130F">
        <w:tc>
          <w:tcPr>
            <w:tcW w:w="2808" w:type="dxa"/>
            <w:tcBorders>
              <w:top w:val="single" w:sz="4" w:space="0" w:color="auto"/>
              <w:left w:val="single" w:sz="4" w:space="0" w:color="auto"/>
              <w:bottom w:val="single" w:sz="4" w:space="0" w:color="auto"/>
              <w:right w:val="single" w:sz="4" w:space="0" w:color="auto"/>
            </w:tcBorders>
          </w:tcPr>
          <w:p w:rsidR="000C26F7" w:rsidRPr="0067067F" w:rsidRDefault="000C26F7" w:rsidP="003B6B04">
            <w:pPr>
              <w:jc w:val="both"/>
            </w:pPr>
            <w:r w:rsidRPr="0067067F">
              <w:lastRenderedPageBreak/>
              <w:t>Telefonas</w:t>
            </w:r>
          </w:p>
        </w:tc>
        <w:tc>
          <w:tcPr>
            <w:tcW w:w="3254" w:type="dxa"/>
            <w:tcBorders>
              <w:top w:val="single" w:sz="4" w:space="0" w:color="auto"/>
              <w:left w:val="single" w:sz="4" w:space="0" w:color="auto"/>
              <w:bottom w:val="single" w:sz="4" w:space="0" w:color="auto"/>
              <w:right w:val="single" w:sz="4" w:space="0" w:color="auto"/>
            </w:tcBorders>
          </w:tcPr>
          <w:p w:rsidR="000C26F7" w:rsidRPr="0067067F" w:rsidRDefault="000C26F7" w:rsidP="003B6B04">
            <w:pPr>
              <w:jc w:val="both"/>
            </w:pPr>
            <w:r w:rsidRPr="0067067F">
              <w:t>85 2365000</w:t>
            </w:r>
          </w:p>
        </w:tc>
        <w:tc>
          <w:tcPr>
            <w:tcW w:w="2321" w:type="dxa"/>
            <w:tcBorders>
              <w:top w:val="single" w:sz="4" w:space="0" w:color="auto"/>
              <w:left w:val="single" w:sz="4" w:space="0" w:color="auto"/>
              <w:bottom w:val="single" w:sz="4" w:space="0" w:color="auto"/>
              <w:right w:val="single" w:sz="4" w:space="0" w:color="auto"/>
            </w:tcBorders>
          </w:tcPr>
          <w:p w:rsidR="000C26F7" w:rsidRPr="0067067F" w:rsidRDefault="000C26F7" w:rsidP="003B6B04">
            <w:pPr>
              <w:jc w:val="both"/>
            </w:pPr>
          </w:p>
        </w:tc>
      </w:tr>
      <w:tr w:rsidR="000C26F7" w:rsidRPr="0067067F" w:rsidTr="007D130F">
        <w:tc>
          <w:tcPr>
            <w:tcW w:w="2808" w:type="dxa"/>
            <w:tcBorders>
              <w:top w:val="single" w:sz="4" w:space="0" w:color="auto"/>
              <w:left w:val="single" w:sz="4" w:space="0" w:color="auto"/>
              <w:bottom w:val="single" w:sz="4" w:space="0" w:color="auto"/>
              <w:right w:val="single" w:sz="4" w:space="0" w:color="auto"/>
            </w:tcBorders>
          </w:tcPr>
          <w:p w:rsidR="000C26F7" w:rsidRPr="0067067F" w:rsidRDefault="000C26F7" w:rsidP="003B6B04">
            <w:pPr>
              <w:jc w:val="both"/>
            </w:pPr>
            <w:r w:rsidRPr="0067067F">
              <w:t>Faksas</w:t>
            </w:r>
          </w:p>
        </w:tc>
        <w:tc>
          <w:tcPr>
            <w:tcW w:w="3254" w:type="dxa"/>
            <w:tcBorders>
              <w:top w:val="single" w:sz="4" w:space="0" w:color="auto"/>
              <w:left w:val="single" w:sz="4" w:space="0" w:color="auto"/>
              <w:bottom w:val="single" w:sz="4" w:space="0" w:color="auto"/>
              <w:right w:val="single" w:sz="4" w:space="0" w:color="auto"/>
            </w:tcBorders>
          </w:tcPr>
          <w:p w:rsidR="000C26F7" w:rsidRPr="0067067F" w:rsidRDefault="000C26F7" w:rsidP="003B6B04">
            <w:pPr>
              <w:jc w:val="both"/>
            </w:pPr>
            <w:r w:rsidRPr="0067067F">
              <w:t>85 2365111</w:t>
            </w:r>
          </w:p>
        </w:tc>
        <w:tc>
          <w:tcPr>
            <w:tcW w:w="2321" w:type="dxa"/>
            <w:tcBorders>
              <w:top w:val="single" w:sz="4" w:space="0" w:color="auto"/>
              <w:left w:val="single" w:sz="4" w:space="0" w:color="auto"/>
              <w:bottom w:val="single" w:sz="4" w:space="0" w:color="auto"/>
              <w:right w:val="single" w:sz="4" w:space="0" w:color="auto"/>
            </w:tcBorders>
          </w:tcPr>
          <w:p w:rsidR="000C26F7" w:rsidRPr="0067067F" w:rsidRDefault="000C26F7" w:rsidP="003B6B04">
            <w:pPr>
              <w:jc w:val="both"/>
            </w:pPr>
          </w:p>
        </w:tc>
      </w:tr>
      <w:tr w:rsidR="000C26F7" w:rsidRPr="0067067F" w:rsidTr="007D130F">
        <w:tc>
          <w:tcPr>
            <w:tcW w:w="2808" w:type="dxa"/>
            <w:tcBorders>
              <w:top w:val="single" w:sz="4" w:space="0" w:color="auto"/>
              <w:left w:val="single" w:sz="4" w:space="0" w:color="auto"/>
              <w:bottom w:val="single" w:sz="4" w:space="0" w:color="auto"/>
              <w:right w:val="single" w:sz="4" w:space="0" w:color="auto"/>
            </w:tcBorders>
          </w:tcPr>
          <w:p w:rsidR="000C26F7" w:rsidRPr="0067067F" w:rsidRDefault="000C26F7" w:rsidP="003B6B04">
            <w:pPr>
              <w:jc w:val="both"/>
            </w:pPr>
            <w:r w:rsidRPr="0067067F">
              <w:t>El. paštas</w:t>
            </w:r>
          </w:p>
        </w:tc>
        <w:tc>
          <w:tcPr>
            <w:tcW w:w="3254" w:type="dxa"/>
            <w:tcBorders>
              <w:top w:val="single" w:sz="4" w:space="0" w:color="auto"/>
              <w:left w:val="single" w:sz="4" w:space="0" w:color="auto"/>
              <w:bottom w:val="single" w:sz="4" w:space="0" w:color="auto"/>
              <w:right w:val="single" w:sz="4" w:space="0" w:color="auto"/>
            </w:tcBorders>
          </w:tcPr>
          <w:p w:rsidR="007D130F" w:rsidRPr="0067067F" w:rsidRDefault="0005751C" w:rsidP="007D130F">
            <w:pPr>
              <w:jc w:val="both"/>
            </w:pPr>
            <w:hyperlink r:id="rId7" w:history="1">
              <w:r w:rsidR="007D130F" w:rsidRPr="00EF51DA">
                <w:rPr>
                  <w:rStyle w:val="Hipersaitas"/>
                </w:rPr>
                <w:t>Romualdas.kizlaitis@santa.lt</w:t>
              </w:r>
            </w:hyperlink>
          </w:p>
        </w:tc>
        <w:tc>
          <w:tcPr>
            <w:tcW w:w="2321" w:type="dxa"/>
            <w:tcBorders>
              <w:top w:val="single" w:sz="4" w:space="0" w:color="auto"/>
              <w:left w:val="single" w:sz="4" w:space="0" w:color="auto"/>
              <w:bottom w:val="single" w:sz="4" w:space="0" w:color="auto"/>
              <w:right w:val="single" w:sz="4" w:space="0" w:color="auto"/>
            </w:tcBorders>
          </w:tcPr>
          <w:p w:rsidR="000C26F7" w:rsidRPr="0067067F" w:rsidRDefault="000C26F7" w:rsidP="003B6B04">
            <w:pPr>
              <w:jc w:val="both"/>
            </w:pPr>
          </w:p>
        </w:tc>
      </w:tr>
    </w:tbl>
    <w:p w:rsidR="000C26F7" w:rsidRPr="0067067F" w:rsidRDefault="000C26F7" w:rsidP="000C26F7">
      <w:pPr>
        <w:pStyle w:val="Pagrindinistekstas"/>
        <w:ind w:firstLine="720"/>
        <w:jc w:val="both"/>
        <w:rPr>
          <w:noProof w:val="0"/>
          <w:color w:val="auto"/>
          <w:sz w:val="24"/>
          <w:szCs w:val="24"/>
        </w:rPr>
      </w:pPr>
    </w:p>
    <w:p w:rsidR="000C26F7" w:rsidRPr="0067067F" w:rsidRDefault="000C26F7" w:rsidP="000C26F7">
      <w:pPr>
        <w:jc w:val="both"/>
      </w:pPr>
    </w:p>
    <w:p w:rsidR="000C26F7" w:rsidRPr="0067067F" w:rsidRDefault="000C26F7" w:rsidP="000C26F7">
      <w:pPr>
        <w:pStyle w:val="Pagrindinistekstas"/>
        <w:ind w:firstLine="567"/>
        <w:jc w:val="both"/>
        <w:rPr>
          <w:b/>
          <w:bCs/>
          <w:noProof w:val="0"/>
          <w:color w:val="auto"/>
          <w:sz w:val="24"/>
          <w:szCs w:val="24"/>
        </w:rPr>
      </w:pPr>
      <w:r w:rsidRPr="0067067F">
        <w:rPr>
          <w:noProof w:val="0"/>
          <w:color w:val="auto"/>
          <w:sz w:val="24"/>
          <w:szCs w:val="24"/>
        </w:rPr>
        <w:t>5.2. Jei pasikeičia Šalies adresas ir (ar) kiti duomenys, tokia Šalis turi informuoti kitą Šalį pranešdama ne vėliau, kaip per  5 (penkias)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rsidR="000C26F7" w:rsidRDefault="000C26F7" w:rsidP="000C26F7">
      <w:pPr>
        <w:keepNext/>
        <w:jc w:val="center"/>
        <w:outlineLvl w:val="0"/>
        <w:rPr>
          <w:b/>
          <w:bCs/>
        </w:rPr>
      </w:pPr>
      <w:r w:rsidRPr="0067067F">
        <w:rPr>
          <w:b/>
          <w:bCs/>
        </w:rPr>
        <w:t>6. Kitos nuostatos</w:t>
      </w:r>
    </w:p>
    <w:p w:rsidR="000C26F7" w:rsidRPr="0067067F" w:rsidRDefault="000C26F7" w:rsidP="000C26F7">
      <w:pPr>
        <w:keepNext/>
        <w:jc w:val="center"/>
        <w:outlineLvl w:val="0"/>
        <w:rPr>
          <w:b/>
          <w:bCs/>
        </w:rPr>
      </w:pPr>
    </w:p>
    <w:p w:rsidR="000C26F7" w:rsidRPr="008C12E4" w:rsidRDefault="000C26F7" w:rsidP="000C26F7">
      <w:pPr>
        <w:tabs>
          <w:tab w:val="left" w:pos="0"/>
        </w:tabs>
        <w:ind w:firstLine="567"/>
        <w:jc w:val="both"/>
      </w:pPr>
      <w:r>
        <w:rPr>
          <w:sz w:val="22"/>
          <w:szCs w:val="22"/>
        </w:rPr>
        <w:t xml:space="preserve">6.1. </w:t>
      </w:r>
      <w:r w:rsidRPr="008C12E4">
        <w:t>Šalių tarpusavio prieštaravimai ir nesutarimai sprendžiami derybomis. Prieštaravimai ir nesutarimai, kurių nepavyksta išspręsti derybomis, sprendžiami Lietuvos Respublikos teisės aktų nustatyta tvarka Lietuvos Respublikos teismuose.</w:t>
      </w:r>
    </w:p>
    <w:p w:rsidR="000C26F7" w:rsidRPr="008C12E4" w:rsidRDefault="000C26F7" w:rsidP="000C26F7">
      <w:pPr>
        <w:tabs>
          <w:tab w:val="left" w:pos="426"/>
        </w:tabs>
        <w:ind w:left="567" w:hanging="567"/>
        <w:jc w:val="both"/>
      </w:pPr>
      <w:r>
        <w:t xml:space="preserve">         6.2. P</w:t>
      </w:r>
      <w:r w:rsidRPr="008C12E4">
        <w:t xml:space="preserve">irkimo sutarties sąlygos pirkimo sutarties galiojimo laikotarpiu negali būti keičiamos, išskyrus tokias pirkimo sutarties sąlygas, kurias pakeitus nebūtų pažeisti Viešųjų pirkimų įstatymo 3 straipsnyje nustatyti principai bei tikslai ir tokiems pirkimo sutarties sąlygų pakeitimams yra gautas Viešųjų pirkimų tarnybos sutikimas. </w:t>
      </w:r>
    </w:p>
    <w:p w:rsidR="000C26F7" w:rsidRPr="008C12E4" w:rsidRDefault="000C26F7" w:rsidP="000C26F7">
      <w:pPr>
        <w:ind w:firstLine="567"/>
        <w:jc w:val="both"/>
      </w:pPr>
      <w:r w:rsidRPr="008C12E4">
        <w:t>6.</w:t>
      </w:r>
      <w:r>
        <w:t>3</w:t>
      </w:r>
      <w:r w:rsidRPr="008C12E4">
        <w:t xml:space="preserve">. Ši Sutartis sudaryta lietuvių kalba, 2 (dviem) egzemplioriais, turinčiais vienodą teisinę galią – po vieną kiekvienai Šaliai. </w:t>
      </w:r>
    </w:p>
    <w:p w:rsidR="000C26F7" w:rsidRPr="008C12E4" w:rsidRDefault="000C26F7" w:rsidP="000C26F7">
      <w:pPr>
        <w:pStyle w:val="Pagrindinistekstas"/>
        <w:ind w:firstLine="567"/>
        <w:jc w:val="both"/>
        <w:rPr>
          <w:b/>
          <w:bCs/>
          <w:noProof w:val="0"/>
          <w:color w:val="auto"/>
          <w:sz w:val="24"/>
          <w:szCs w:val="24"/>
        </w:rPr>
      </w:pPr>
      <w:r w:rsidRPr="008C12E4">
        <w:rPr>
          <w:noProof w:val="0"/>
          <w:color w:val="auto"/>
          <w:sz w:val="24"/>
          <w:szCs w:val="24"/>
        </w:rPr>
        <w:t>6.</w:t>
      </w:r>
      <w:r>
        <w:rPr>
          <w:noProof w:val="0"/>
          <w:color w:val="auto"/>
          <w:sz w:val="24"/>
          <w:szCs w:val="24"/>
        </w:rPr>
        <w:t>4</w:t>
      </w:r>
      <w:r w:rsidRPr="008C12E4">
        <w:rPr>
          <w:noProof w:val="0"/>
          <w:color w:val="auto"/>
          <w:sz w:val="24"/>
          <w:szCs w:val="24"/>
        </w:rPr>
        <w:t>. Šiuo Šalys patvirtina, kad Sutartį perskaitė, suprato jos turinį ir pasekmes, priėmė ją kaip atitinkančią jų tikslus ir pasirašė pirmiau  nurodyta data.</w:t>
      </w:r>
    </w:p>
    <w:p w:rsidR="000C26F7" w:rsidRPr="008C12E4" w:rsidRDefault="000C26F7" w:rsidP="000C26F7">
      <w:pPr>
        <w:pStyle w:val="Pagrindinistekstas"/>
        <w:ind w:firstLine="567"/>
        <w:jc w:val="both"/>
        <w:rPr>
          <w:b/>
          <w:bCs/>
          <w:noProof w:val="0"/>
          <w:color w:val="auto"/>
          <w:sz w:val="24"/>
          <w:szCs w:val="24"/>
        </w:rPr>
      </w:pPr>
      <w:r w:rsidRPr="008C12E4">
        <w:rPr>
          <w:noProof w:val="0"/>
          <w:color w:val="auto"/>
          <w:sz w:val="24"/>
          <w:szCs w:val="24"/>
        </w:rPr>
        <w:t>6.</w:t>
      </w:r>
      <w:r>
        <w:rPr>
          <w:noProof w:val="0"/>
          <w:color w:val="auto"/>
          <w:sz w:val="24"/>
          <w:szCs w:val="24"/>
        </w:rPr>
        <w:t>5</w:t>
      </w:r>
      <w:r w:rsidRPr="008C12E4">
        <w:rPr>
          <w:noProof w:val="0"/>
          <w:color w:val="auto"/>
          <w:sz w:val="24"/>
          <w:szCs w:val="24"/>
        </w:rPr>
        <w:t>. Sutarties specialiųjų sąlygų priedai:</w:t>
      </w:r>
    </w:p>
    <w:p w:rsidR="000C26F7" w:rsidRPr="008C12E4" w:rsidRDefault="000C26F7" w:rsidP="000C26F7">
      <w:pPr>
        <w:pStyle w:val="Pagrindinistekstas"/>
        <w:ind w:firstLine="567"/>
        <w:jc w:val="both"/>
        <w:rPr>
          <w:b/>
          <w:bCs/>
          <w:noProof w:val="0"/>
          <w:color w:val="auto"/>
          <w:sz w:val="24"/>
          <w:szCs w:val="24"/>
        </w:rPr>
      </w:pPr>
      <w:r w:rsidRPr="008C12E4">
        <w:rPr>
          <w:noProof w:val="0"/>
          <w:color w:val="auto"/>
          <w:sz w:val="24"/>
          <w:szCs w:val="24"/>
        </w:rPr>
        <w:t>6.</w:t>
      </w:r>
      <w:r>
        <w:rPr>
          <w:noProof w:val="0"/>
          <w:color w:val="auto"/>
          <w:sz w:val="24"/>
          <w:szCs w:val="24"/>
        </w:rPr>
        <w:t>5</w:t>
      </w:r>
      <w:r w:rsidRPr="008C12E4">
        <w:rPr>
          <w:noProof w:val="0"/>
          <w:color w:val="auto"/>
          <w:sz w:val="24"/>
          <w:szCs w:val="24"/>
        </w:rPr>
        <w:t>.1. 1 priedas „Prekių sąrašas“;</w:t>
      </w:r>
    </w:p>
    <w:p w:rsidR="000C26F7" w:rsidRPr="008C12E4" w:rsidRDefault="000C26F7" w:rsidP="000C26F7">
      <w:pPr>
        <w:pStyle w:val="Pagrindinistekstas"/>
        <w:ind w:firstLine="567"/>
        <w:jc w:val="both"/>
        <w:rPr>
          <w:b/>
          <w:bCs/>
          <w:noProof w:val="0"/>
          <w:color w:val="auto"/>
          <w:sz w:val="24"/>
          <w:szCs w:val="24"/>
        </w:rPr>
      </w:pPr>
      <w:r w:rsidRPr="008C12E4">
        <w:rPr>
          <w:noProof w:val="0"/>
          <w:color w:val="auto"/>
          <w:sz w:val="24"/>
          <w:szCs w:val="24"/>
        </w:rPr>
        <w:t>6.</w:t>
      </w:r>
      <w:r>
        <w:rPr>
          <w:noProof w:val="0"/>
          <w:color w:val="auto"/>
          <w:sz w:val="24"/>
          <w:szCs w:val="24"/>
        </w:rPr>
        <w:t>5</w:t>
      </w:r>
      <w:r w:rsidRPr="008C12E4">
        <w:rPr>
          <w:noProof w:val="0"/>
          <w:color w:val="auto"/>
          <w:sz w:val="24"/>
          <w:szCs w:val="24"/>
        </w:rPr>
        <w:t>.2. 2 priedas „Techninė specifikacija“.</w:t>
      </w:r>
    </w:p>
    <w:p w:rsidR="000C26F7" w:rsidRPr="0067067F" w:rsidRDefault="000C26F7" w:rsidP="000C26F7"/>
    <w:tbl>
      <w:tblPr>
        <w:tblW w:w="0" w:type="auto"/>
        <w:tblLook w:val="01E0"/>
      </w:tblPr>
      <w:tblGrid>
        <w:gridCol w:w="4927"/>
        <w:gridCol w:w="4927"/>
      </w:tblGrid>
      <w:tr w:rsidR="000C26F7" w:rsidRPr="0067067F" w:rsidTr="003B6B04">
        <w:tc>
          <w:tcPr>
            <w:tcW w:w="4927" w:type="dxa"/>
          </w:tcPr>
          <w:p w:rsidR="000C26F7" w:rsidRPr="0067067F" w:rsidRDefault="000C26F7" w:rsidP="003B6B04">
            <w:pPr>
              <w:rPr>
                <w:b/>
                <w:bCs/>
              </w:rPr>
            </w:pPr>
            <w:r w:rsidRPr="0067067F">
              <w:rPr>
                <w:b/>
                <w:bCs/>
              </w:rPr>
              <w:t>Pirkėjas</w:t>
            </w:r>
          </w:p>
        </w:tc>
        <w:tc>
          <w:tcPr>
            <w:tcW w:w="4927" w:type="dxa"/>
          </w:tcPr>
          <w:p w:rsidR="000C26F7" w:rsidRPr="0067067F" w:rsidRDefault="000C26F7" w:rsidP="003B6B04">
            <w:pPr>
              <w:rPr>
                <w:b/>
                <w:bCs/>
              </w:rPr>
            </w:pPr>
            <w:r w:rsidRPr="0067067F">
              <w:rPr>
                <w:b/>
                <w:bCs/>
              </w:rPr>
              <w:t>Tiekėjas</w:t>
            </w:r>
          </w:p>
        </w:tc>
      </w:tr>
      <w:tr w:rsidR="000C26F7" w:rsidRPr="0067067F" w:rsidTr="003B6B04">
        <w:tc>
          <w:tcPr>
            <w:tcW w:w="4927" w:type="dxa"/>
          </w:tcPr>
          <w:p w:rsidR="000C26F7" w:rsidRPr="0067067F" w:rsidRDefault="000C26F7" w:rsidP="003B6B04">
            <w:pPr>
              <w:rPr>
                <w:b/>
                <w:bCs/>
              </w:rPr>
            </w:pPr>
            <w:r w:rsidRPr="0067067F">
              <w:rPr>
                <w:b/>
                <w:bCs/>
              </w:rPr>
              <w:t>V</w:t>
            </w:r>
            <w:r>
              <w:rPr>
                <w:b/>
                <w:bCs/>
              </w:rPr>
              <w:t>alstybinis mokslinių tyrimų institutas</w:t>
            </w:r>
            <w:r w:rsidRPr="0067067F">
              <w:rPr>
                <w:b/>
                <w:bCs/>
              </w:rPr>
              <w:t xml:space="preserve"> </w:t>
            </w:r>
            <w:proofErr w:type="spellStart"/>
            <w:r w:rsidRPr="0067067F">
              <w:rPr>
                <w:b/>
                <w:bCs/>
              </w:rPr>
              <w:t>Inovatyvios</w:t>
            </w:r>
            <w:proofErr w:type="spellEnd"/>
            <w:r w:rsidRPr="0067067F">
              <w:rPr>
                <w:b/>
                <w:bCs/>
              </w:rPr>
              <w:t xml:space="preserve"> medicinos centras</w:t>
            </w:r>
          </w:p>
        </w:tc>
        <w:tc>
          <w:tcPr>
            <w:tcW w:w="4927" w:type="dxa"/>
          </w:tcPr>
          <w:p w:rsidR="000C26F7" w:rsidRPr="0067067F" w:rsidRDefault="000C26F7" w:rsidP="003B6B04">
            <w:pPr>
              <w:rPr>
                <w:b/>
                <w:bCs/>
              </w:rPr>
            </w:pPr>
          </w:p>
        </w:tc>
      </w:tr>
      <w:tr w:rsidR="000C26F7" w:rsidRPr="0067067F" w:rsidTr="003B6B04">
        <w:tc>
          <w:tcPr>
            <w:tcW w:w="4927" w:type="dxa"/>
          </w:tcPr>
          <w:p w:rsidR="000C26F7" w:rsidRPr="0067067F" w:rsidRDefault="000C26F7" w:rsidP="003B6B04">
            <w:r w:rsidRPr="0067067F">
              <w:t xml:space="preserve">Žygimantų </w:t>
            </w:r>
            <w:r>
              <w:t xml:space="preserve">g. </w:t>
            </w:r>
            <w:r w:rsidRPr="0067067F">
              <w:t>9, Vilnius</w:t>
            </w:r>
          </w:p>
          <w:p w:rsidR="000C26F7" w:rsidRPr="0067067F" w:rsidRDefault="000C26F7" w:rsidP="003B6B04">
            <w:r w:rsidRPr="0067067F">
              <w:t>Kodas</w:t>
            </w:r>
            <w:r>
              <w:t xml:space="preserve"> </w:t>
            </w:r>
            <w:r w:rsidRPr="0067067F">
              <w:t>302877556</w:t>
            </w:r>
          </w:p>
          <w:p w:rsidR="000C26F7" w:rsidRPr="0067067F" w:rsidRDefault="000C26F7" w:rsidP="003B6B04">
            <w:r w:rsidRPr="0067067F">
              <w:t>A/s</w:t>
            </w:r>
          </w:p>
          <w:p w:rsidR="000C26F7" w:rsidRPr="0067067F" w:rsidRDefault="000C26F7" w:rsidP="003B6B04">
            <w:r w:rsidRPr="0067067F">
              <w:t>Direktorius</w:t>
            </w:r>
          </w:p>
          <w:p w:rsidR="000C26F7" w:rsidRPr="0067067F" w:rsidRDefault="000C26F7" w:rsidP="003B6B04">
            <w:r w:rsidRPr="0067067F">
              <w:t xml:space="preserve">Algirdas </w:t>
            </w:r>
            <w:proofErr w:type="spellStart"/>
            <w:r w:rsidRPr="0067067F">
              <w:t>Venalis</w:t>
            </w:r>
            <w:proofErr w:type="spellEnd"/>
          </w:p>
          <w:p w:rsidR="000C26F7" w:rsidRPr="0067067F" w:rsidRDefault="000C26F7" w:rsidP="003B6B04"/>
          <w:p w:rsidR="000C26F7" w:rsidRPr="0067067F" w:rsidRDefault="000C26F7" w:rsidP="003B6B04">
            <w:r w:rsidRPr="0067067F">
              <w:t>............................................... A.V.</w:t>
            </w:r>
          </w:p>
          <w:p w:rsidR="000C26F7" w:rsidRPr="0067067F" w:rsidRDefault="000C26F7" w:rsidP="003B6B04">
            <w:r w:rsidRPr="0067067F">
              <w:t>(parašas)</w:t>
            </w:r>
          </w:p>
        </w:tc>
        <w:tc>
          <w:tcPr>
            <w:tcW w:w="4927" w:type="dxa"/>
          </w:tcPr>
          <w:p w:rsidR="000C26F7" w:rsidRPr="0067067F" w:rsidRDefault="000C26F7" w:rsidP="003B6B04"/>
          <w:p w:rsidR="000C26F7" w:rsidRPr="0067067F" w:rsidRDefault="000C26F7" w:rsidP="003B6B04"/>
          <w:p w:rsidR="000C26F7" w:rsidRPr="0067067F" w:rsidRDefault="000C26F7" w:rsidP="003B6B04"/>
          <w:p w:rsidR="000C26F7" w:rsidRPr="0067067F" w:rsidRDefault="000C26F7" w:rsidP="003B6B04"/>
          <w:p w:rsidR="000C26F7" w:rsidRPr="0067067F" w:rsidRDefault="000C26F7" w:rsidP="003B6B04"/>
          <w:p w:rsidR="000C26F7" w:rsidRPr="0067067F" w:rsidRDefault="000C26F7" w:rsidP="003B6B04"/>
          <w:p w:rsidR="000C26F7" w:rsidRPr="0067067F" w:rsidRDefault="000C26F7" w:rsidP="003B6B04">
            <w:r w:rsidRPr="0067067F">
              <w:t>............................................... A.V.</w:t>
            </w:r>
          </w:p>
          <w:p w:rsidR="000C26F7" w:rsidRPr="0067067F" w:rsidRDefault="000C26F7" w:rsidP="003B6B04">
            <w:r w:rsidRPr="0067067F">
              <w:t>(parašas)</w:t>
            </w:r>
          </w:p>
        </w:tc>
      </w:tr>
    </w:tbl>
    <w:p w:rsidR="000C26F7" w:rsidRPr="0067067F" w:rsidRDefault="000C26F7" w:rsidP="000C26F7"/>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62009B" w:rsidRDefault="0062009B" w:rsidP="000C26F7">
      <w:pPr>
        <w:jc w:val="center"/>
      </w:pPr>
    </w:p>
    <w:p w:rsidR="0062009B" w:rsidRDefault="0062009B" w:rsidP="000C26F7">
      <w:pPr>
        <w:jc w:val="center"/>
      </w:pPr>
    </w:p>
    <w:p w:rsidR="000C26F7" w:rsidRPr="0067067F" w:rsidRDefault="000C26F7" w:rsidP="000C26F7">
      <w:pPr>
        <w:jc w:val="center"/>
      </w:pPr>
      <w:r w:rsidRPr="0067067F">
        <w:lastRenderedPageBreak/>
        <w:t xml:space="preserve">1 priedas </w:t>
      </w:r>
    </w:p>
    <w:p w:rsidR="000C26F7" w:rsidRPr="0067067F" w:rsidRDefault="007B2C53" w:rsidP="000C26F7">
      <w:pPr>
        <w:jc w:val="center"/>
        <w:rPr>
          <w:b/>
          <w:bCs/>
        </w:rPr>
      </w:pPr>
      <w:r>
        <w:t>prie 2015-03-18</w:t>
      </w:r>
      <w:r w:rsidR="000C26F7" w:rsidRPr="0067067F">
        <w:t xml:space="preserve">d.  viešojo pirkimo–pardavimo Sutarties </w:t>
      </w:r>
      <w:r w:rsidR="00544F70" w:rsidRPr="00A16EF8">
        <w:rPr>
          <w:b/>
        </w:rPr>
        <w:t>Nr. VPK-AK/2015/</w:t>
      </w:r>
      <w:r w:rsidR="007D130F">
        <w:rPr>
          <w:b/>
        </w:rPr>
        <w:t>8</w:t>
      </w:r>
    </w:p>
    <w:p w:rsidR="00544F70" w:rsidRDefault="00544F70" w:rsidP="000C26F7">
      <w:pPr>
        <w:pStyle w:val="Antrat1"/>
        <w:keepNext w:val="0"/>
        <w:widowControl w:val="0"/>
        <w:ind w:left="3600"/>
        <w:jc w:val="left"/>
        <w:rPr>
          <w:rFonts w:ascii="Times New Roman" w:hAnsi="Times New Roman"/>
          <w:b/>
          <w:bCs/>
          <w:sz w:val="24"/>
          <w:szCs w:val="24"/>
        </w:rPr>
      </w:pPr>
    </w:p>
    <w:p w:rsidR="000C26F7" w:rsidRPr="0067067F" w:rsidRDefault="000C26F7" w:rsidP="000C26F7">
      <w:pPr>
        <w:pStyle w:val="Antrat1"/>
        <w:keepNext w:val="0"/>
        <w:widowControl w:val="0"/>
        <w:ind w:left="3600"/>
        <w:jc w:val="left"/>
        <w:rPr>
          <w:rFonts w:ascii="Times New Roman" w:hAnsi="Times New Roman"/>
          <w:b/>
          <w:bCs/>
          <w:sz w:val="24"/>
          <w:szCs w:val="24"/>
        </w:rPr>
      </w:pPr>
      <w:r w:rsidRPr="0067067F">
        <w:rPr>
          <w:rFonts w:ascii="Times New Roman" w:hAnsi="Times New Roman"/>
          <w:b/>
          <w:bCs/>
          <w:sz w:val="24"/>
          <w:szCs w:val="24"/>
        </w:rPr>
        <w:t>PREKIŲ SĄRAŠAS</w:t>
      </w:r>
    </w:p>
    <w:p w:rsidR="000C26F7" w:rsidRPr="0067067F" w:rsidRDefault="000C26F7" w:rsidP="000C26F7"/>
    <w:p w:rsidR="000C26F7" w:rsidRPr="0067067F" w:rsidRDefault="000C26F7" w:rsidP="000C26F7"/>
    <w:tbl>
      <w:tblPr>
        <w:tblW w:w="9889" w:type="dxa"/>
        <w:tblLayout w:type="fixed"/>
        <w:tblLook w:val="0000"/>
      </w:tblPr>
      <w:tblGrid>
        <w:gridCol w:w="3085"/>
        <w:gridCol w:w="1134"/>
        <w:gridCol w:w="708"/>
        <w:gridCol w:w="1702"/>
        <w:gridCol w:w="1276"/>
        <w:gridCol w:w="1984"/>
      </w:tblGrid>
      <w:tr w:rsidR="000C26F7" w:rsidRPr="0067067F" w:rsidTr="007D130F">
        <w:trPr>
          <w:cantSplit/>
          <w:trHeight w:val="480"/>
        </w:trPr>
        <w:tc>
          <w:tcPr>
            <w:tcW w:w="3085" w:type="dxa"/>
            <w:tcBorders>
              <w:top w:val="single" w:sz="4" w:space="0" w:color="000000"/>
              <w:left w:val="single" w:sz="4" w:space="0" w:color="000000"/>
            </w:tcBorders>
            <w:vAlign w:val="center"/>
          </w:tcPr>
          <w:p w:rsidR="000C26F7" w:rsidRPr="0067067F" w:rsidRDefault="000C26F7" w:rsidP="003B6B04">
            <w:pPr>
              <w:snapToGrid w:val="0"/>
              <w:jc w:val="center"/>
              <w:rPr>
                <w:b/>
                <w:bCs/>
              </w:rPr>
            </w:pPr>
            <w:r w:rsidRPr="0067067F">
              <w:rPr>
                <w:b/>
                <w:bCs/>
              </w:rPr>
              <w:t xml:space="preserve">Prekės pavadinimas, gamintojas, </w:t>
            </w:r>
            <w:proofErr w:type="spellStart"/>
            <w:r w:rsidRPr="0067067F">
              <w:rPr>
                <w:b/>
                <w:bCs/>
              </w:rPr>
              <w:t>kat</w:t>
            </w:r>
            <w:proofErr w:type="spellEnd"/>
            <w:r w:rsidRPr="0067067F">
              <w:rPr>
                <w:b/>
                <w:bCs/>
              </w:rPr>
              <w:t>. Nr.</w:t>
            </w:r>
          </w:p>
          <w:p w:rsidR="000C26F7" w:rsidRPr="0067067F" w:rsidRDefault="000C26F7" w:rsidP="003B6B04">
            <w:pPr>
              <w:jc w:val="center"/>
              <w:rPr>
                <w:b/>
                <w:bCs/>
              </w:rPr>
            </w:pPr>
          </w:p>
        </w:tc>
        <w:tc>
          <w:tcPr>
            <w:tcW w:w="1134" w:type="dxa"/>
            <w:tcBorders>
              <w:top w:val="single" w:sz="4" w:space="0" w:color="000000"/>
              <w:left w:val="single" w:sz="4" w:space="0" w:color="000000"/>
              <w:right w:val="single" w:sz="4" w:space="0" w:color="000000"/>
            </w:tcBorders>
            <w:vAlign w:val="center"/>
          </w:tcPr>
          <w:p w:rsidR="000C26F7" w:rsidRPr="0067067F" w:rsidRDefault="000C26F7" w:rsidP="003B6B04">
            <w:pPr>
              <w:snapToGrid w:val="0"/>
              <w:jc w:val="center"/>
              <w:rPr>
                <w:b/>
                <w:bCs/>
              </w:rPr>
            </w:pPr>
            <w:r w:rsidRPr="0067067F">
              <w:rPr>
                <w:b/>
                <w:bCs/>
              </w:rPr>
              <w:t>Mato vnt.</w:t>
            </w:r>
          </w:p>
        </w:tc>
        <w:tc>
          <w:tcPr>
            <w:tcW w:w="708" w:type="dxa"/>
            <w:tcBorders>
              <w:top w:val="single" w:sz="4" w:space="0" w:color="000000"/>
              <w:left w:val="single" w:sz="4" w:space="0" w:color="000000"/>
            </w:tcBorders>
            <w:vAlign w:val="center"/>
          </w:tcPr>
          <w:p w:rsidR="000C26F7" w:rsidRPr="0067067F" w:rsidRDefault="000C26F7" w:rsidP="003B6B04">
            <w:pPr>
              <w:snapToGrid w:val="0"/>
              <w:jc w:val="center"/>
              <w:rPr>
                <w:b/>
                <w:bCs/>
              </w:rPr>
            </w:pPr>
            <w:r w:rsidRPr="0067067F">
              <w:rPr>
                <w:b/>
                <w:bCs/>
              </w:rPr>
              <w:t>Kiekis</w:t>
            </w:r>
          </w:p>
        </w:tc>
        <w:tc>
          <w:tcPr>
            <w:tcW w:w="1702" w:type="dxa"/>
            <w:tcBorders>
              <w:top w:val="single" w:sz="4" w:space="0" w:color="000000"/>
              <w:left w:val="single" w:sz="4" w:space="0" w:color="000000"/>
            </w:tcBorders>
            <w:vAlign w:val="center"/>
          </w:tcPr>
          <w:p w:rsidR="000C26F7" w:rsidRPr="0067067F" w:rsidRDefault="000C26F7" w:rsidP="003B6B04">
            <w:pPr>
              <w:snapToGrid w:val="0"/>
              <w:jc w:val="center"/>
              <w:rPr>
                <w:b/>
                <w:bCs/>
              </w:rPr>
            </w:pPr>
            <w:proofErr w:type="spellStart"/>
            <w:r w:rsidRPr="0067067F">
              <w:rPr>
                <w:b/>
                <w:bCs/>
              </w:rPr>
              <w:t>Eur</w:t>
            </w:r>
            <w:proofErr w:type="spellEnd"/>
            <w:r w:rsidRPr="0067067F">
              <w:rPr>
                <w:b/>
                <w:bCs/>
              </w:rPr>
              <w:t xml:space="preserve"> be PVM/</w:t>
            </w:r>
          </w:p>
          <w:p w:rsidR="000C26F7" w:rsidRPr="0067067F" w:rsidRDefault="000C26F7" w:rsidP="003B6B04">
            <w:pPr>
              <w:jc w:val="center"/>
              <w:rPr>
                <w:b/>
                <w:bCs/>
              </w:rPr>
            </w:pPr>
            <w:r w:rsidRPr="0067067F">
              <w:rPr>
                <w:b/>
                <w:bCs/>
              </w:rPr>
              <w:t>vnt.</w:t>
            </w:r>
          </w:p>
        </w:tc>
        <w:tc>
          <w:tcPr>
            <w:tcW w:w="1276" w:type="dxa"/>
            <w:tcBorders>
              <w:top w:val="single" w:sz="4" w:space="0" w:color="000000"/>
              <w:left w:val="single" w:sz="4" w:space="0" w:color="000000"/>
              <w:bottom w:val="single" w:sz="4" w:space="0" w:color="000000"/>
            </w:tcBorders>
            <w:vAlign w:val="center"/>
          </w:tcPr>
          <w:p w:rsidR="000C26F7" w:rsidRPr="0067067F" w:rsidRDefault="000C26F7" w:rsidP="003B6B04">
            <w:pPr>
              <w:snapToGrid w:val="0"/>
              <w:jc w:val="center"/>
              <w:rPr>
                <w:b/>
                <w:bCs/>
              </w:rPr>
            </w:pPr>
            <w:r w:rsidRPr="0067067F">
              <w:rPr>
                <w:b/>
                <w:bCs/>
              </w:rPr>
              <w:t xml:space="preserve">PVM, </w:t>
            </w:r>
            <w:proofErr w:type="spellStart"/>
            <w:r w:rsidRPr="0067067F">
              <w:rPr>
                <w:b/>
                <w:bCs/>
              </w:rPr>
              <w:t>Eur</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tcPr>
          <w:p w:rsidR="000C26F7" w:rsidRPr="0067067F" w:rsidRDefault="000C26F7" w:rsidP="003B6B04">
            <w:pPr>
              <w:snapToGrid w:val="0"/>
              <w:jc w:val="center"/>
              <w:rPr>
                <w:b/>
                <w:bCs/>
              </w:rPr>
            </w:pPr>
            <w:r w:rsidRPr="0067067F">
              <w:rPr>
                <w:b/>
                <w:bCs/>
              </w:rPr>
              <w:t xml:space="preserve">Viso </w:t>
            </w:r>
            <w:proofErr w:type="spellStart"/>
            <w:r w:rsidRPr="0067067F">
              <w:rPr>
                <w:b/>
                <w:bCs/>
              </w:rPr>
              <w:t>Eur</w:t>
            </w:r>
            <w:proofErr w:type="spellEnd"/>
            <w:r w:rsidRPr="0067067F">
              <w:rPr>
                <w:b/>
                <w:bCs/>
              </w:rPr>
              <w:t xml:space="preserve"> su PVM</w:t>
            </w:r>
          </w:p>
        </w:tc>
      </w:tr>
      <w:tr w:rsidR="000C26F7" w:rsidRPr="0067067F" w:rsidTr="007D130F">
        <w:tc>
          <w:tcPr>
            <w:tcW w:w="3085" w:type="dxa"/>
            <w:tcBorders>
              <w:top w:val="single" w:sz="4" w:space="0" w:color="000000"/>
              <w:left w:val="single" w:sz="4" w:space="0" w:color="000000"/>
              <w:bottom w:val="single" w:sz="4" w:space="0" w:color="000000"/>
            </w:tcBorders>
          </w:tcPr>
          <w:p w:rsidR="000C26F7" w:rsidRPr="0067067F" w:rsidRDefault="000C26F7" w:rsidP="003B6B04">
            <w:pPr>
              <w:snapToGrid w:val="0"/>
              <w:jc w:val="center"/>
            </w:pPr>
            <w:proofErr w:type="spellStart"/>
            <w:r w:rsidRPr="0067067F">
              <w:t>Bioinformacinių</w:t>
            </w:r>
            <w:proofErr w:type="spellEnd"/>
            <w:r w:rsidRPr="0067067F">
              <w:t xml:space="preserve"> ir medicininių vaizdų duomenų saugykla</w:t>
            </w:r>
          </w:p>
        </w:tc>
        <w:tc>
          <w:tcPr>
            <w:tcW w:w="1134" w:type="dxa"/>
            <w:tcBorders>
              <w:top w:val="single" w:sz="4" w:space="0" w:color="000000"/>
              <w:left w:val="single" w:sz="4" w:space="0" w:color="000000"/>
              <w:bottom w:val="single" w:sz="4" w:space="0" w:color="000000"/>
              <w:right w:val="single" w:sz="4" w:space="0" w:color="000000"/>
            </w:tcBorders>
            <w:vAlign w:val="center"/>
          </w:tcPr>
          <w:p w:rsidR="000C26F7" w:rsidRPr="0067067F" w:rsidRDefault="000C26F7" w:rsidP="003B6B04">
            <w:pPr>
              <w:snapToGrid w:val="0"/>
              <w:jc w:val="center"/>
            </w:pPr>
            <w:r w:rsidRPr="0067067F">
              <w:t>Vnt.</w:t>
            </w:r>
          </w:p>
        </w:tc>
        <w:tc>
          <w:tcPr>
            <w:tcW w:w="708" w:type="dxa"/>
            <w:tcBorders>
              <w:top w:val="single" w:sz="4" w:space="0" w:color="000000"/>
              <w:left w:val="single" w:sz="4" w:space="0" w:color="000000"/>
              <w:bottom w:val="single" w:sz="4" w:space="0" w:color="000000"/>
            </w:tcBorders>
            <w:vAlign w:val="center"/>
          </w:tcPr>
          <w:p w:rsidR="000C26F7" w:rsidRPr="0067067F" w:rsidRDefault="000C26F7" w:rsidP="003B6B04">
            <w:pPr>
              <w:snapToGrid w:val="0"/>
              <w:jc w:val="center"/>
            </w:pPr>
            <w:r w:rsidRPr="0067067F">
              <w:t>1</w:t>
            </w:r>
          </w:p>
        </w:tc>
        <w:tc>
          <w:tcPr>
            <w:tcW w:w="1702" w:type="dxa"/>
            <w:tcBorders>
              <w:top w:val="single" w:sz="4" w:space="0" w:color="000000"/>
              <w:left w:val="single" w:sz="4" w:space="0" w:color="000000"/>
              <w:bottom w:val="single" w:sz="4" w:space="0" w:color="000000"/>
            </w:tcBorders>
            <w:vAlign w:val="center"/>
          </w:tcPr>
          <w:p w:rsidR="000C26F7" w:rsidRPr="0067067F" w:rsidRDefault="007D130F" w:rsidP="003B6B04">
            <w:pPr>
              <w:snapToGrid w:val="0"/>
              <w:jc w:val="center"/>
            </w:pPr>
            <w:r>
              <w:t>213.026,00</w:t>
            </w:r>
          </w:p>
        </w:tc>
        <w:tc>
          <w:tcPr>
            <w:tcW w:w="1276" w:type="dxa"/>
            <w:tcBorders>
              <w:top w:val="single" w:sz="4" w:space="0" w:color="000000"/>
              <w:left w:val="single" w:sz="4" w:space="0" w:color="000000"/>
              <w:bottom w:val="single" w:sz="4" w:space="0" w:color="000000"/>
            </w:tcBorders>
            <w:vAlign w:val="center"/>
          </w:tcPr>
          <w:p w:rsidR="000C26F7" w:rsidRPr="0067067F" w:rsidRDefault="007D130F" w:rsidP="003B6B04">
            <w:pPr>
              <w:snapToGrid w:val="0"/>
              <w:jc w:val="center"/>
            </w:pPr>
            <w:r>
              <w:t>44.735,46</w:t>
            </w:r>
          </w:p>
        </w:tc>
        <w:tc>
          <w:tcPr>
            <w:tcW w:w="1984" w:type="dxa"/>
            <w:tcBorders>
              <w:top w:val="single" w:sz="4" w:space="0" w:color="000000"/>
              <w:left w:val="single" w:sz="4" w:space="0" w:color="000000"/>
              <w:bottom w:val="single" w:sz="4" w:space="0" w:color="000000"/>
              <w:right w:val="single" w:sz="4" w:space="0" w:color="000000"/>
            </w:tcBorders>
            <w:vAlign w:val="center"/>
          </w:tcPr>
          <w:p w:rsidR="000C26F7" w:rsidRPr="0067067F" w:rsidRDefault="007D130F" w:rsidP="003B6B04">
            <w:pPr>
              <w:snapToGrid w:val="0"/>
              <w:jc w:val="center"/>
            </w:pPr>
            <w:r>
              <w:rPr>
                <w:b/>
              </w:rPr>
              <w:t>257.761,46</w:t>
            </w:r>
          </w:p>
        </w:tc>
      </w:tr>
    </w:tbl>
    <w:p w:rsidR="000C26F7" w:rsidRPr="0067067F" w:rsidRDefault="000C26F7" w:rsidP="000C26F7"/>
    <w:p w:rsidR="000C26F7" w:rsidRPr="0067067F" w:rsidRDefault="000C26F7" w:rsidP="000C26F7">
      <w:pPr>
        <w:jc w:val="center"/>
        <w:rPr>
          <w:b/>
          <w:bCs/>
          <w:i/>
          <w:iCs/>
        </w:rPr>
      </w:pPr>
    </w:p>
    <w:p w:rsidR="000C26F7" w:rsidRPr="0067067F" w:rsidRDefault="000C26F7" w:rsidP="000C26F7">
      <w:pPr>
        <w:jc w:val="center"/>
        <w:rPr>
          <w:b/>
          <w:bCs/>
        </w:rPr>
      </w:pPr>
    </w:p>
    <w:tbl>
      <w:tblPr>
        <w:tblW w:w="0" w:type="auto"/>
        <w:tblLook w:val="01E0"/>
      </w:tblPr>
      <w:tblGrid>
        <w:gridCol w:w="4927"/>
        <w:gridCol w:w="4927"/>
      </w:tblGrid>
      <w:tr w:rsidR="000C26F7" w:rsidRPr="0067067F" w:rsidTr="003B6B04">
        <w:tc>
          <w:tcPr>
            <w:tcW w:w="4927" w:type="dxa"/>
          </w:tcPr>
          <w:p w:rsidR="000C26F7" w:rsidRPr="0067067F" w:rsidRDefault="000C26F7" w:rsidP="003B6B04">
            <w:pPr>
              <w:rPr>
                <w:b/>
                <w:bCs/>
              </w:rPr>
            </w:pPr>
            <w:r w:rsidRPr="0067067F">
              <w:rPr>
                <w:b/>
                <w:bCs/>
              </w:rPr>
              <w:t>Pirkėjas</w:t>
            </w:r>
          </w:p>
        </w:tc>
        <w:tc>
          <w:tcPr>
            <w:tcW w:w="4927" w:type="dxa"/>
          </w:tcPr>
          <w:p w:rsidR="000C26F7" w:rsidRPr="0067067F" w:rsidRDefault="000C26F7" w:rsidP="003B6B04">
            <w:pPr>
              <w:rPr>
                <w:b/>
                <w:bCs/>
              </w:rPr>
            </w:pPr>
            <w:r w:rsidRPr="0067067F">
              <w:rPr>
                <w:b/>
                <w:bCs/>
              </w:rPr>
              <w:t>Tiekėjas</w:t>
            </w:r>
          </w:p>
        </w:tc>
      </w:tr>
      <w:tr w:rsidR="000C26F7" w:rsidRPr="0067067F" w:rsidTr="003B6B04">
        <w:tc>
          <w:tcPr>
            <w:tcW w:w="4927" w:type="dxa"/>
          </w:tcPr>
          <w:p w:rsidR="000C26F7" w:rsidRPr="0067067F" w:rsidRDefault="000C26F7" w:rsidP="003B6B04">
            <w:pPr>
              <w:rPr>
                <w:b/>
                <w:bCs/>
              </w:rPr>
            </w:pPr>
            <w:r w:rsidRPr="0067067F">
              <w:rPr>
                <w:b/>
                <w:bCs/>
              </w:rPr>
              <w:t>V</w:t>
            </w:r>
            <w:r>
              <w:rPr>
                <w:b/>
                <w:bCs/>
              </w:rPr>
              <w:t>alstybinis mokslinių tyrimų institutas</w:t>
            </w:r>
            <w:r w:rsidRPr="0067067F">
              <w:rPr>
                <w:b/>
                <w:bCs/>
              </w:rPr>
              <w:t xml:space="preserve"> </w:t>
            </w:r>
            <w:proofErr w:type="spellStart"/>
            <w:r w:rsidRPr="0067067F">
              <w:rPr>
                <w:b/>
                <w:bCs/>
              </w:rPr>
              <w:t>Inovatyvios</w:t>
            </w:r>
            <w:proofErr w:type="spellEnd"/>
            <w:r w:rsidRPr="0067067F">
              <w:rPr>
                <w:b/>
                <w:bCs/>
              </w:rPr>
              <w:t xml:space="preserve"> medicinos centras</w:t>
            </w:r>
          </w:p>
        </w:tc>
        <w:tc>
          <w:tcPr>
            <w:tcW w:w="4927" w:type="dxa"/>
          </w:tcPr>
          <w:p w:rsidR="000C26F7" w:rsidRPr="0067067F" w:rsidRDefault="000C26F7" w:rsidP="003B6B04">
            <w:pPr>
              <w:rPr>
                <w:b/>
                <w:bCs/>
              </w:rPr>
            </w:pPr>
          </w:p>
        </w:tc>
      </w:tr>
      <w:tr w:rsidR="000C26F7" w:rsidRPr="0067067F" w:rsidTr="003B6B04">
        <w:tc>
          <w:tcPr>
            <w:tcW w:w="4927" w:type="dxa"/>
          </w:tcPr>
          <w:p w:rsidR="000C26F7" w:rsidRPr="0067067F" w:rsidRDefault="000C26F7" w:rsidP="003B6B04">
            <w:r w:rsidRPr="0067067F">
              <w:t xml:space="preserve">Žygimantų </w:t>
            </w:r>
            <w:r>
              <w:t xml:space="preserve">g. </w:t>
            </w:r>
            <w:r w:rsidRPr="0067067F">
              <w:t>9, Vilnius</w:t>
            </w:r>
          </w:p>
          <w:p w:rsidR="000C26F7" w:rsidRPr="0067067F" w:rsidRDefault="000C26F7" w:rsidP="003B6B04">
            <w:r w:rsidRPr="0067067F">
              <w:t>Kodas</w:t>
            </w:r>
            <w:r>
              <w:t xml:space="preserve"> </w:t>
            </w:r>
            <w:r w:rsidRPr="0067067F">
              <w:t>302877556</w:t>
            </w:r>
          </w:p>
          <w:p w:rsidR="000C26F7" w:rsidRPr="0067067F" w:rsidRDefault="000C26F7" w:rsidP="003B6B04">
            <w:r w:rsidRPr="0067067F">
              <w:t>A/s</w:t>
            </w:r>
          </w:p>
          <w:p w:rsidR="000C26F7" w:rsidRPr="0067067F" w:rsidRDefault="000C26F7" w:rsidP="003B6B04">
            <w:r w:rsidRPr="0067067F">
              <w:t>Direktorius</w:t>
            </w:r>
          </w:p>
          <w:p w:rsidR="000C26F7" w:rsidRPr="0067067F" w:rsidRDefault="000C26F7" w:rsidP="003B6B04">
            <w:r w:rsidRPr="0067067F">
              <w:t xml:space="preserve">Algirdas </w:t>
            </w:r>
            <w:proofErr w:type="spellStart"/>
            <w:r w:rsidRPr="0067067F">
              <w:t>Venalis</w:t>
            </w:r>
            <w:proofErr w:type="spellEnd"/>
          </w:p>
          <w:p w:rsidR="000C26F7" w:rsidRPr="0067067F" w:rsidRDefault="000C26F7" w:rsidP="003B6B04"/>
          <w:p w:rsidR="000C26F7" w:rsidRPr="0067067F" w:rsidRDefault="000C26F7" w:rsidP="003B6B04">
            <w:r w:rsidRPr="0067067F">
              <w:t>............................................... A.V.</w:t>
            </w:r>
          </w:p>
          <w:p w:rsidR="000C26F7" w:rsidRPr="0067067F" w:rsidRDefault="000C26F7" w:rsidP="003B6B04">
            <w:r w:rsidRPr="0067067F">
              <w:t>(parašas)</w:t>
            </w:r>
          </w:p>
        </w:tc>
        <w:tc>
          <w:tcPr>
            <w:tcW w:w="4927" w:type="dxa"/>
          </w:tcPr>
          <w:p w:rsidR="000C26F7" w:rsidRPr="0067067F" w:rsidRDefault="000C26F7" w:rsidP="003B6B04"/>
          <w:p w:rsidR="000C26F7" w:rsidRPr="0067067F" w:rsidRDefault="000C26F7" w:rsidP="003B6B04"/>
          <w:p w:rsidR="000C26F7" w:rsidRPr="0067067F" w:rsidRDefault="000C26F7" w:rsidP="003B6B04"/>
          <w:p w:rsidR="000C26F7" w:rsidRPr="0067067F" w:rsidRDefault="000C26F7" w:rsidP="003B6B04"/>
          <w:p w:rsidR="000C26F7" w:rsidRPr="0067067F" w:rsidRDefault="000C26F7" w:rsidP="003B6B04"/>
          <w:p w:rsidR="000C26F7" w:rsidRPr="0067067F" w:rsidRDefault="000C26F7" w:rsidP="003B6B04"/>
          <w:p w:rsidR="000C26F7" w:rsidRPr="0067067F" w:rsidRDefault="000C26F7" w:rsidP="003B6B04">
            <w:r w:rsidRPr="0067067F">
              <w:t>............................................... A.V.</w:t>
            </w:r>
          </w:p>
          <w:p w:rsidR="000C26F7" w:rsidRPr="0067067F" w:rsidRDefault="000C26F7" w:rsidP="003B6B04">
            <w:r w:rsidRPr="0067067F">
              <w:t>(parašas)</w:t>
            </w:r>
          </w:p>
        </w:tc>
      </w:tr>
    </w:tbl>
    <w:p w:rsidR="000C26F7" w:rsidRPr="0067067F" w:rsidRDefault="000C26F7" w:rsidP="000C26F7">
      <w:pPr>
        <w:rPr>
          <w:b/>
          <w:bCs/>
        </w:rPr>
      </w:pPr>
    </w:p>
    <w:p w:rsidR="000C26F7" w:rsidRPr="0067067F" w:rsidRDefault="000C26F7" w:rsidP="000C26F7">
      <w:pPr>
        <w:rPr>
          <w:b/>
          <w:bCs/>
        </w:rPr>
      </w:pPr>
    </w:p>
    <w:p w:rsidR="000C26F7" w:rsidRPr="0067067F" w:rsidRDefault="000C26F7" w:rsidP="000C26F7">
      <w:pPr>
        <w:jc w:val="center"/>
        <w:rPr>
          <w:b/>
          <w:bCs/>
        </w:rP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0C26F7" w:rsidRPr="0067067F" w:rsidRDefault="000C26F7" w:rsidP="000C26F7">
      <w:pPr>
        <w:jc w:val="center"/>
      </w:pPr>
    </w:p>
    <w:p w:rsidR="0062009B" w:rsidRDefault="0062009B" w:rsidP="000C26F7">
      <w:pPr>
        <w:jc w:val="center"/>
      </w:pPr>
    </w:p>
    <w:p w:rsidR="0062009B" w:rsidRDefault="0062009B" w:rsidP="000C26F7">
      <w:pPr>
        <w:jc w:val="center"/>
      </w:pPr>
    </w:p>
    <w:p w:rsidR="000C26F7" w:rsidRPr="0067067F" w:rsidRDefault="000C26F7" w:rsidP="000C26F7">
      <w:pPr>
        <w:jc w:val="center"/>
      </w:pPr>
      <w:r w:rsidRPr="0067067F">
        <w:lastRenderedPageBreak/>
        <w:t xml:space="preserve">2 priedas </w:t>
      </w:r>
    </w:p>
    <w:p w:rsidR="000C26F7" w:rsidRPr="0067067F" w:rsidRDefault="000C26F7" w:rsidP="000C26F7">
      <w:pPr>
        <w:jc w:val="center"/>
        <w:rPr>
          <w:b/>
          <w:bCs/>
        </w:rPr>
      </w:pPr>
      <w:r w:rsidRPr="0067067F">
        <w:t>prie 201</w:t>
      </w:r>
      <w:r>
        <w:rPr>
          <w:lang w:val="en-GB"/>
        </w:rPr>
        <w:t>5</w:t>
      </w:r>
      <w:r w:rsidR="00544F70">
        <w:rPr>
          <w:lang w:val="en-GB"/>
        </w:rPr>
        <w:t>-03-18</w:t>
      </w:r>
      <w:r w:rsidRPr="0067067F">
        <w:t xml:space="preserve"> d.  viešojo pirkimo–pardavimo Sutarties </w:t>
      </w:r>
      <w:r w:rsidR="00544F70" w:rsidRPr="00A16EF8">
        <w:rPr>
          <w:b/>
        </w:rPr>
        <w:t>Nr. VPK-AK/2015/</w:t>
      </w:r>
      <w:r w:rsidR="00A60CD8">
        <w:rPr>
          <w:b/>
        </w:rPr>
        <w:t>8</w:t>
      </w:r>
    </w:p>
    <w:p w:rsidR="000C26F7" w:rsidRPr="0067067F" w:rsidRDefault="000C26F7" w:rsidP="000C26F7">
      <w:pPr>
        <w:jc w:val="center"/>
        <w:rPr>
          <w:b/>
          <w:bCs/>
        </w:rPr>
      </w:pPr>
    </w:p>
    <w:p w:rsidR="000C26F7" w:rsidRPr="0067067F" w:rsidRDefault="000C26F7" w:rsidP="000C26F7">
      <w:pPr>
        <w:jc w:val="center"/>
        <w:rPr>
          <w:b/>
          <w:bCs/>
        </w:rPr>
      </w:pPr>
    </w:p>
    <w:p w:rsidR="000C26F7" w:rsidRPr="0067067F" w:rsidRDefault="000C26F7" w:rsidP="000C26F7">
      <w:pPr>
        <w:jc w:val="center"/>
        <w:rPr>
          <w:b/>
          <w:bCs/>
        </w:rPr>
      </w:pPr>
      <w:r w:rsidRPr="0067067F">
        <w:rPr>
          <w:b/>
          <w:bCs/>
        </w:rPr>
        <w:t>Techninė specifikacija</w:t>
      </w:r>
    </w:p>
    <w:p w:rsidR="000C26F7" w:rsidRPr="0067067F" w:rsidRDefault="000C26F7" w:rsidP="000C26F7">
      <w:pPr>
        <w:jc w:val="center"/>
        <w:rPr>
          <w:b/>
          <w:bCs/>
        </w:rPr>
      </w:pPr>
    </w:p>
    <w:p w:rsidR="000C26F7" w:rsidRPr="0067067F" w:rsidRDefault="000C26F7" w:rsidP="000C26F7">
      <w:pPr>
        <w:jc w:val="center"/>
        <w:rPr>
          <w:b/>
          <w:bCs/>
          <w:i/>
          <w:iCs/>
        </w:rPr>
      </w:pPr>
      <w:r w:rsidRPr="0067067F">
        <w:rPr>
          <w:b/>
          <w:bCs/>
          <w:i/>
          <w:iCs/>
        </w:rPr>
        <w:t>................................................................................</w:t>
      </w:r>
    </w:p>
    <w:p w:rsidR="000C26F7" w:rsidRPr="0067067F" w:rsidRDefault="000C26F7" w:rsidP="000C26F7">
      <w:pPr>
        <w:jc w:val="center"/>
        <w:rPr>
          <w:b/>
          <w:bCs/>
          <w:i/>
          <w:iCs/>
        </w:rPr>
      </w:pPr>
      <w:r w:rsidRPr="0067067F">
        <w:rPr>
          <w:b/>
          <w:bCs/>
          <w:i/>
          <w:iCs/>
        </w:rPr>
        <w:t>(prekės pavadinimas, modelis)</w:t>
      </w:r>
    </w:p>
    <w:p w:rsidR="00135275" w:rsidRDefault="00135275"/>
    <w:sectPr w:rsidR="00135275" w:rsidSect="000C26F7">
      <w:pgSz w:w="11906" w:h="16838"/>
      <w:pgMar w:top="85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671" w:rsidRDefault="00602671" w:rsidP="000C26F7">
      <w:r>
        <w:separator/>
      </w:r>
    </w:p>
  </w:endnote>
  <w:endnote w:type="continuationSeparator" w:id="0">
    <w:p w:rsidR="00602671" w:rsidRDefault="00602671" w:rsidP="000C26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ヒラギノ角ゴ Pro W3">
    <w:charset w:val="80"/>
    <w:family w:val="auto"/>
    <w:pitch w:val="variable"/>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671" w:rsidRDefault="00602671" w:rsidP="000C26F7">
      <w:r>
        <w:separator/>
      </w:r>
    </w:p>
  </w:footnote>
  <w:footnote w:type="continuationSeparator" w:id="0">
    <w:p w:rsidR="00602671" w:rsidRDefault="00602671" w:rsidP="000C26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1296"/>
  <w:hyphenationZone w:val="396"/>
  <w:characterSpacingControl w:val="doNotCompress"/>
  <w:footnotePr>
    <w:footnote w:id="-1"/>
    <w:footnote w:id="0"/>
  </w:footnotePr>
  <w:endnotePr>
    <w:endnote w:id="-1"/>
    <w:endnote w:id="0"/>
  </w:endnotePr>
  <w:compat/>
  <w:rsids>
    <w:rsidRoot w:val="000C26F7"/>
    <w:rsid w:val="00043AA2"/>
    <w:rsid w:val="0005751C"/>
    <w:rsid w:val="0006688A"/>
    <w:rsid w:val="000C26F7"/>
    <w:rsid w:val="00135275"/>
    <w:rsid w:val="001E43ED"/>
    <w:rsid w:val="00234452"/>
    <w:rsid w:val="002918D4"/>
    <w:rsid w:val="002D754B"/>
    <w:rsid w:val="002F6B75"/>
    <w:rsid w:val="003538EC"/>
    <w:rsid w:val="004B6977"/>
    <w:rsid w:val="00544F70"/>
    <w:rsid w:val="00594AB8"/>
    <w:rsid w:val="00602671"/>
    <w:rsid w:val="0062009B"/>
    <w:rsid w:val="006758A5"/>
    <w:rsid w:val="007B2C53"/>
    <w:rsid w:val="007D130F"/>
    <w:rsid w:val="0080161B"/>
    <w:rsid w:val="00824EFB"/>
    <w:rsid w:val="009A323D"/>
    <w:rsid w:val="00A60CD8"/>
    <w:rsid w:val="00AF4F67"/>
    <w:rsid w:val="00B148AA"/>
    <w:rsid w:val="00B1684D"/>
    <w:rsid w:val="00B20729"/>
    <w:rsid w:val="00DE3FDE"/>
    <w:rsid w:val="00E052D6"/>
    <w:rsid w:val="00F556D5"/>
    <w:rsid w:val="00FA0F8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C26F7"/>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qFormat/>
    <w:rsid w:val="000C26F7"/>
    <w:pPr>
      <w:keepNext/>
      <w:jc w:val="right"/>
      <w:outlineLvl w:val="0"/>
    </w:pPr>
    <w:rPr>
      <w:rFonts w:ascii="TimesLT" w:hAnsi="TimesLT"/>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26F7"/>
    <w:rPr>
      <w:rFonts w:ascii="TimesLT" w:eastAsia="Calibri" w:hAnsi="TimesLT" w:cs="Times New Roman"/>
      <w:sz w:val="20"/>
      <w:szCs w:val="20"/>
    </w:rPr>
  </w:style>
  <w:style w:type="paragraph" w:styleId="Pagrindinistekstas">
    <w:name w:val="Body Text"/>
    <w:basedOn w:val="prastasis"/>
    <w:link w:val="PagrindinistekstasDiagrama"/>
    <w:rsid w:val="000C26F7"/>
    <w:rPr>
      <w:noProof/>
      <w:color w:val="FF6600"/>
      <w:sz w:val="20"/>
      <w:szCs w:val="20"/>
      <w:lang w:eastAsia="lt-LT"/>
    </w:rPr>
  </w:style>
  <w:style w:type="character" w:customStyle="1" w:styleId="PagrindinistekstasDiagrama">
    <w:name w:val="Pagrindinis tekstas Diagrama"/>
    <w:basedOn w:val="Numatytasispastraiposriftas"/>
    <w:link w:val="Pagrindinistekstas"/>
    <w:rsid w:val="000C26F7"/>
    <w:rPr>
      <w:rFonts w:ascii="Times New Roman" w:eastAsia="Calibri" w:hAnsi="Times New Roman" w:cs="Times New Roman"/>
      <w:noProof/>
      <w:color w:val="FF6600"/>
      <w:sz w:val="20"/>
      <w:szCs w:val="20"/>
      <w:lang w:eastAsia="lt-LT"/>
    </w:rPr>
  </w:style>
  <w:style w:type="paragraph" w:customStyle="1" w:styleId="BodyText1">
    <w:name w:val="Body Text1"/>
    <w:link w:val="BodytextChar"/>
    <w:rsid w:val="000C26F7"/>
    <w:pPr>
      <w:snapToGrid w:val="0"/>
      <w:spacing w:after="0" w:line="240" w:lineRule="auto"/>
      <w:ind w:firstLine="312"/>
      <w:jc w:val="both"/>
    </w:pPr>
    <w:rPr>
      <w:rFonts w:ascii="TimesLT" w:eastAsia="Calibri" w:hAnsi="TimesLT" w:cs="Times New Roman"/>
      <w:szCs w:val="20"/>
      <w:lang w:val="en-US"/>
    </w:rPr>
  </w:style>
  <w:style w:type="character" w:customStyle="1" w:styleId="BodytextChar">
    <w:name w:val="Body text Char"/>
    <w:link w:val="BodyText1"/>
    <w:locked/>
    <w:rsid w:val="000C26F7"/>
    <w:rPr>
      <w:rFonts w:ascii="TimesLT" w:eastAsia="Calibri" w:hAnsi="TimesLT" w:cs="Times New Roman"/>
      <w:szCs w:val="20"/>
      <w:lang w:val="en-US"/>
    </w:rPr>
  </w:style>
  <w:style w:type="paragraph" w:customStyle="1" w:styleId="Tekstas">
    <w:name w:val="Tekstas"/>
    <w:qFormat/>
    <w:rsid w:val="000C26F7"/>
    <w:pPr>
      <w:spacing w:after="0" w:line="240" w:lineRule="auto"/>
      <w:ind w:firstLine="720"/>
      <w:jc w:val="both"/>
    </w:pPr>
    <w:rPr>
      <w:rFonts w:ascii="Times New Roman" w:eastAsia="ヒラギノ角ゴ Pro W3" w:hAnsi="Times New Roman" w:cs="Times New Roman"/>
      <w:color w:val="000000"/>
      <w:sz w:val="24"/>
      <w:szCs w:val="20"/>
    </w:rPr>
  </w:style>
  <w:style w:type="paragraph" w:styleId="Puslapioinaostekstas">
    <w:name w:val="footnote text"/>
    <w:basedOn w:val="prastasis"/>
    <w:link w:val="PuslapioinaostekstasDiagrama"/>
    <w:rsid w:val="000C26F7"/>
    <w:rPr>
      <w:sz w:val="20"/>
      <w:szCs w:val="20"/>
    </w:rPr>
  </w:style>
  <w:style w:type="character" w:customStyle="1" w:styleId="PuslapioinaostekstasDiagrama">
    <w:name w:val="Puslapio išnašos tekstas Diagrama"/>
    <w:basedOn w:val="Numatytasispastraiposriftas"/>
    <w:link w:val="Puslapioinaostekstas"/>
    <w:rsid w:val="000C26F7"/>
    <w:rPr>
      <w:rFonts w:ascii="Times New Roman" w:eastAsia="Calibri" w:hAnsi="Times New Roman" w:cs="Times New Roman"/>
      <w:sz w:val="20"/>
      <w:szCs w:val="20"/>
    </w:rPr>
  </w:style>
  <w:style w:type="character" w:styleId="Puslapioinaosnuoroda">
    <w:name w:val="footnote reference"/>
    <w:basedOn w:val="Numatytasispastraiposriftas"/>
    <w:rsid w:val="000C26F7"/>
    <w:rPr>
      <w:vertAlign w:val="superscript"/>
    </w:rPr>
  </w:style>
  <w:style w:type="character" w:styleId="Hipersaitas">
    <w:name w:val="Hyperlink"/>
    <w:basedOn w:val="Numatytasispastraiposriftas"/>
    <w:uiPriority w:val="99"/>
    <w:unhideWhenUsed/>
    <w:rsid w:val="007B2C5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mualdas.kizlaitis@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8811</Words>
  <Characters>5023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2220</dc:creator>
  <cp:lastModifiedBy>2220</cp:lastModifiedBy>
  <cp:revision>11</cp:revision>
  <dcterms:created xsi:type="dcterms:W3CDTF">2015-03-17T13:42:00Z</dcterms:created>
  <dcterms:modified xsi:type="dcterms:W3CDTF">2015-03-18T07:36:00Z</dcterms:modified>
</cp:coreProperties>
</file>