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B15E" w14:textId="1598896E" w:rsidR="00F23E96" w:rsidRPr="00190923" w:rsidRDefault="00190923" w:rsidP="009909F2">
      <w:pPr>
        <w:spacing w:after="0" w:line="360" w:lineRule="auto"/>
        <w:jc w:val="right"/>
        <w:rPr>
          <w:rFonts w:ascii="Tahoma" w:eastAsia="Calibri" w:hAnsi="Tahoma" w:cs="Tahoma"/>
          <w:lang w:eastAsia="en-US"/>
        </w:rPr>
      </w:pPr>
      <w:r>
        <w:rPr>
          <w:rFonts w:ascii="Tahoma" w:eastAsia="Calibri" w:hAnsi="Tahoma" w:cs="Tahoma"/>
          <w:lang w:eastAsia="en-US"/>
        </w:rPr>
        <w:t xml:space="preserve">Pirkimo sąlygų </w:t>
      </w:r>
      <w:r>
        <w:rPr>
          <w:rFonts w:ascii="Tahoma" w:eastAsia="Calibri" w:hAnsi="Tahoma" w:cs="Tahoma"/>
          <w:lang w:val="en-US" w:eastAsia="en-US"/>
        </w:rPr>
        <w:t xml:space="preserve">2 priedas </w:t>
      </w:r>
      <w:r>
        <w:rPr>
          <w:rFonts w:ascii="Tahoma" w:eastAsia="Calibri" w:hAnsi="Tahoma" w:cs="Tahoma"/>
          <w:lang w:eastAsia="en-US"/>
        </w:rPr>
        <w:t>„Techninė specifikacija“</w:t>
      </w:r>
    </w:p>
    <w:p w14:paraId="7AC3CEAC" w14:textId="77777777" w:rsidR="00190923" w:rsidRDefault="00190923" w:rsidP="00347E42">
      <w:pPr>
        <w:spacing w:after="0"/>
        <w:jc w:val="center"/>
        <w:rPr>
          <w:rFonts w:ascii="Tahoma" w:eastAsia="Calibri" w:hAnsi="Tahoma" w:cs="Tahoma"/>
          <w:b/>
          <w:lang w:eastAsia="en-US"/>
        </w:rPr>
      </w:pPr>
    </w:p>
    <w:p w14:paraId="59EDC53C" w14:textId="67F9FE22" w:rsidR="009909F2" w:rsidRDefault="009909F2" w:rsidP="00347E42">
      <w:pPr>
        <w:spacing w:after="0"/>
        <w:jc w:val="center"/>
        <w:rPr>
          <w:rFonts w:ascii="Tahoma" w:eastAsia="Calibri" w:hAnsi="Tahoma" w:cs="Tahoma"/>
          <w:b/>
          <w:lang w:eastAsia="en-US"/>
        </w:rPr>
      </w:pPr>
      <w:r w:rsidRPr="009909F2">
        <w:rPr>
          <w:rFonts w:ascii="Tahoma" w:eastAsia="Calibri" w:hAnsi="Tahoma" w:cs="Tahoma"/>
          <w:b/>
          <w:lang w:eastAsia="en-US"/>
        </w:rPr>
        <w:t>METINIŲ FINANSINIŲ ATASKAITŲ RINKINIO AUDITO PASLAU</w:t>
      </w:r>
      <w:r>
        <w:rPr>
          <w:rFonts w:ascii="Tahoma" w:eastAsia="Calibri" w:hAnsi="Tahoma" w:cs="Tahoma"/>
          <w:b/>
          <w:lang w:eastAsia="en-US"/>
        </w:rPr>
        <w:t>G</w:t>
      </w:r>
      <w:r w:rsidR="00521511">
        <w:rPr>
          <w:rFonts w:ascii="Tahoma" w:eastAsia="Calibri" w:hAnsi="Tahoma" w:cs="Tahoma"/>
          <w:b/>
          <w:lang w:eastAsia="en-US"/>
        </w:rPr>
        <w:t>OS</w:t>
      </w:r>
    </w:p>
    <w:p w14:paraId="39B93B31" w14:textId="1FC16934" w:rsidR="00F23E96" w:rsidRPr="00841477" w:rsidRDefault="00F23E96" w:rsidP="00347E42">
      <w:pPr>
        <w:spacing w:after="0"/>
        <w:jc w:val="center"/>
        <w:rPr>
          <w:rFonts w:ascii="Tahoma" w:eastAsia="Calibri" w:hAnsi="Tahoma" w:cs="Tahoma"/>
          <w:b/>
          <w:lang w:eastAsia="en-US"/>
        </w:rPr>
      </w:pPr>
      <w:r w:rsidRPr="00841477">
        <w:rPr>
          <w:rFonts w:ascii="Tahoma" w:eastAsia="Calibri" w:hAnsi="Tahoma" w:cs="Tahoma"/>
          <w:b/>
          <w:lang w:eastAsia="en-US"/>
        </w:rPr>
        <w:t>TECHNINĖ SPECIFIKACIJA</w:t>
      </w:r>
    </w:p>
    <w:p w14:paraId="12208AB0" w14:textId="77777777" w:rsidR="00AD7C59" w:rsidRPr="00841477" w:rsidRDefault="00AD7C59" w:rsidP="00347E42">
      <w:pPr>
        <w:spacing w:after="0"/>
        <w:ind w:firstLine="851"/>
        <w:jc w:val="center"/>
        <w:rPr>
          <w:rFonts w:ascii="Tahoma" w:eastAsia="Calibri" w:hAnsi="Tahoma" w:cs="Tahoma"/>
          <w:b/>
          <w:lang w:eastAsia="en-US"/>
        </w:rPr>
      </w:pPr>
    </w:p>
    <w:p w14:paraId="4DC1C3C1" w14:textId="1F2F1630" w:rsidR="00A169CE" w:rsidRDefault="00A169CE" w:rsidP="00A169CE">
      <w:pPr>
        <w:spacing w:after="0"/>
        <w:ind w:firstLine="851"/>
        <w:jc w:val="both"/>
        <w:rPr>
          <w:rFonts w:ascii="Tahoma" w:eastAsia="Tahoma" w:hAnsi="Tahoma" w:cs="Tahoma"/>
          <w:lang w:eastAsia="en-US"/>
        </w:rPr>
      </w:pPr>
      <w:r w:rsidRPr="00A169CE">
        <w:rPr>
          <w:rFonts w:ascii="Tahoma" w:eastAsia="Tahoma" w:hAnsi="Tahoma" w:cs="Tahoma"/>
          <w:lang w:eastAsia="en-US"/>
        </w:rPr>
        <w:t>Valstybės įmonė Registrų centras (toliau – Perkančioji organizacija) vykdo paslaugų pirkimą, kurio objektas – 2026, 2027 ir 2028 metų metinių finansinių ataskaitų rinkinio auditas (toliau – Pirkimas, Paslaugos)</w:t>
      </w:r>
      <w:r>
        <w:rPr>
          <w:rFonts w:ascii="Tahoma" w:eastAsia="Tahoma" w:hAnsi="Tahoma" w:cs="Tahoma"/>
          <w:lang w:eastAsia="en-US"/>
        </w:rPr>
        <w:t>.</w:t>
      </w:r>
    </w:p>
    <w:p w14:paraId="623B6736" w14:textId="16FAC6C3" w:rsidR="13E42EE6" w:rsidRPr="00F25528" w:rsidRDefault="009C01BB" w:rsidP="5BFA361F">
      <w:pPr>
        <w:spacing w:after="0"/>
        <w:ind w:firstLine="851"/>
        <w:jc w:val="both"/>
        <w:rPr>
          <w:rFonts w:ascii="Tahoma" w:eastAsia="Tahoma" w:hAnsi="Tahoma" w:cs="Tahoma"/>
          <w:lang w:eastAsia="en-US"/>
        </w:rPr>
      </w:pPr>
      <w:r w:rsidRPr="5BFA361F">
        <w:rPr>
          <w:rFonts w:ascii="Tahoma" w:eastAsia="Tahoma" w:hAnsi="Tahoma" w:cs="Tahoma"/>
          <w:lang w:eastAsia="en-US"/>
        </w:rPr>
        <w:t>Perkamos Pa</w:t>
      </w:r>
      <w:r w:rsidR="00F25528" w:rsidRPr="5BFA361F">
        <w:rPr>
          <w:rFonts w:ascii="Tahoma" w:eastAsia="Tahoma" w:hAnsi="Tahoma" w:cs="Tahoma"/>
          <w:lang w:eastAsia="en-US"/>
        </w:rPr>
        <w:t xml:space="preserve">slaugos apima: </w:t>
      </w:r>
      <w:r w:rsidR="00F25528" w:rsidRPr="00AF1DD9">
        <w:rPr>
          <w:rFonts w:ascii="Tahoma" w:eastAsia="Tahoma" w:hAnsi="Tahoma" w:cs="Tahoma"/>
          <w:b/>
          <w:bCs/>
          <w:lang w:eastAsia="en-US"/>
        </w:rPr>
        <w:t>į</w:t>
      </w:r>
      <w:r w:rsidR="13E42EE6" w:rsidRPr="00AF1DD9">
        <w:rPr>
          <w:rFonts w:ascii="Tahoma" w:eastAsia="Tahoma" w:hAnsi="Tahoma" w:cs="Tahoma"/>
          <w:b/>
          <w:bCs/>
        </w:rPr>
        <w:t>monės</w:t>
      </w:r>
      <w:r w:rsidR="13E42EE6" w:rsidRPr="51302468">
        <w:rPr>
          <w:rFonts w:ascii="Tahoma" w:eastAsia="Tahoma" w:hAnsi="Tahoma" w:cs="Tahoma"/>
          <w:b/>
          <w:bCs/>
        </w:rPr>
        <w:t xml:space="preserve"> finansinių ataskaitų rinkinys</w:t>
      </w:r>
      <w:r w:rsidR="13E42EE6" w:rsidRPr="5BFA361F">
        <w:rPr>
          <w:rFonts w:ascii="Tahoma" w:eastAsia="Tahoma" w:hAnsi="Tahoma" w:cs="Tahoma"/>
        </w:rPr>
        <w:t xml:space="preserve"> (toliau – finansinių ataskaitų rinkinys) - </w:t>
      </w:r>
      <w:r w:rsidR="00F25528" w:rsidRPr="51302468">
        <w:rPr>
          <w:rFonts w:ascii="Tahoma" w:eastAsia="Tahoma" w:hAnsi="Tahoma" w:cs="Tahoma"/>
          <w:b/>
          <w:bCs/>
        </w:rPr>
        <w:t>į</w:t>
      </w:r>
      <w:r w:rsidR="13E42EE6" w:rsidRPr="51302468">
        <w:rPr>
          <w:rFonts w:ascii="Tahoma" w:eastAsia="Tahoma" w:hAnsi="Tahoma" w:cs="Tahoma"/>
          <w:b/>
          <w:bCs/>
        </w:rPr>
        <w:t>monės metinių ataskaitų rinkinio sudėtinė dalis</w:t>
      </w:r>
      <w:r w:rsidR="13E42EE6" w:rsidRPr="5BFA361F">
        <w:rPr>
          <w:rFonts w:ascii="Tahoma" w:eastAsia="Tahoma" w:hAnsi="Tahoma" w:cs="Tahoma"/>
        </w:rPr>
        <w:t xml:space="preserve"> – finansinės ataskaitos, kuriose pateikiami finansiniai duomenys apie įmonės finansinę būklę, veiklos rezultatus ir, pinigų srautus ir</w:t>
      </w:r>
      <w:r w:rsidR="23328DB3" w:rsidRPr="5BFA361F">
        <w:rPr>
          <w:rFonts w:ascii="Tahoma" w:eastAsia="Tahoma" w:hAnsi="Tahoma" w:cs="Tahoma"/>
        </w:rPr>
        <w:t xml:space="preserve"> </w:t>
      </w:r>
      <w:r w:rsidR="13E42EE6" w:rsidRPr="51302468">
        <w:rPr>
          <w:rFonts w:ascii="Tahoma" w:eastAsia="Tahoma" w:hAnsi="Tahoma" w:cs="Tahoma"/>
          <w:b/>
          <w:bCs/>
        </w:rPr>
        <w:t>Vadovybės ataskaita</w:t>
      </w:r>
      <w:r w:rsidR="34CCD36F" w:rsidRPr="51302468">
        <w:rPr>
          <w:rFonts w:ascii="Tahoma" w:eastAsia="Tahoma" w:hAnsi="Tahoma" w:cs="Tahoma"/>
          <w:b/>
          <w:bCs/>
        </w:rPr>
        <w:t>,</w:t>
      </w:r>
      <w:r w:rsidR="13E42EE6" w:rsidRPr="51302468">
        <w:rPr>
          <w:rFonts w:ascii="Tahoma" w:eastAsia="Tahoma" w:hAnsi="Tahoma" w:cs="Tahoma"/>
          <w:b/>
          <w:bCs/>
        </w:rPr>
        <w:t xml:space="preserve"> kurioje integruota Tvarumo atskaitomybė</w:t>
      </w:r>
      <w:r w:rsidR="00F25528" w:rsidRPr="51302468">
        <w:rPr>
          <w:rStyle w:val="FootnoteReference"/>
          <w:rFonts w:ascii="Tahoma" w:eastAsia="Tahoma" w:hAnsi="Tahoma" w:cs="Tahoma"/>
          <w:b/>
          <w:bCs/>
        </w:rPr>
        <w:footnoteReference w:id="2"/>
      </w:r>
      <w:r w:rsidR="13E42EE6" w:rsidRPr="5BFA361F">
        <w:rPr>
          <w:rFonts w:ascii="Tahoma" w:eastAsia="Tahoma" w:hAnsi="Tahoma" w:cs="Tahoma"/>
        </w:rPr>
        <w:t xml:space="preserve"> – įmonės metinių ataskaitų rinkinio sudėtinė dalis – ataskaita, kurioje pateikiami duomenys apie įmonės veiklą ir, kai taikytina, informacija apie </w:t>
      </w:r>
      <w:r w:rsidR="00521511">
        <w:rPr>
          <w:rFonts w:ascii="Tahoma" w:eastAsia="Tahoma" w:hAnsi="Tahoma" w:cs="Tahoma"/>
        </w:rPr>
        <w:t>įmonės</w:t>
      </w:r>
      <w:r w:rsidR="00521511" w:rsidRPr="5BFA361F">
        <w:rPr>
          <w:rFonts w:ascii="Tahoma" w:eastAsia="Tahoma" w:hAnsi="Tahoma" w:cs="Tahoma"/>
        </w:rPr>
        <w:t xml:space="preserve"> </w:t>
      </w:r>
      <w:r w:rsidR="13E42EE6" w:rsidRPr="5BFA361F">
        <w:rPr>
          <w:rFonts w:ascii="Tahoma" w:eastAsia="Tahoma" w:hAnsi="Tahoma" w:cs="Tahoma"/>
        </w:rPr>
        <w:t xml:space="preserve">valdyseną, informacija apie vadovybės atlygį ir informaciją tvarumo klausimais. </w:t>
      </w:r>
    </w:p>
    <w:p w14:paraId="4997D3C8" w14:textId="322563EB" w:rsidR="350FD503" w:rsidRDefault="13E42EE6" w:rsidP="00F25528">
      <w:pPr>
        <w:spacing w:after="0"/>
        <w:jc w:val="both"/>
        <w:rPr>
          <w:rFonts w:ascii="Tahoma" w:eastAsia="Calibri" w:hAnsi="Tahoma" w:cs="Tahoma"/>
          <w:lang w:eastAsia="en-US"/>
        </w:rPr>
      </w:pPr>
      <w:r w:rsidRPr="350FD503">
        <w:rPr>
          <w:rFonts w:ascii="Source Sans Pro" w:eastAsia="Source Sans Pro" w:hAnsi="Source Sans Pro" w:cs="Source Sans Pro"/>
        </w:rPr>
        <w:t xml:space="preserve"> </w:t>
      </w:r>
    </w:p>
    <w:p w14:paraId="7F24B364" w14:textId="5128054A" w:rsidR="00F23E96" w:rsidRPr="00841477" w:rsidRDefault="00F23E96" w:rsidP="00347E42">
      <w:pPr>
        <w:spacing w:after="0"/>
        <w:ind w:firstLine="851"/>
        <w:jc w:val="both"/>
        <w:rPr>
          <w:rFonts w:ascii="Tahoma" w:eastAsia="Calibri" w:hAnsi="Tahoma" w:cs="Tahoma"/>
          <w:lang w:eastAsia="en-US"/>
        </w:rPr>
      </w:pPr>
      <w:r w:rsidRPr="00347E42">
        <w:rPr>
          <w:rFonts w:ascii="Tahoma" w:eastAsia="Calibri" w:hAnsi="Tahoma" w:cs="Tahoma"/>
          <w:b/>
          <w:lang w:eastAsia="en-US"/>
        </w:rPr>
        <w:t xml:space="preserve">Vadovaujantis </w:t>
      </w:r>
      <w:r w:rsidR="00D566EB" w:rsidRPr="00D566EB">
        <w:rPr>
          <w:rFonts w:ascii="Tahoma" w:eastAsia="Calibri" w:hAnsi="Tahoma" w:cs="Tahoma"/>
          <w:b/>
          <w:lang w:eastAsia="en-US"/>
        </w:rPr>
        <w:t>Lietuvos Respublikos finansinių ataskaitų audito ir kitų užtikrinimo paslaugų įstatym</w:t>
      </w:r>
      <w:r w:rsidR="00D566EB">
        <w:rPr>
          <w:rFonts w:ascii="Tahoma" w:eastAsia="Calibri" w:hAnsi="Tahoma" w:cs="Tahoma"/>
          <w:b/>
          <w:lang w:eastAsia="en-US"/>
        </w:rPr>
        <w:t>o 8</w:t>
      </w:r>
      <w:r w:rsidRPr="00347E42">
        <w:rPr>
          <w:rFonts w:ascii="Tahoma" w:eastAsia="Calibri" w:hAnsi="Tahoma" w:cs="Tahoma"/>
          <w:b/>
          <w:lang w:eastAsia="en-US"/>
        </w:rPr>
        <w:t xml:space="preserve"> straipsnio 6 dalimi, Tiekėjo pagrindinis finansinių ataskaitų audito partneris negali atlikti tos pačios įmonės finansinių</w:t>
      </w:r>
      <w:r w:rsidRPr="00841477">
        <w:rPr>
          <w:rFonts w:ascii="Tahoma" w:eastAsia="Calibri" w:hAnsi="Tahoma" w:cs="Tahoma"/>
          <w:b/>
          <w:lang w:eastAsia="en-US"/>
        </w:rPr>
        <w:t xml:space="preserve"> ataskaitų audito ilgiau kaip </w:t>
      </w:r>
      <w:r w:rsidR="009C5C93">
        <w:rPr>
          <w:rFonts w:ascii="Tahoma" w:eastAsia="Calibri" w:hAnsi="Tahoma" w:cs="Tahoma"/>
          <w:b/>
          <w:lang w:val="en-US" w:eastAsia="en-US"/>
        </w:rPr>
        <w:t>7</w:t>
      </w:r>
      <w:r w:rsidRPr="00841477">
        <w:rPr>
          <w:rFonts w:ascii="Tahoma" w:eastAsia="Calibri" w:hAnsi="Tahoma" w:cs="Tahoma"/>
          <w:b/>
          <w:lang w:eastAsia="en-US"/>
        </w:rPr>
        <w:t xml:space="preserve"> finansinius metus iš eilės. </w:t>
      </w:r>
    </w:p>
    <w:p w14:paraId="3E02F18C" w14:textId="77777777" w:rsidR="00F23E96" w:rsidRPr="00841477" w:rsidRDefault="00F23E96" w:rsidP="00347E42">
      <w:pPr>
        <w:spacing w:after="0"/>
        <w:ind w:firstLine="851"/>
        <w:jc w:val="both"/>
        <w:rPr>
          <w:rFonts w:ascii="Tahoma" w:eastAsia="Calibri" w:hAnsi="Tahoma" w:cs="Tahoma"/>
          <w:b/>
          <w:lang w:eastAsia="en-US"/>
        </w:rPr>
      </w:pPr>
      <w:r w:rsidRPr="00841477">
        <w:rPr>
          <w:rFonts w:ascii="Tahoma" w:eastAsia="Calibri" w:hAnsi="Tahoma" w:cs="Tahoma"/>
          <w:b/>
          <w:lang w:eastAsia="en-US"/>
        </w:rPr>
        <w:t>1. Pirkimo objekto apibūdinimas:</w:t>
      </w:r>
    </w:p>
    <w:p w14:paraId="502A81D9" w14:textId="11FE74FD" w:rsidR="00830895" w:rsidRDefault="00F23E96" w:rsidP="003B1F46">
      <w:pPr>
        <w:widowControl w:val="0"/>
        <w:autoSpaceDE w:val="0"/>
        <w:autoSpaceDN w:val="0"/>
        <w:adjustRightInd w:val="0"/>
        <w:spacing w:after="0"/>
        <w:ind w:firstLine="851"/>
        <w:jc w:val="both"/>
        <w:rPr>
          <w:rFonts w:ascii="Tahoma" w:eastAsia="Times New Roman" w:hAnsi="Tahoma" w:cs="Tahoma"/>
          <w:color w:val="000000" w:themeColor="text1"/>
          <w:lang w:eastAsia="lt-LT"/>
        </w:rPr>
      </w:pPr>
      <w:r w:rsidRPr="350FD503">
        <w:rPr>
          <w:rFonts w:ascii="Tahoma" w:eastAsia="Times New Roman" w:hAnsi="Tahoma" w:cs="Tahoma"/>
          <w:color w:val="000000" w:themeColor="text1"/>
          <w:lang w:eastAsia="lt-LT"/>
        </w:rPr>
        <w:t>1.1. Tiekėjas turi atlikt</w:t>
      </w:r>
      <w:r w:rsidR="00521511">
        <w:rPr>
          <w:rFonts w:ascii="Tahoma" w:eastAsia="Times New Roman" w:hAnsi="Tahoma" w:cs="Tahoma"/>
          <w:color w:val="000000" w:themeColor="text1"/>
          <w:lang w:eastAsia="lt-LT"/>
        </w:rPr>
        <w:t>i</w:t>
      </w:r>
      <w:r w:rsidR="00830895">
        <w:rPr>
          <w:rFonts w:ascii="Tahoma" w:eastAsia="Times New Roman" w:hAnsi="Tahoma" w:cs="Tahoma"/>
          <w:color w:val="000000" w:themeColor="text1"/>
          <w:lang w:eastAsia="lt-LT"/>
        </w:rPr>
        <w:t>:</w:t>
      </w:r>
    </w:p>
    <w:p w14:paraId="2E953395" w14:textId="2DA7D778" w:rsidR="00E22B48" w:rsidRDefault="00830895" w:rsidP="00E22B48">
      <w:pPr>
        <w:widowControl w:val="0"/>
        <w:autoSpaceDE w:val="0"/>
        <w:autoSpaceDN w:val="0"/>
        <w:adjustRightInd w:val="0"/>
        <w:spacing w:after="0"/>
        <w:ind w:firstLine="851"/>
        <w:jc w:val="both"/>
        <w:rPr>
          <w:rFonts w:ascii="Tahoma" w:eastAsia="Times New Roman" w:hAnsi="Tahoma" w:cs="Tahoma"/>
          <w:color w:val="000000"/>
          <w:lang w:eastAsia="lt-LT"/>
        </w:rPr>
      </w:pPr>
      <w:r>
        <w:rPr>
          <w:rFonts w:ascii="Tahoma" w:eastAsia="Times New Roman" w:hAnsi="Tahoma" w:cs="Tahoma"/>
          <w:color w:val="000000" w:themeColor="text1"/>
          <w:lang w:eastAsia="lt-LT"/>
        </w:rPr>
        <w:t xml:space="preserve">1.1.1. </w:t>
      </w:r>
      <w:r w:rsidR="00F23E96" w:rsidRPr="350FD503">
        <w:rPr>
          <w:rFonts w:ascii="Tahoma" w:eastAsia="Times New Roman" w:hAnsi="Tahoma" w:cs="Tahoma"/>
          <w:color w:val="000000" w:themeColor="text1"/>
          <w:lang w:eastAsia="lt-LT"/>
        </w:rPr>
        <w:t>nepriklausomą Perkančiosios organizacijos parengtų metinių finansinių ataskaitų rinkinio – balanso, pelno (nuotolių), piniginių srautų, nuosavo kapitalo pokyčio ataskaitų, taip pat aiškinamojo rašto su priedais (toliau – metinių finansinių ataskaitų rinkinio) parengto pagal tarptautinius apskaitos standartus, kaip jie apibrėžti Reglamente (EB) Nr. 1606/2002, auditą už 202</w:t>
      </w:r>
      <w:r w:rsidR="003B1F46" w:rsidRPr="350FD503">
        <w:rPr>
          <w:rFonts w:ascii="Tahoma" w:eastAsia="Times New Roman" w:hAnsi="Tahoma" w:cs="Tahoma"/>
          <w:color w:val="000000" w:themeColor="text1"/>
          <w:lang w:eastAsia="lt-LT"/>
        </w:rPr>
        <w:t>6</w:t>
      </w:r>
      <w:r w:rsidR="00F23E96" w:rsidRPr="350FD503">
        <w:rPr>
          <w:rFonts w:ascii="Tahoma" w:eastAsia="Times New Roman" w:hAnsi="Tahoma" w:cs="Tahoma"/>
          <w:color w:val="000000" w:themeColor="text1"/>
          <w:lang w:eastAsia="lt-LT"/>
        </w:rPr>
        <w:t>, 202</w:t>
      </w:r>
      <w:r w:rsidR="003B1F46" w:rsidRPr="350FD503">
        <w:rPr>
          <w:rFonts w:ascii="Tahoma" w:eastAsia="Times New Roman" w:hAnsi="Tahoma" w:cs="Tahoma"/>
          <w:color w:val="000000" w:themeColor="text1"/>
          <w:lang w:eastAsia="lt-LT"/>
        </w:rPr>
        <w:t>7</w:t>
      </w:r>
      <w:r w:rsidR="00F23E96" w:rsidRPr="350FD503">
        <w:rPr>
          <w:rFonts w:ascii="Tahoma" w:eastAsia="Times New Roman" w:hAnsi="Tahoma" w:cs="Tahoma"/>
          <w:color w:val="000000" w:themeColor="text1"/>
          <w:lang w:eastAsia="lt-LT"/>
        </w:rPr>
        <w:t xml:space="preserve"> ir 202</w:t>
      </w:r>
      <w:r w:rsidR="003B1F46" w:rsidRPr="350FD503">
        <w:rPr>
          <w:rFonts w:ascii="Tahoma" w:eastAsia="Times New Roman" w:hAnsi="Tahoma" w:cs="Tahoma"/>
          <w:color w:val="000000" w:themeColor="text1"/>
          <w:lang w:eastAsia="lt-LT"/>
        </w:rPr>
        <w:t>8</w:t>
      </w:r>
      <w:r w:rsidR="00F23E96" w:rsidRPr="350FD503">
        <w:rPr>
          <w:rFonts w:ascii="Tahoma" w:eastAsia="Times New Roman" w:hAnsi="Tahoma" w:cs="Tahoma"/>
          <w:color w:val="000000" w:themeColor="text1"/>
          <w:lang w:eastAsia="lt-LT"/>
        </w:rPr>
        <w:t xml:space="preserve"> metų laikotarpį ir pateikti auditoriaus išvadą ir audito ataskaitą </w:t>
      </w:r>
      <w:r w:rsidR="00D23820">
        <w:rPr>
          <w:rFonts w:ascii="Tahoma" w:eastAsia="Times New Roman" w:hAnsi="Tahoma" w:cs="Tahoma"/>
          <w:color w:val="000000" w:themeColor="text1"/>
          <w:lang w:eastAsia="lt-LT"/>
        </w:rPr>
        <w:t xml:space="preserve">parengtas </w:t>
      </w:r>
      <w:r w:rsidR="00F23E96" w:rsidRPr="350FD503">
        <w:rPr>
          <w:rFonts w:ascii="Tahoma" w:eastAsia="Times New Roman" w:hAnsi="Tahoma" w:cs="Tahoma"/>
          <w:color w:val="000000" w:themeColor="text1"/>
          <w:lang w:eastAsia="lt-LT"/>
        </w:rPr>
        <w:t xml:space="preserve">pagal </w:t>
      </w:r>
      <w:r w:rsidR="00AA7772" w:rsidRPr="00AA7772">
        <w:rPr>
          <w:rFonts w:ascii="Tahoma" w:eastAsia="Times New Roman" w:hAnsi="Tahoma" w:cs="Tahoma"/>
          <w:color w:val="000000" w:themeColor="text1"/>
          <w:lang w:eastAsia="lt-LT"/>
        </w:rPr>
        <w:t>Tarptautinės buhalterių federacijos Tarptautinių audito ir užtikrinimo standartų valdybos parengt</w:t>
      </w:r>
      <w:r w:rsidR="00AA7772">
        <w:rPr>
          <w:rFonts w:ascii="Tahoma" w:eastAsia="Times New Roman" w:hAnsi="Tahoma" w:cs="Tahoma"/>
          <w:color w:val="000000" w:themeColor="text1"/>
          <w:lang w:eastAsia="lt-LT"/>
        </w:rPr>
        <w:t>us</w:t>
      </w:r>
      <w:r w:rsidR="00AA7772" w:rsidRPr="00AA7772">
        <w:rPr>
          <w:rFonts w:ascii="Tahoma" w:eastAsia="Times New Roman" w:hAnsi="Tahoma" w:cs="Tahoma"/>
          <w:color w:val="000000" w:themeColor="text1"/>
          <w:lang w:eastAsia="lt-LT"/>
        </w:rPr>
        <w:t xml:space="preserve"> ir patvirtint</w:t>
      </w:r>
      <w:r w:rsidR="00AA7772">
        <w:rPr>
          <w:rFonts w:ascii="Tahoma" w:eastAsia="Times New Roman" w:hAnsi="Tahoma" w:cs="Tahoma"/>
          <w:color w:val="000000" w:themeColor="text1"/>
          <w:lang w:eastAsia="lt-LT"/>
        </w:rPr>
        <w:t>u</w:t>
      </w:r>
      <w:r w:rsidR="00AA7772" w:rsidRPr="00AA7772">
        <w:rPr>
          <w:rFonts w:ascii="Tahoma" w:eastAsia="Times New Roman" w:hAnsi="Tahoma" w:cs="Tahoma"/>
          <w:color w:val="000000" w:themeColor="text1"/>
          <w:lang w:eastAsia="lt-LT"/>
        </w:rPr>
        <w:t>s Tarptautini</w:t>
      </w:r>
      <w:r w:rsidR="00AA7772">
        <w:rPr>
          <w:rFonts w:ascii="Tahoma" w:eastAsia="Times New Roman" w:hAnsi="Tahoma" w:cs="Tahoma"/>
          <w:color w:val="000000" w:themeColor="text1"/>
          <w:lang w:eastAsia="lt-LT"/>
        </w:rPr>
        <w:t>u</w:t>
      </w:r>
      <w:r w:rsidR="00AA7772" w:rsidRPr="00AA7772">
        <w:rPr>
          <w:rFonts w:ascii="Tahoma" w:eastAsia="Times New Roman" w:hAnsi="Tahoma" w:cs="Tahoma"/>
          <w:color w:val="000000" w:themeColor="text1"/>
          <w:lang w:eastAsia="lt-LT"/>
        </w:rPr>
        <w:t>s audito standart</w:t>
      </w:r>
      <w:r w:rsidR="00AA7772">
        <w:rPr>
          <w:rFonts w:ascii="Tahoma" w:eastAsia="Times New Roman" w:hAnsi="Tahoma" w:cs="Tahoma"/>
          <w:color w:val="000000" w:themeColor="text1"/>
          <w:lang w:eastAsia="lt-LT"/>
        </w:rPr>
        <w:t>us (TAS)</w:t>
      </w:r>
      <w:r w:rsidR="00AA7772" w:rsidRPr="00AA7772">
        <w:rPr>
          <w:rFonts w:ascii="Tahoma" w:eastAsia="Times New Roman" w:hAnsi="Tahoma" w:cs="Tahoma"/>
          <w:color w:val="000000" w:themeColor="text1"/>
          <w:lang w:eastAsia="lt-LT"/>
        </w:rPr>
        <w:t xml:space="preserve"> </w:t>
      </w:r>
      <w:r w:rsidR="00D23820">
        <w:rPr>
          <w:rFonts w:ascii="Tahoma" w:eastAsia="Times New Roman" w:hAnsi="Tahoma" w:cs="Tahoma"/>
          <w:color w:val="000000" w:themeColor="text1"/>
          <w:lang w:eastAsia="lt-LT"/>
        </w:rPr>
        <w:t>ir</w:t>
      </w:r>
      <w:r w:rsidR="00262787">
        <w:rPr>
          <w:rFonts w:ascii="Tahoma" w:eastAsia="Times New Roman" w:hAnsi="Tahoma" w:cs="Tahoma"/>
          <w:color w:val="000000" w:themeColor="text1"/>
          <w:lang w:eastAsia="lt-LT"/>
        </w:rPr>
        <w:t xml:space="preserve"> </w:t>
      </w:r>
      <w:r w:rsidR="00F23E96" w:rsidRPr="350FD503">
        <w:rPr>
          <w:rFonts w:ascii="Tahoma" w:eastAsia="Times New Roman" w:hAnsi="Tahoma" w:cs="Tahoma"/>
          <w:color w:val="000000" w:themeColor="text1"/>
          <w:lang w:eastAsia="lt-LT"/>
        </w:rPr>
        <w:t xml:space="preserve">Lietuvos Respublikoje galiojančių teisės aktų reikalavimus, o taip pat rekomendacijų laišką Perkančiosios organizacijos vadovybei, </w:t>
      </w:r>
      <w:r w:rsidR="00D23820" w:rsidRPr="00D23820">
        <w:rPr>
          <w:rFonts w:ascii="Tahoma" w:eastAsia="Times New Roman" w:hAnsi="Tahoma" w:cs="Tahoma"/>
          <w:color w:val="000000" w:themeColor="text1"/>
          <w:lang w:eastAsia="lt-LT"/>
        </w:rPr>
        <w:t>parengt</w:t>
      </w:r>
      <w:r w:rsidR="00D23820">
        <w:rPr>
          <w:rFonts w:ascii="Tahoma" w:eastAsia="Times New Roman" w:hAnsi="Tahoma" w:cs="Tahoma"/>
          <w:color w:val="000000" w:themeColor="text1"/>
          <w:lang w:eastAsia="lt-LT"/>
        </w:rPr>
        <w:t>ą</w:t>
      </w:r>
      <w:r w:rsidR="00D23820" w:rsidRPr="00D23820">
        <w:rPr>
          <w:rFonts w:ascii="Tahoma" w:eastAsia="Times New Roman" w:hAnsi="Tahoma" w:cs="Tahoma"/>
          <w:color w:val="000000" w:themeColor="text1"/>
          <w:lang w:eastAsia="lt-LT"/>
        </w:rPr>
        <w:t xml:space="preserve"> pagal </w:t>
      </w:r>
      <w:r w:rsidR="00AA7772">
        <w:rPr>
          <w:rFonts w:ascii="Tahoma" w:eastAsia="Times New Roman" w:hAnsi="Tahoma" w:cs="Tahoma"/>
          <w:color w:val="000000" w:themeColor="text1"/>
          <w:lang w:eastAsia="lt-LT"/>
        </w:rPr>
        <w:t>TAS</w:t>
      </w:r>
      <w:r w:rsidR="00D23820">
        <w:rPr>
          <w:rFonts w:ascii="Tahoma" w:eastAsia="Times New Roman" w:hAnsi="Tahoma" w:cs="Tahoma"/>
          <w:color w:val="000000" w:themeColor="text1"/>
          <w:lang w:eastAsia="lt-LT"/>
        </w:rPr>
        <w:t>,</w:t>
      </w:r>
      <w:r w:rsidR="00D23820" w:rsidRPr="00D23820">
        <w:rPr>
          <w:rFonts w:ascii="Tahoma" w:eastAsia="Times New Roman" w:hAnsi="Tahoma" w:cs="Tahoma"/>
          <w:color w:val="000000" w:themeColor="text1"/>
          <w:lang w:eastAsia="lt-LT"/>
        </w:rPr>
        <w:t xml:space="preserve"> </w:t>
      </w:r>
      <w:r w:rsidR="00F23E96" w:rsidRPr="350FD503">
        <w:rPr>
          <w:rFonts w:ascii="Tahoma" w:eastAsia="Times New Roman" w:hAnsi="Tahoma" w:cs="Tahoma"/>
          <w:color w:val="000000" w:themeColor="text1"/>
          <w:lang w:eastAsia="lt-LT"/>
        </w:rPr>
        <w:t>apimantį Tiekėjo pastebėjimus dėl vidaus kontrolės sistemos trūkumų ir tobulintinų sričių.</w:t>
      </w:r>
    </w:p>
    <w:p w14:paraId="38B85060" w14:textId="67ED6C17" w:rsidR="00F23E96" w:rsidRPr="00321324" w:rsidRDefault="00F23E96" w:rsidP="00347E42">
      <w:pPr>
        <w:spacing w:after="0"/>
        <w:ind w:firstLine="851"/>
        <w:jc w:val="both"/>
        <w:rPr>
          <w:rFonts w:ascii="Tahoma" w:eastAsia="Calibri" w:hAnsi="Tahoma" w:cs="Tahoma"/>
          <w:lang w:eastAsia="en-US"/>
        </w:rPr>
      </w:pPr>
      <w:r w:rsidRPr="00321324">
        <w:rPr>
          <w:rFonts w:ascii="Tahoma" w:eastAsia="Calibri" w:hAnsi="Tahoma" w:cs="Tahoma"/>
          <w:lang w:eastAsia="en-US"/>
        </w:rPr>
        <w:t>1.</w:t>
      </w:r>
      <w:r w:rsidR="00E22B48">
        <w:rPr>
          <w:rFonts w:ascii="Tahoma" w:eastAsia="Calibri" w:hAnsi="Tahoma" w:cs="Tahoma"/>
          <w:lang w:eastAsia="en-US"/>
        </w:rPr>
        <w:t>3</w:t>
      </w:r>
      <w:r w:rsidRPr="00321324">
        <w:rPr>
          <w:rFonts w:ascii="Tahoma" w:eastAsia="Calibri" w:hAnsi="Tahoma" w:cs="Tahoma"/>
          <w:lang w:eastAsia="en-US"/>
        </w:rPr>
        <w:t>. Tiekėjas turi būti nepriklausomas nuo Perkančiosios organizacijos laikantis Tarptautinės buhalterių federacijos patvirtintame Buhalterių profesionalų etikos kodekse išdėstytų nepriklausomumo reikalavimų.</w:t>
      </w:r>
    </w:p>
    <w:p w14:paraId="11F037BD" w14:textId="7B35A0F6" w:rsidR="00F23E96" w:rsidRPr="00321324" w:rsidRDefault="00F23E96" w:rsidP="00347E42">
      <w:pPr>
        <w:spacing w:after="0"/>
        <w:ind w:firstLine="851"/>
        <w:jc w:val="both"/>
        <w:rPr>
          <w:rFonts w:ascii="Tahoma" w:eastAsia="Calibri" w:hAnsi="Tahoma" w:cs="Tahoma"/>
          <w:color w:val="000000" w:themeColor="text1"/>
          <w:lang w:eastAsia="en-US"/>
        </w:rPr>
      </w:pPr>
      <w:r w:rsidRPr="3AD9F9EF">
        <w:rPr>
          <w:rFonts w:ascii="Tahoma" w:eastAsia="Calibri" w:hAnsi="Tahoma" w:cs="Tahoma"/>
          <w:lang w:eastAsia="en-US"/>
        </w:rPr>
        <w:t>1.</w:t>
      </w:r>
      <w:r w:rsidR="00E22B48">
        <w:rPr>
          <w:rFonts w:ascii="Tahoma" w:eastAsia="Calibri" w:hAnsi="Tahoma" w:cs="Tahoma"/>
          <w:lang w:eastAsia="en-US"/>
        </w:rPr>
        <w:t>4</w:t>
      </w:r>
      <w:r w:rsidRPr="3AD9F9EF">
        <w:rPr>
          <w:rFonts w:ascii="Tahoma" w:eastAsia="Calibri" w:hAnsi="Tahoma" w:cs="Tahoma"/>
          <w:lang w:eastAsia="en-US"/>
        </w:rPr>
        <w:t xml:space="preserve">. Paslaugos teikiamos pagal šios Techninės specifikacijos reikalavimus, vadovaujantis </w:t>
      </w:r>
      <w:r w:rsidR="00AA7772">
        <w:rPr>
          <w:rFonts w:ascii="Tahoma" w:eastAsia="Calibri" w:hAnsi="Tahoma" w:cs="Tahoma"/>
          <w:color w:val="000000" w:themeColor="text1"/>
          <w:lang w:eastAsia="lt-LT"/>
        </w:rPr>
        <w:t>TAS</w:t>
      </w:r>
      <w:r w:rsidR="00AA7772">
        <w:rPr>
          <w:rFonts w:ascii="Tahoma" w:eastAsia="Times New Roman" w:hAnsi="Tahoma" w:cs="Tahoma"/>
          <w:color w:val="000000" w:themeColor="text1"/>
          <w:lang w:eastAsia="lt-LT"/>
        </w:rPr>
        <w:t>,</w:t>
      </w:r>
      <w:r w:rsidR="00AA7772" w:rsidRPr="3AD9F9EF">
        <w:rPr>
          <w:rFonts w:ascii="Tahoma" w:eastAsia="Calibri" w:hAnsi="Tahoma" w:cs="Tahoma"/>
          <w:lang w:eastAsia="en-US"/>
        </w:rPr>
        <w:t xml:space="preserve"> </w:t>
      </w:r>
      <w:r w:rsidRPr="3AD9F9EF">
        <w:rPr>
          <w:rFonts w:ascii="Tahoma" w:eastAsia="Calibri" w:hAnsi="Tahoma" w:cs="Tahoma"/>
          <w:lang w:eastAsia="en-US"/>
        </w:rPr>
        <w:t xml:space="preserve">Lietuvos Respublikos finansinių ataskaitų audito </w:t>
      </w:r>
      <w:r w:rsidR="00D57CC9" w:rsidRPr="3AD9F9EF">
        <w:rPr>
          <w:rFonts w:ascii="Tahoma" w:eastAsia="Calibri" w:hAnsi="Tahoma" w:cs="Tahoma"/>
          <w:lang w:eastAsia="en-US"/>
        </w:rPr>
        <w:t xml:space="preserve">ir kitų užtikrinimo paslaugų </w:t>
      </w:r>
      <w:r w:rsidRPr="3AD9F9EF">
        <w:rPr>
          <w:rFonts w:ascii="Tahoma" w:eastAsia="Calibri" w:hAnsi="Tahoma" w:cs="Tahoma"/>
          <w:lang w:eastAsia="en-US"/>
        </w:rPr>
        <w:t xml:space="preserve">įstatymu, </w:t>
      </w:r>
      <w:r w:rsidR="1BD72CC8" w:rsidRPr="3AD9F9EF">
        <w:rPr>
          <w:rFonts w:ascii="Tahoma" w:eastAsia="Calibri" w:hAnsi="Tahoma" w:cs="Tahoma"/>
          <w:lang w:eastAsia="en-US"/>
        </w:rPr>
        <w:t xml:space="preserve">Lietuvos Respublikos įmonių ir įmonių grupių atskaitomybės įstatymu, </w:t>
      </w:r>
      <w:r w:rsidRPr="3AD9F9EF">
        <w:rPr>
          <w:rFonts w:ascii="Tahoma" w:eastAsia="Calibri" w:hAnsi="Tahoma" w:cs="Tahoma"/>
          <w:lang w:eastAsia="en-US"/>
        </w:rPr>
        <w:t xml:space="preserve">Lietuvos Respublikos galiojančiais įstatymais bei kitais teisės aktais, reglamentuojančiais auditą bei auditorių darbą, Lietuvos auditorių rūmų metodiniais nurodymais, auditorių profesinėmis žiniomis ir patirtimi bei auditoriaus savarankiškai pasirinktomis audito atlikimo procedūromis, </w:t>
      </w:r>
      <w:r w:rsidRPr="3AD9F9EF">
        <w:rPr>
          <w:rFonts w:ascii="Tahoma" w:eastAsia="Calibri" w:hAnsi="Tahoma" w:cs="Tahoma"/>
          <w:color w:val="000000" w:themeColor="text1"/>
          <w:lang w:eastAsia="lt-LT"/>
        </w:rPr>
        <w:t>1-uoju tarptautiniu kokybės kontrolės standartu ir kitais su audito atlikimu susijusiais standartais</w:t>
      </w:r>
      <w:r w:rsidRPr="3AD9F9EF">
        <w:rPr>
          <w:rFonts w:ascii="Tahoma" w:eastAsia="Calibri" w:hAnsi="Tahoma" w:cs="Tahoma"/>
          <w:color w:val="000000" w:themeColor="text1"/>
          <w:lang w:eastAsia="en-US"/>
        </w:rPr>
        <w:t xml:space="preserve">, </w:t>
      </w:r>
      <w:r w:rsidRPr="3AD9F9EF">
        <w:rPr>
          <w:rFonts w:ascii="Tahoma" w:eastAsia="Calibri" w:hAnsi="Tahoma" w:cs="Tahoma"/>
          <w:color w:val="000000" w:themeColor="text1"/>
          <w:lang w:eastAsia="lt-LT"/>
        </w:rPr>
        <w:t>Tarptautinės buhalterių federacijos patvirtintomis Buhalterių profesionalų etikos kodekso nuostatomis</w:t>
      </w:r>
      <w:r w:rsidRPr="3AD9F9EF">
        <w:rPr>
          <w:rFonts w:ascii="Tahoma" w:eastAsia="Calibri" w:hAnsi="Tahoma" w:cs="Tahoma"/>
          <w:color w:val="000000" w:themeColor="text1"/>
          <w:lang w:eastAsia="en-US"/>
        </w:rPr>
        <w:t>.</w:t>
      </w:r>
    </w:p>
    <w:p w14:paraId="4796FE5D" w14:textId="6B30B758" w:rsidR="00F23E96" w:rsidRPr="00841477" w:rsidRDefault="00F23E96" w:rsidP="00347E42">
      <w:pPr>
        <w:spacing w:after="0"/>
        <w:ind w:firstLine="851"/>
        <w:jc w:val="both"/>
        <w:rPr>
          <w:rFonts w:ascii="Tahoma" w:eastAsia="Calibri" w:hAnsi="Tahoma" w:cs="Tahoma"/>
          <w:lang w:eastAsia="en-US"/>
        </w:rPr>
      </w:pPr>
      <w:r w:rsidRPr="00321324">
        <w:rPr>
          <w:rFonts w:ascii="Tahoma" w:eastAsia="Calibri" w:hAnsi="Tahoma" w:cs="Tahoma"/>
          <w:lang w:eastAsia="en-US"/>
        </w:rPr>
        <w:lastRenderedPageBreak/>
        <w:t>1.</w:t>
      </w:r>
      <w:r w:rsidR="00E22B48">
        <w:rPr>
          <w:rFonts w:ascii="Tahoma" w:eastAsia="Calibri" w:hAnsi="Tahoma" w:cs="Tahoma"/>
          <w:lang w:eastAsia="en-US"/>
        </w:rPr>
        <w:t>5</w:t>
      </w:r>
      <w:r w:rsidRPr="00321324">
        <w:rPr>
          <w:rFonts w:ascii="Tahoma" w:eastAsia="Calibri" w:hAnsi="Tahoma" w:cs="Tahoma"/>
          <w:lang w:eastAsia="en-US"/>
        </w:rPr>
        <w:t>. Tiekėjo Paslaugų teikimo metu parengti dokumentai, taip pat iš Perkančiosios organizacijos gauti dokumentai (ar jų kopijos) ir informacija yra laikomi Ti</w:t>
      </w:r>
      <w:r w:rsidRPr="00841477">
        <w:rPr>
          <w:rFonts w:ascii="Tahoma" w:eastAsia="Calibri" w:hAnsi="Tahoma" w:cs="Tahoma"/>
          <w:lang w:eastAsia="en-US"/>
        </w:rPr>
        <w:t>ekėjo darbo dokumentais ir yra jo nuosavybė. Tiekėjas įsipareigoja užtikrinti iš Perkančiosios organizacijos gautų dokumentų (ar jų kopijų) ir informacijos konfidencialumą bei apsaugą. Tokie dokumentai (ar jų kopijos) ir informacija gali būti atskleisti tik Lietuvos Respublikos teisės aktų numatytais atvejais.</w:t>
      </w:r>
    </w:p>
    <w:p w14:paraId="06A9122D" w14:textId="6F96E654" w:rsidR="00F23E96" w:rsidRPr="00841477" w:rsidRDefault="00F23E96" w:rsidP="00347E42">
      <w:pPr>
        <w:spacing w:after="0"/>
        <w:ind w:firstLine="851"/>
        <w:jc w:val="both"/>
        <w:rPr>
          <w:rFonts w:ascii="Tahoma" w:eastAsia="Calibri" w:hAnsi="Tahoma" w:cs="Tahoma"/>
          <w:lang w:eastAsia="en-US"/>
        </w:rPr>
      </w:pPr>
      <w:r w:rsidRPr="00841477">
        <w:rPr>
          <w:rFonts w:ascii="Tahoma" w:eastAsia="Calibri" w:hAnsi="Tahoma" w:cs="Tahoma"/>
          <w:lang w:eastAsia="en-US"/>
        </w:rPr>
        <w:t>1.</w:t>
      </w:r>
      <w:r w:rsidR="00E22B48">
        <w:rPr>
          <w:rFonts w:ascii="Tahoma" w:eastAsia="Calibri" w:hAnsi="Tahoma" w:cs="Tahoma"/>
          <w:lang w:eastAsia="en-US"/>
        </w:rPr>
        <w:t>6</w:t>
      </w:r>
      <w:r w:rsidRPr="00841477">
        <w:rPr>
          <w:rFonts w:ascii="Tahoma" w:eastAsia="Calibri" w:hAnsi="Tahoma" w:cs="Tahoma"/>
          <w:lang w:eastAsia="en-US"/>
        </w:rPr>
        <w:t>. Perkančiosios organizacijos finansiniai metai sutampa su kalendoriniais metais.</w:t>
      </w:r>
    </w:p>
    <w:p w14:paraId="7FC5EF98" w14:textId="7EEF35DD" w:rsidR="004C2EC0" w:rsidRDefault="00F23E96" w:rsidP="004C2EC0">
      <w:pPr>
        <w:spacing w:after="0"/>
        <w:ind w:firstLine="851"/>
        <w:jc w:val="both"/>
        <w:rPr>
          <w:rFonts w:ascii="Tahoma" w:eastAsia="Calibri" w:hAnsi="Tahoma" w:cs="Tahoma"/>
          <w:lang w:eastAsia="en-US"/>
        </w:rPr>
      </w:pPr>
      <w:r w:rsidRPr="00841477">
        <w:rPr>
          <w:rFonts w:ascii="Tahoma" w:eastAsia="Calibri" w:hAnsi="Tahoma" w:cs="Tahoma"/>
          <w:lang w:eastAsia="en-US"/>
        </w:rPr>
        <w:t>1.</w:t>
      </w:r>
      <w:r w:rsidR="00E22B48">
        <w:rPr>
          <w:rFonts w:ascii="Tahoma" w:eastAsia="Calibri" w:hAnsi="Tahoma" w:cs="Tahoma"/>
          <w:lang w:eastAsia="en-US"/>
        </w:rPr>
        <w:t>7</w:t>
      </w:r>
      <w:r w:rsidRPr="00841477">
        <w:rPr>
          <w:rFonts w:ascii="Tahoma" w:eastAsia="Calibri" w:hAnsi="Tahoma" w:cs="Tahoma"/>
          <w:lang w:eastAsia="en-US"/>
        </w:rPr>
        <w:t xml:space="preserve">. </w:t>
      </w:r>
      <w:r>
        <w:rPr>
          <w:rFonts w:ascii="Tahoma" w:eastAsia="Calibri" w:hAnsi="Tahoma" w:cs="Tahoma"/>
          <w:lang w:eastAsia="en-US"/>
        </w:rPr>
        <w:t xml:space="preserve">Prieš pradėdamas </w:t>
      </w:r>
      <w:r w:rsidR="000E6684">
        <w:rPr>
          <w:rFonts w:ascii="Tahoma" w:eastAsia="Calibri" w:hAnsi="Tahoma" w:cs="Tahoma"/>
          <w:lang w:eastAsia="en-US"/>
        </w:rPr>
        <w:t>teikti paslaugas</w:t>
      </w:r>
      <w:r>
        <w:rPr>
          <w:rFonts w:ascii="Tahoma" w:eastAsia="Calibri" w:hAnsi="Tahoma" w:cs="Tahoma"/>
          <w:lang w:eastAsia="en-US"/>
        </w:rPr>
        <w:t>, Tiekėjas</w:t>
      </w:r>
      <w:r w:rsidRPr="003F3C58">
        <w:rPr>
          <w:rFonts w:ascii="Tahoma" w:eastAsia="Calibri" w:hAnsi="Tahoma" w:cs="Tahoma"/>
          <w:lang w:eastAsia="en-US"/>
        </w:rPr>
        <w:t xml:space="preserve"> </w:t>
      </w:r>
      <w:r>
        <w:rPr>
          <w:rFonts w:ascii="Tahoma" w:eastAsia="Calibri" w:hAnsi="Tahoma" w:cs="Tahoma"/>
          <w:lang w:eastAsia="en-US"/>
        </w:rPr>
        <w:t>Perkančiajai organizacijai</w:t>
      </w:r>
      <w:r w:rsidRPr="003F3C58">
        <w:rPr>
          <w:rFonts w:ascii="Tahoma" w:eastAsia="Calibri" w:hAnsi="Tahoma" w:cs="Tahoma"/>
          <w:lang w:eastAsia="en-US"/>
        </w:rPr>
        <w:t xml:space="preserve"> turi pateikti būtinos informacijos sąrašą su pageidaujamomis jos pateikimo formomis. </w:t>
      </w:r>
      <w:r>
        <w:rPr>
          <w:rFonts w:ascii="Tahoma" w:eastAsia="Calibri" w:hAnsi="Tahoma" w:cs="Tahoma"/>
          <w:lang w:eastAsia="en-US"/>
        </w:rPr>
        <w:t>Perkančioji organizacija</w:t>
      </w:r>
      <w:r w:rsidRPr="003F3C58">
        <w:rPr>
          <w:rFonts w:ascii="Tahoma" w:eastAsia="Calibri" w:hAnsi="Tahoma" w:cs="Tahoma"/>
          <w:lang w:eastAsia="en-US"/>
        </w:rPr>
        <w:t xml:space="preserve"> įsipareigoja per 20 </w:t>
      </w:r>
      <w:r w:rsidR="00521511">
        <w:rPr>
          <w:rFonts w:ascii="Tahoma" w:eastAsia="Calibri" w:hAnsi="Tahoma" w:cs="Tahoma"/>
          <w:lang w:eastAsia="en-US"/>
        </w:rPr>
        <w:t>darbo dienas</w:t>
      </w:r>
      <w:r w:rsidRPr="003F3C58">
        <w:rPr>
          <w:rFonts w:ascii="Tahoma" w:eastAsia="Calibri" w:hAnsi="Tahoma" w:cs="Tahoma"/>
          <w:lang w:eastAsia="en-US"/>
        </w:rPr>
        <w:t xml:space="preserve"> nuo </w:t>
      </w:r>
      <w:r w:rsidRPr="00A923A2">
        <w:rPr>
          <w:rFonts w:ascii="Tahoma" w:eastAsia="Calibri" w:hAnsi="Tahoma" w:cs="Tahoma"/>
          <w:lang w:eastAsia="en-US"/>
        </w:rPr>
        <w:t>būtinos informacijos sąrašo gavimo dienos arba su Tiekėju suderintą terminą pateikti Tiekėjui prašomą informaciją</w:t>
      </w:r>
      <w:r w:rsidR="00EB296A" w:rsidRPr="00A923A2">
        <w:rPr>
          <w:rFonts w:ascii="Tahoma" w:eastAsia="Calibri" w:hAnsi="Tahoma" w:cs="Tahoma"/>
          <w:lang w:eastAsia="en-US"/>
        </w:rPr>
        <w:t xml:space="preserve"> </w:t>
      </w:r>
      <w:r w:rsidR="00EB296A" w:rsidRPr="00A923A2">
        <w:rPr>
          <w:rFonts w:ascii="Tahoma" w:eastAsia="Calibri" w:hAnsi="Tahoma" w:cs="Tahoma"/>
          <w:lang w:val="en-US" w:eastAsia="en-US"/>
        </w:rPr>
        <w:t>(šalių sutartu būdu, pvz. el. paštu)</w:t>
      </w:r>
      <w:r w:rsidRPr="00A923A2">
        <w:rPr>
          <w:rFonts w:ascii="Tahoma" w:eastAsia="Calibri" w:hAnsi="Tahoma" w:cs="Tahoma"/>
          <w:lang w:eastAsia="en-US"/>
        </w:rPr>
        <w:t>. Vėliau</w:t>
      </w:r>
      <w:r w:rsidRPr="00A923A2">
        <w:t xml:space="preserve"> </w:t>
      </w:r>
      <w:r w:rsidRPr="00A923A2">
        <w:rPr>
          <w:rFonts w:ascii="Tahoma" w:eastAsia="Calibri" w:hAnsi="Tahoma" w:cs="Tahoma"/>
          <w:lang w:eastAsia="en-US"/>
        </w:rPr>
        <w:t xml:space="preserve">Perkančioji organizacija įsipareigoja pateikti </w:t>
      </w:r>
      <w:r w:rsidR="00B92F84" w:rsidRPr="00A923A2">
        <w:rPr>
          <w:rFonts w:ascii="Tahoma" w:eastAsia="Calibri" w:hAnsi="Tahoma" w:cs="Tahoma"/>
          <w:lang w:val="en-US" w:eastAsia="en-US"/>
        </w:rPr>
        <w:t>(šalių sutartu būdu, pvz. el. paštu</w:t>
      </w:r>
      <w:r w:rsidR="00B92F84" w:rsidRPr="00A923A2">
        <w:rPr>
          <w:rFonts w:ascii="Tahoma" w:eastAsia="Calibri" w:hAnsi="Tahoma" w:cs="Tahoma"/>
          <w:lang w:eastAsia="en-US"/>
        </w:rPr>
        <w:t>) T</w:t>
      </w:r>
      <w:r w:rsidRPr="00A923A2">
        <w:rPr>
          <w:rFonts w:ascii="Tahoma" w:eastAsia="Calibri" w:hAnsi="Tahoma" w:cs="Tahoma"/>
          <w:lang w:eastAsia="en-US"/>
        </w:rPr>
        <w:t>iekėjui visus tinkamam Paslaugų suteikimui reikalingus dokumentus ir informaciją ne vėliau kaip per</w:t>
      </w:r>
      <w:r w:rsidRPr="00841477">
        <w:rPr>
          <w:rFonts w:ascii="Tahoma" w:eastAsia="Calibri" w:hAnsi="Tahoma" w:cs="Tahoma"/>
          <w:lang w:eastAsia="en-US"/>
        </w:rPr>
        <w:t xml:space="preserve"> </w:t>
      </w:r>
      <w:r w:rsidR="00120757">
        <w:rPr>
          <w:rFonts w:ascii="Tahoma" w:eastAsia="Calibri" w:hAnsi="Tahoma" w:cs="Tahoma"/>
          <w:lang w:eastAsia="en-US"/>
        </w:rPr>
        <w:t>7</w:t>
      </w:r>
      <w:r w:rsidRPr="00841477">
        <w:rPr>
          <w:rFonts w:ascii="Tahoma" w:eastAsia="Calibri" w:hAnsi="Tahoma" w:cs="Tahoma"/>
          <w:lang w:eastAsia="en-US"/>
        </w:rPr>
        <w:t xml:space="preserve"> darbo dien</w:t>
      </w:r>
      <w:r w:rsidR="00120757">
        <w:rPr>
          <w:rFonts w:ascii="Tahoma" w:eastAsia="Calibri" w:hAnsi="Tahoma" w:cs="Tahoma"/>
          <w:lang w:eastAsia="en-US"/>
        </w:rPr>
        <w:t>as</w:t>
      </w:r>
      <w:r w:rsidRPr="00841477">
        <w:rPr>
          <w:rFonts w:ascii="Tahoma" w:eastAsia="Calibri" w:hAnsi="Tahoma" w:cs="Tahoma"/>
          <w:lang w:eastAsia="en-US"/>
        </w:rPr>
        <w:t xml:space="preserve"> nuo Tiekėjo pareikalavimo.</w:t>
      </w:r>
    </w:p>
    <w:p w14:paraId="009D1F89" w14:textId="5FEE02CB" w:rsidR="0095586D" w:rsidRDefault="004C2EC0" w:rsidP="0095586D">
      <w:pPr>
        <w:spacing w:after="0"/>
        <w:ind w:firstLine="851"/>
        <w:jc w:val="both"/>
        <w:rPr>
          <w:rFonts w:ascii="Tahoma" w:hAnsi="Tahoma" w:cs="Tahoma"/>
        </w:rPr>
      </w:pPr>
      <w:r>
        <w:rPr>
          <w:rFonts w:ascii="Tahoma" w:eastAsia="Calibri" w:hAnsi="Tahoma" w:cs="Tahoma"/>
          <w:lang w:eastAsia="en-US"/>
        </w:rPr>
        <w:t>1.</w:t>
      </w:r>
      <w:r w:rsidR="0002237A">
        <w:rPr>
          <w:rFonts w:ascii="Tahoma" w:eastAsia="Calibri" w:hAnsi="Tahoma" w:cs="Tahoma"/>
          <w:lang w:eastAsia="en-US"/>
        </w:rPr>
        <w:t>8</w:t>
      </w:r>
      <w:r>
        <w:rPr>
          <w:rFonts w:ascii="Tahoma" w:eastAsia="Calibri" w:hAnsi="Tahoma" w:cs="Tahoma"/>
          <w:lang w:eastAsia="en-US"/>
        </w:rPr>
        <w:t xml:space="preserve">. </w:t>
      </w:r>
      <w:r w:rsidRPr="00841477">
        <w:rPr>
          <w:rFonts w:ascii="Tahoma" w:eastAsia="Calibri" w:hAnsi="Tahoma" w:cs="Tahoma"/>
          <w:lang w:eastAsia="en-US"/>
        </w:rPr>
        <w:t>Perkančiosios organizacijos</w:t>
      </w:r>
      <w:r w:rsidRPr="004C2EC0">
        <w:rPr>
          <w:rFonts w:ascii="Tahoma" w:hAnsi="Tahoma" w:cs="Tahoma"/>
        </w:rPr>
        <w:t xml:space="preserve"> prašymu </w:t>
      </w:r>
      <w:r>
        <w:rPr>
          <w:rFonts w:ascii="Tahoma" w:hAnsi="Tahoma" w:cs="Tahoma"/>
        </w:rPr>
        <w:t>Tiekėjo</w:t>
      </w:r>
      <w:r w:rsidRPr="004C2EC0">
        <w:rPr>
          <w:rFonts w:ascii="Tahoma" w:hAnsi="Tahoma" w:cs="Tahoma"/>
        </w:rPr>
        <w:t xml:space="preserve"> atstovai turės dalyvauti </w:t>
      </w:r>
      <w:r w:rsidRPr="00841477">
        <w:rPr>
          <w:rFonts w:ascii="Tahoma" w:eastAsia="Calibri" w:hAnsi="Tahoma" w:cs="Tahoma"/>
          <w:lang w:eastAsia="en-US"/>
        </w:rPr>
        <w:t>Perkančiosios organizacijos</w:t>
      </w:r>
      <w:r w:rsidRPr="004C2EC0">
        <w:rPr>
          <w:rFonts w:ascii="Tahoma" w:hAnsi="Tahoma" w:cs="Tahoma"/>
        </w:rPr>
        <w:t xml:space="preserve"> kolegialių valdymo ir (ar) priežiūros organų posėdžiuose. Apie poreikį dalyvauti posėdyje </w:t>
      </w:r>
      <w:r>
        <w:rPr>
          <w:rFonts w:ascii="Tahoma" w:hAnsi="Tahoma" w:cs="Tahoma"/>
        </w:rPr>
        <w:t xml:space="preserve">Tiekėją </w:t>
      </w:r>
      <w:r w:rsidRPr="00841477">
        <w:rPr>
          <w:rFonts w:ascii="Tahoma" w:eastAsia="Calibri" w:hAnsi="Tahoma" w:cs="Tahoma"/>
          <w:lang w:eastAsia="en-US"/>
        </w:rPr>
        <w:t>Perkančio</w:t>
      </w:r>
      <w:r>
        <w:rPr>
          <w:rFonts w:ascii="Tahoma" w:eastAsia="Calibri" w:hAnsi="Tahoma" w:cs="Tahoma"/>
          <w:lang w:eastAsia="en-US"/>
        </w:rPr>
        <w:t>ji</w:t>
      </w:r>
      <w:r w:rsidRPr="00841477">
        <w:rPr>
          <w:rFonts w:ascii="Tahoma" w:eastAsia="Calibri" w:hAnsi="Tahoma" w:cs="Tahoma"/>
          <w:lang w:eastAsia="en-US"/>
        </w:rPr>
        <w:t xml:space="preserve"> organizacij</w:t>
      </w:r>
      <w:r>
        <w:rPr>
          <w:rFonts w:ascii="Tahoma" w:eastAsia="Calibri" w:hAnsi="Tahoma" w:cs="Tahoma"/>
          <w:lang w:eastAsia="en-US"/>
        </w:rPr>
        <w:t>a</w:t>
      </w:r>
      <w:r w:rsidRPr="004C2EC0">
        <w:rPr>
          <w:rFonts w:ascii="Tahoma" w:hAnsi="Tahoma" w:cs="Tahoma"/>
        </w:rPr>
        <w:t xml:space="preserve"> informuos el. </w:t>
      </w:r>
      <w:r>
        <w:rPr>
          <w:rFonts w:ascii="Tahoma" w:hAnsi="Tahoma" w:cs="Tahoma"/>
        </w:rPr>
        <w:t>p</w:t>
      </w:r>
      <w:r w:rsidRPr="004C2EC0">
        <w:rPr>
          <w:rFonts w:ascii="Tahoma" w:hAnsi="Tahoma" w:cs="Tahoma"/>
        </w:rPr>
        <w:t xml:space="preserve">aštu ne vėliau kaip prieš 5 (penkias) darbo dienas iki nustatytos posėdžio datos. </w:t>
      </w:r>
      <w:r>
        <w:rPr>
          <w:rFonts w:ascii="Tahoma" w:hAnsi="Tahoma" w:cs="Tahoma"/>
        </w:rPr>
        <w:t xml:space="preserve">Tiekėjui </w:t>
      </w:r>
      <w:r w:rsidRPr="00841477">
        <w:rPr>
          <w:rFonts w:ascii="Tahoma" w:eastAsia="Calibri" w:hAnsi="Tahoma" w:cs="Tahoma"/>
          <w:lang w:eastAsia="en-US"/>
        </w:rPr>
        <w:t>Perkančiosios organizacijos</w:t>
      </w:r>
      <w:r w:rsidRPr="004C2EC0">
        <w:rPr>
          <w:rFonts w:ascii="Tahoma" w:hAnsi="Tahoma" w:cs="Tahoma"/>
        </w:rPr>
        <w:t xml:space="preserve"> kolegialių valdymo ir</w:t>
      </w:r>
      <w:r w:rsidR="00521511">
        <w:rPr>
          <w:rFonts w:ascii="Tahoma" w:hAnsi="Tahoma" w:cs="Tahoma"/>
        </w:rPr>
        <w:t xml:space="preserve"> (ar)</w:t>
      </w:r>
      <w:r w:rsidRPr="004C2EC0">
        <w:rPr>
          <w:rFonts w:ascii="Tahoma" w:hAnsi="Tahoma" w:cs="Tahoma"/>
        </w:rPr>
        <w:t xml:space="preserve"> priežiūros organų posėdžiuose reikės dalyvauti ne mažiau kaip </w:t>
      </w:r>
      <w:r>
        <w:rPr>
          <w:rFonts w:ascii="Tahoma" w:hAnsi="Tahoma" w:cs="Tahoma"/>
        </w:rPr>
        <w:t>5</w:t>
      </w:r>
      <w:r w:rsidRPr="004C2EC0">
        <w:rPr>
          <w:rFonts w:ascii="Tahoma" w:hAnsi="Tahoma" w:cs="Tahoma"/>
        </w:rPr>
        <w:t xml:space="preserve"> (</w:t>
      </w:r>
      <w:r>
        <w:rPr>
          <w:rFonts w:ascii="Tahoma" w:hAnsi="Tahoma" w:cs="Tahoma"/>
        </w:rPr>
        <w:t>penkis</w:t>
      </w:r>
      <w:r w:rsidRPr="004C2EC0">
        <w:rPr>
          <w:rFonts w:ascii="Tahoma" w:hAnsi="Tahoma" w:cs="Tahoma"/>
        </w:rPr>
        <w:t>) kartus per kalendorinius metus.</w:t>
      </w:r>
    </w:p>
    <w:p w14:paraId="4E52B88C" w14:textId="12CAD9B6" w:rsidR="0095586D" w:rsidRPr="0047779A" w:rsidRDefault="0095586D" w:rsidP="0095586D">
      <w:pPr>
        <w:spacing w:after="0"/>
        <w:ind w:firstLine="851"/>
        <w:jc w:val="both"/>
        <w:rPr>
          <w:rFonts w:ascii="Tahoma" w:hAnsi="Tahoma" w:cs="Tahoma"/>
          <w:color w:val="000000" w:themeColor="text1"/>
        </w:rPr>
      </w:pPr>
      <w:r>
        <w:rPr>
          <w:rFonts w:ascii="Tahoma" w:hAnsi="Tahoma" w:cs="Tahoma"/>
        </w:rPr>
        <w:t>1.</w:t>
      </w:r>
      <w:r w:rsidR="0002237A">
        <w:rPr>
          <w:rFonts w:ascii="Tahoma" w:hAnsi="Tahoma" w:cs="Tahoma"/>
        </w:rPr>
        <w:t>9</w:t>
      </w:r>
      <w:r>
        <w:rPr>
          <w:rFonts w:ascii="Tahoma" w:hAnsi="Tahoma" w:cs="Tahoma"/>
        </w:rPr>
        <w:t xml:space="preserve">. </w:t>
      </w:r>
      <w:r w:rsidRPr="00A75CF6">
        <w:rPr>
          <w:rFonts w:ascii="Tahoma" w:eastAsia="Times New Roman" w:hAnsi="Tahoma" w:cs="Tahoma"/>
          <w:lang w:eastAsia="da-DK"/>
        </w:rPr>
        <w:t xml:space="preserve">Jeigu paslaugų teikimo metu teisės aktai nustatys audituojamoms įmonėms, audito įmonėms ar auditoriams papildomus įpareigojimus, susijusius su </w:t>
      </w:r>
      <w:r w:rsidR="00521511">
        <w:rPr>
          <w:rFonts w:ascii="Tahoma" w:eastAsia="Tahoma" w:hAnsi="Tahoma" w:cs="Tahoma"/>
          <w:lang w:eastAsia="en-US"/>
        </w:rPr>
        <w:t>m</w:t>
      </w:r>
      <w:r w:rsidR="00521511" w:rsidRPr="00997BA9">
        <w:rPr>
          <w:rFonts w:ascii="Tahoma" w:eastAsia="Tahoma" w:hAnsi="Tahoma" w:cs="Tahoma"/>
          <w:lang w:eastAsia="en-US"/>
        </w:rPr>
        <w:t>etinių finansinių ataskaitų rinkinio audito</w:t>
      </w:r>
      <w:r w:rsidRPr="00A75CF6">
        <w:rPr>
          <w:rFonts w:ascii="Tahoma" w:eastAsia="Times New Roman" w:hAnsi="Tahoma" w:cs="Tahoma"/>
          <w:lang w:eastAsia="da-DK"/>
        </w:rPr>
        <w:t xml:space="preserve"> </w:t>
      </w:r>
      <w:r w:rsidRPr="0047779A">
        <w:rPr>
          <w:rFonts w:ascii="Tahoma" w:eastAsia="Times New Roman" w:hAnsi="Tahoma" w:cs="Tahoma"/>
          <w:color w:val="000000" w:themeColor="text1"/>
          <w:lang w:eastAsia="da-DK"/>
        </w:rPr>
        <w:t>paslaugų atlikimu, š</w:t>
      </w:r>
      <w:r w:rsidR="003E36EA">
        <w:rPr>
          <w:rFonts w:ascii="Tahoma" w:eastAsia="Times New Roman" w:hAnsi="Tahoma" w:cs="Tahoma"/>
          <w:color w:val="000000" w:themeColor="text1"/>
          <w:lang w:eastAsia="da-DK"/>
        </w:rPr>
        <w:t>ie</w:t>
      </w:r>
      <w:r w:rsidRPr="0047779A">
        <w:rPr>
          <w:rFonts w:ascii="Tahoma" w:eastAsia="Times New Roman" w:hAnsi="Tahoma" w:cs="Tahoma"/>
          <w:color w:val="000000" w:themeColor="text1"/>
          <w:lang w:eastAsia="da-DK"/>
        </w:rPr>
        <w:t xml:space="preserve"> </w:t>
      </w:r>
      <w:r w:rsidR="003E36EA">
        <w:rPr>
          <w:rFonts w:ascii="Tahoma" w:eastAsia="Times New Roman" w:hAnsi="Tahoma" w:cs="Tahoma"/>
          <w:color w:val="000000" w:themeColor="text1"/>
          <w:lang w:eastAsia="da-DK"/>
        </w:rPr>
        <w:t>papildomi įpareigojimai</w:t>
      </w:r>
      <w:r w:rsidRPr="0047779A">
        <w:rPr>
          <w:rFonts w:ascii="Tahoma" w:eastAsia="Times New Roman" w:hAnsi="Tahoma" w:cs="Tahoma"/>
          <w:color w:val="000000" w:themeColor="text1"/>
          <w:lang w:eastAsia="da-DK"/>
        </w:rPr>
        <w:t xml:space="preserve"> įeis į Pirkimo objekto apimtį ir kainą.</w:t>
      </w:r>
    </w:p>
    <w:p w14:paraId="5C709B21" w14:textId="717012BD" w:rsidR="00F23E96" w:rsidRDefault="00F23E96" w:rsidP="39A6E46A">
      <w:pPr>
        <w:tabs>
          <w:tab w:val="left" w:pos="851"/>
          <w:tab w:val="left" w:pos="1134"/>
        </w:tabs>
        <w:spacing w:after="0"/>
        <w:ind w:firstLine="851"/>
        <w:jc w:val="both"/>
        <w:rPr>
          <w:rFonts w:ascii="Tahoma" w:eastAsia="Calibri" w:hAnsi="Tahoma" w:cs="Tahoma"/>
          <w:lang w:eastAsia="en-US"/>
        </w:rPr>
      </w:pPr>
      <w:r w:rsidRPr="00841477">
        <w:rPr>
          <w:rFonts w:ascii="Tahoma" w:eastAsia="Calibri" w:hAnsi="Tahoma" w:cs="Tahoma"/>
          <w:b/>
          <w:lang w:eastAsia="en-US"/>
        </w:rPr>
        <w:t>2. Paslaugų suteikimo terminai</w:t>
      </w:r>
      <w:r w:rsidRPr="00841477">
        <w:rPr>
          <w:rFonts w:ascii="Tahoma" w:eastAsia="Calibri" w:hAnsi="Tahoma" w:cs="Tahoma"/>
          <w:lang w:eastAsia="en-US"/>
        </w:rPr>
        <w:t>:</w:t>
      </w:r>
      <w:r w:rsidRPr="39A6E46A">
        <w:rPr>
          <w:rFonts w:ascii="Tahoma" w:eastAsia="Calibri" w:hAnsi="Tahoma" w:cs="Tahoma"/>
          <w:lang w:eastAsia="en-US"/>
        </w:rPr>
        <w:t xml:space="preserve"> </w:t>
      </w:r>
    </w:p>
    <w:p w14:paraId="5CB2309E" w14:textId="3D526CCD" w:rsidR="00F23E96" w:rsidRDefault="6BCB3471" w:rsidP="00347E42">
      <w:pPr>
        <w:tabs>
          <w:tab w:val="left" w:pos="851"/>
          <w:tab w:val="left" w:pos="1134"/>
        </w:tabs>
        <w:spacing w:after="0"/>
        <w:ind w:firstLine="851"/>
        <w:jc w:val="both"/>
        <w:rPr>
          <w:rFonts w:ascii="Tahoma" w:eastAsia="Calibri" w:hAnsi="Tahoma" w:cs="Tahoma"/>
          <w:lang w:eastAsia="en-US"/>
        </w:rPr>
      </w:pPr>
      <w:r w:rsidRPr="59B26862">
        <w:rPr>
          <w:rFonts w:ascii="Tahoma" w:eastAsia="Calibri" w:hAnsi="Tahoma" w:cs="Tahoma"/>
          <w:lang w:eastAsia="en-US"/>
        </w:rPr>
        <w:t>2.1.</w:t>
      </w:r>
      <w:r w:rsidR="00F23E96" w:rsidRPr="59B26862">
        <w:rPr>
          <w:rFonts w:ascii="Tahoma" w:eastAsia="Calibri" w:hAnsi="Tahoma" w:cs="Tahoma"/>
          <w:lang w:eastAsia="en-US"/>
        </w:rPr>
        <w:t xml:space="preserve"> Tiekėjas 202</w:t>
      </w:r>
      <w:r w:rsidR="00A916F0" w:rsidRPr="59B26862">
        <w:rPr>
          <w:rFonts w:ascii="Tahoma" w:eastAsia="Calibri" w:hAnsi="Tahoma" w:cs="Tahoma"/>
          <w:lang w:eastAsia="en-US"/>
        </w:rPr>
        <w:t>6</w:t>
      </w:r>
      <w:r w:rsidR="00F23E96" w:rsidRPr="59B26862">
        <w:rPr>
          <w:rFonts w:ascii="Tahoma" w:eastAsia="Calibri" w:hAnsi="Tahoma" w:cs="Tahoma"/>
          <w:lang w:eastAsia="en-US"/>
        </w:rPr>
        <w:t xml:space="preserve"> metų metinių finansinių ataskaitų rinkinio audito </w:t>
      </w:r>
      <w:r w:rsidR="00A916F0" w:rsidRPr="59B26862">
        <w:rPr>
          <w:rFonts w:ascii="Tahoma" w:eastAsia="Calibri" w:hAnsi="Tahoma" w:cs="Tahoma"/>
          <w:lang w:eastAsia="en-US"/>
        </w:rPr>
        <w:t xml:space="preserve">ir </w:t>
      </w:r>
      <w:r w:rsidR="00A916F0" w:rsidRPr="59B26862">
        <w:rPr>
          <w:rFonts w:ascii="Tahoma" w:eastAsia="Times New Roman" w:hAnsi="Tahoma" w:cs="Tahoma"/>
          <w:color w:val="000000" w:themeColor="text1"/>
          <w:lang w:eastAsia="lt-LT"/>
        </w:rPr>
        <w:t>Perkančiosios organizacijos</w:t>
      </w:r>
      <w:r w:rsidR="00A916F0" w:rsidRPr="59B26862">
        <w:rPr>
          <w:rFonts w:ascii="Tahoma" w:hAnsi="Tahoma" w:cs="Tahoma"/>
        </w:rPr>
        <w:t xml:space="preserve"> vadovybės ataskaitos, įskaitant informacijos tvarumo klausimais</w:t>
      </w:r>
      <w:r w:rsidR="2A2558B5" w:rsidRPr="59B26862">
        <w:rPr>
          <w:rFonts w:ascii="Tahoma" w:hAnsi="Tahoma" w:cs="Tahoma"/>
        </w:rPr>
        <w:t xml:space="preserve"> (jei taikoma)</w:t>
      </w:r>
      <w:r w:rsidR="00A916F0" w:rsidRPr="59B26862">
        <w:rPr>
          <w:rFonts w:ascii="Tahoma" w:hAnsi="Tahoma" w:cs="Tahoma"/>
        </w:rPr>
        <w:t xml:space="preserve">, patikrinimą </w:t>
      </w:r>
      <w:r w:rsidR="00A916F0" w:rsidRPr="59B26862">
        <w:rPr>
          <w:rFonts w:ascii="Tahoma" w:eastAsia="Times New Roman" w:hAnsi="Tahoma" w:cs="Tahoma"/>
          <w:color w:val="000000" w:themeColor="text1"/>
          <w:lang w:eastAsia="lt-LT"/>
        </w:rPr>
        <w:t xml:space="preserve">už 2026 m. </w:t>
      </w:r>
      <w:r w:rsidR="003E36EA">
        <w:rPr>
          <w:rFonts w:ascii="Tahoma" w:eastAsia="Calibri" w:hAnsi="Tahoma" w:cs="Tahoma"/>
          <w:lang w:eastAsia="en-US"/>
        </w:rPr>
        <w:t>p</w:t>
      </w:r>
      <w:r w:rsidR="00F23E96" w:rsidRPr="59B26862">
        <w:rPr>
          <w:rFonts w:ascii="Tahoma" w:eastAsia="Calibri" w:hAnsi="Tahoma" w:cs="Tahoma"/>
          <w:lang w:eastAsia="en-US"/>
        </w:rPr>
        <w:t>aslaugas turi suteikti ne vėliau kaip iki 202</w:t>
      </w:r>
      <w:r w:rsidR="00A916F0" w:rsidRPr="59B26862">
        <w:rPr>
          <w:rFonts w:ascii="Tahoma" w:eastAsia="Calibri" w:hAnsi="Tahoma" w:cs="Tahoma"/>
          <w:lang w:eastAsia="en-US"/>
        </w:rPr>
        <w:t>7</w:t>
      </w:r>
      <w:r w:rsidR="00F23E96" w:rsidRPr="59B26862">
        <w:rPr>
          <w:rFonts w:ascii="Tahoma" w:eastAsia="Calibri" w:hAnsi="Tahoma" w:cs="Tahoma"/>
          <w:lang w:eastAsia="en-US"/>
        </w:rPr>
        <w:t xml:space="preserve"> m. kovo 25 d., 202</w:t>
      </w:r>
      <w:r w:rsidR="00A916F0" w:rsidRPr="59B26862">
        <w:rPr>
          <w:rFonts w:ascii="Tahoma" w:eastAsia="Calibri" w:hAnsi="Tahoma" w:cs="Tahoma"/>
          <w:lang w:eastAsia="en-US"/>
        </w:rPr>
        <w:t>7</w:t>
      </w:r>
      <w:r w:rsidR="00F23E96" w:rsidRPr="59B26862">
        <w:rPr>
          <w:rFonts w:ascii="Tahoma" w:eastAsia="Calibri" w:hAnsi="Tahoma" w:cs="Tahoma"/>
          <w:lang w:eastAsia="en-US"/>
        </w:rPr>
        <w:t xml:space="preserve"> metų metinių finansinių ataskaitų rinkinio audito </w:t>
      </w:r>
      <w:r w:rsidR="00A916F0" w:rsidRPr="59B26862">
        <w:rPr>
          <w:rFonts w:ascii="Tahoma" w:eastAsia="Calibri" w:hAnsi="Tahoma" w:cs="Tahoma"/>
          <w:lang w:eastAsia="en-US"/>
        </w:rPr>
        <w:t xml:space="preserve">ir </w:t>
      </w:r>
      <w:r w:rsidR="00A916F0" w:rsidRPr="59B26862">
        <w:rPr>
          <w:rFonts w:ascii="Tahoma" w:eastAsia="Times New Roman" w:hAnsi="Tahoma" w:cs="Tahoma"/>
          <w:color w:val="000000" w:themeColor="text1"/>
          <w:lang w:eastAsia="lt-LT"/>
        </w:rPr>
        <w:t>Perkančiosios organizacijos</w:t>
      </w:r>
      <w:r w:rsidR="00A916F0" w:rsidRPr="59B26862">
        <w:rPr>
          <w:rFonts w:ascii="Tahoma" w:hAnsi="Tahoma" w:cs="Tahoma"/>
        </w:rPr>
        <w:t xml:space="preserve"> vadovybės ataskaitos, įskaitant informacijos tvarumo klausimais, patikrinimą </w:t>
      </w:r>
      <w:r w:rsidR="00A916F0" w:rsidRPr="59B26862">
        <w:rPr>
          <w:rFonts w:ascii="Tahoma" w:eastAsia="Times New Roman" w:hAnsi="Tahoma" w:cs="Tahoma"/>
          <w:color w:val="000000" w:themeColor="text1"/>
          <w:lang w:eastAsia="lt-LT"/>
        </w:rPr>
        <w:t xml:space="preserve">už 2027 m. </w:t>
      </w:r>
      <w:r w:rsidR="003E36EA">
        <w:rPr>
          <w:rFonts w:ascii="Tahoma" w:eastAsia="Calibri" w:hAnsi="Tahoma" w:cs="Tahoma"/>
          <w:lang w:eastAsia="en-US"/>
        </w:rPr>
        <w:t>p</w:t>
      </w:r>
      <w:r w:rsidR="00F23E96" w:rsidRPr="59B26862">
        <w:rPr>
          <w:rFonts w:ascii="Tahoma" w:eastAsia="Calibri" w:hAnsi="Tahoma" w:cs="Tahoma"/>
          <w:lang w:eastAsia="en-US"/>
        </w:rPr>
        <w:t>aslaugas turi suteikti ne vėliau kaip iki 202</w:t>
      </w:r>
      <w:r w:rsidR="00A916F0" w:rsidRPr="59B26862">
        <w:rPr>
          <w:rFonts w:ascii="Tahoma" w:eastAsia="Calibri" w:hAnsi="Tahoma" w:cs="Tahoma"/>
          <w:lang w:eastAsia="en-US"/>
        </w:rPr>
        <w:t>8</w:t>
      </w:r>
      <w:r w:rsidR="00F23E96" w:rsidRPr="59B26862">
        <w:rPr>
          <w:rFonts w:ascii="Tahoma" w:eastAsia="Calibri" w:hAnsi="Tahoma" w:cs="Tahoma"/>
          <w:lang w:eastAsia="en-US"/>
        </w:rPr>
        <w:t xml:space="preserve"> m. kovo 25 d., 202</w:t>
      </w:r>
      <w:r w:rsidR="00A916F0" w:rsidRPr="59B26862">
        <w:rPr>
          <w:rFonts w:ascii="Tahoma" w:eastAsia="Calibri" w:hAnsi="Tahoma" w:cs="Tahoma"/>
          <w:lang w:eastAsia="en-US"/>
        </w:rPr>
        <w:t>8</w:t>
      </w:r>
      <w:r w:rsidR="00F23E96" w:rsidRPr="59B26862">
        <w:rPr>
          <w:rFonts w:ascii="Tahoma" w:eastAsia="Calibri" w:hAnsi="Tahoma" w:cs="Tahoma"/>
          <w:lang w:eastAsia="en-US"/>
        </w:rPr>
        <w:t xml:space="preserve"> metų metinių finansinių ataskaitų rinkinio audito </w:t>
      </w:r>
      <w:r w:rsidR="00A916F0" w:rsidRPr="59B26862">
        <w:rPr>
          <w:rFonts w:ascii="Tahoma" w:eastAsia="Calibri" w:hAnsi="Tahoma" w:cs="Tahoma"/>
          <w:lang w:eastAsia="en-US"/>
        </w:rPr>
        <w:t xml:space="preserve">ir </w:t>
      </w:r>
      <w:r w:rsidR="00A916F0" w:rsidRPr="59B26862">
        <w:rPr>
          <w:rFonts w:ascii="Tahoma" w:eastAsia="Times New Roman" w:hAnsi="Tahoma" w:cs="Tahoma"/>
          <w:color w:val="000000" w:themeColor="text1"/>
          <w:lang w:eastAsia="lt-LT"/>
        </w:rPr>
        <w:t>Perkančiosios organizacijos</w:t>
      </w:r>
      <w:r w:rsidR="00A916F0" w:rsidRPr="59B26862">
        <w:rPr>
          <w:rFonts w:ascii="Tahoma" w:hAnsi="Tahoma" w:cs="Tahoma"/>
        </w:rPr>
        <w:t xml:space="preserve"> vadovybės ataskaitos, įskaitant informacijos tvarumo klausimais, patikrinimą </w:t>
      </w:r>
      <w:r w:rsidR="00A916F0" w:rsidRPr="59B26862">
        <w:rPr>
          <w:rFonts w:ascii="Tahoma" w:eastAsia="Times New Roman" w:hAnsi="Tahoma" w:cs="Tahoma"/>
          <w:color w:val="000000" w:themeColor="text1"/>
          <w:lang w:eastAsia="lt-LT"/>
        </w:rPr>
        <w:t xml:space="preserve">už 2028 m. </w:t>
      </w:r>
      <w:r w:rsidR="003E36EA">
        <w:rPr>
          <w:rFonts w:ascii="Tahoma" w:eastAsia="Calibri" w:hAnsi="Tahoma" w:cs="Tahoma"/>
          <w:lang w:eastAsia="en-US"/>
        </w:rPr>
        <w:t>p</w:t>
      </w:r>
      <w:r w:rsidR="00F23E96" w:rsidRPr="59B26862">
        <w:rPr>
          <w:rFonts w:ascii="Tahoma" w:eastAsia="Calibri" w:hAnsi="Tahoma" w:cs="Tahoma"/>
          <w:lang w:eastAsia="en-US"/>
        </w:rPr>
        <w:t>aslaugas turi suteikti ne vėliau kaip iki 202</w:t>
      </w:r>
      <w:r w:rsidR="00A916F0" w:rsidRPr="59B26862">
        <w:rPr>
          <w:rFonts w:ascii="Tahoma" w:eastAsia="Calibri" w:hAnsi="Tahoma" w:cs="Tahoma"/>
          <w:lang w:eastAsia="en-US"/>
        </w:rPr>
        <w:t>9</w:t>
      </w:r>
      <w:r w:rsidR="00F23E96" w:rsidRPr="59B26862">
        <w:rPr>
          <w:rFonts w:ascii="Tahoma" w:eastAsia="Calibri" w:hAnsi="Tahoma" w:cs="Tahoma"/>
          <w:lang w:eastAsia="en-US"/>
        </w:rPr>
        <w:t xml:space="preserve"> m. kovo 25 d., pateikiant kiekvienais metais auditoriaus išvadą</w:t>
      </w:r>
      <w:r w:rsidR="003E36EA">
        <w:rPr>
          <w:rFonts w:ascii="Tahoma" w:eastAsia="Calibri" w:hAnsi="Tahoma" w:cs="Tahoma"/>
          <w:lang w:eastAsia="en-US"/>
        </w:rPr>
        <w:t xml:space="preserve"> ir </w:t>
      </w:r>
      <w:r w:rsidR="00F23E96" w:rsidRPr="59B26862">
        <w:rPr>
          <w:rFonts w:ascii="Tahoma" w:eastAsia="Calibri" w:hAnsi="Tahoma" w:cs="Tahoma"/>
          <w:lang w:eastAsia="en-US"/>
        </w:rPr>
        <w:t>audito ataskaitą</w:t>
      </w:r>
      <w:r w:rsidR="00A916F0" w:rsidRPr="59B26862">
        <w:rPr>
          <w:rFonts w:ascii="Tahoma" w:eastAsia="Calibri" w:hAnsi="Tahoma" w:cs="Tahoma"/>
          <w:lang w:eastAsia="en-US"/>
        </w:rPr>
        <w:t xml:space="preserve"> </w:t>
      </w:r>
      <w:r w:rsidR="00F23E96" w:rsidRPr="59B26862">
        <w:rPr>
          <w:rFonts w:ascii="Tahoma" w:eastAsia="Calibri" w:hAnsi="Tahoma" w:cs="Tahoma"/>
          <w:lang w:eastAsia="en-US"/>
        </w:rPr>
        <w:t>Perkančiosios organizacijos vadovui. Rekomendacijų laiškas Perkančiosios organizacijos vadovybei turi būti pateiktas kasmet per 30 d</w:t>
      </w:r>
      <w:r w:rsidR="003E36EA">
        <w:rPr>
          <w:rFonts w:ascii="Tahoma" w:eastAsia="Calibri" w:hAnsi="Tahoma" w:cs="Tahoma"/>
          <w:lang w:eastAsia="en-US"/>
        </w:rPr>
        <w:t>ienų</w:t>
      </w:r>
      <w:r w:rsidR="00F23E96" w:rsidRPr="59B26862">
        <w:rPr>
          <w:rFonts w:ascii="Tahoma" w:eastAsia="Calibri" w:hAnsi="Tahoma" w:cs="Tahoma"/>
          <w:lang w:eastAsia="en-US"/>
        </w:rPr>
        <w:t xml:space="preserve"> po auditoriaus išvados</w:t>
      </w:r>
      <w:r w:rsidR="003E36EA">
        <w:rPr>
          <w:rFonts w:ascii="Tahoma" w:eastAsia="Calibri" w:hAnsi="Tahoma" w:cs="Tahoma"/>
          <w:lang w:eastAsia="en-US"/>
        </w:rPr>
        <w:t xml:space="preserve"> ir</w:t>
      </w:r>
      <w:r w:rsidR="00F23E96" w:rsidRPr="59B26862">
        <w:rPr>
          <w:rFonts w:ascii="Tahoma" w:eastAsia="Calibri" w:hAnsi="Tahoma" w:cs="Tahoma"/>
          <w:lang w:eastAsia="en-US"/>
        </w:rPr>
        <w:t xml:space="preserve"> audito ataskaitos pateikimo. Visos Paslaugos turi būti suteiktos iki 202</w:t>
      </w:r>
      <w:r w:rsidR="00A916F0" w:rsidRPr="59B26862">
        <w:rPr>
          <w:rFonts w:ascii="Tahoma" w:eastAsia="Calibri" w:hAnsi="Tahoma" w:cs="Tahoma"/>
          <w:lang w:eastAsia="en-US"/>
        </w:rPr>
        <w:t>9</w:t>
      </w:r>
      <w:r w:rsidR="00F23E96" w:rsidRPr="59B26862">
        <w:rPr>
          <w:rFonts w:ascii="Tahoma" w:eastAsia="Calibri" w:hAnsi="Tahoma" w:cs="Tahoma"/>
          <w:lang w:eastAsia="en-US"/>
        </w:rPr>
        <w:t xml:space="preserve"> m. balandžio 2</w:t>
      </w:r>
      <w:r w:rsidR="00F23E96" w:rsidRPr="59B26862">
        <w:rPr>
          <w:rFonts w:ascii="Tahoma" w:eastAsia="Calibri" w:hAnsi="Tahoma" w:cs="Tahoma"/>
          <w:lang w:val="en-US" w:eastAsia="en-US"/>
        </w:rPr>
        <w:t>5 d.</w:t>
      </w:r>
      <w:r w:rsidR="00F23E96" w:rsidRPr="59B26862">
        <w:rPr>
          <w:rFonts w:ascii="Tahoma" w:eastAsia="Calibri" w:hAnsi="Tahoma" w:cs="Tahoma"/>
          <w:lang w:eastAsia="en-US"/>
        </w:rPr>
        <w:t xml:space="preserve"> </w:t>
      </w:r>
    </w:p>
    <w:p w14:paraId="06EA0C49" w14:textId="1E24CC5E" w:rsidR="534514E4" w:rsidRDefault="534514E4" w:rsidP="39A6E46A">
      <w:pPr>
        <w:tabs>
          <w:tab w:val="left" w:pos="851"/>
          <w:tab w:val="left" w:pos="1134"/>
        </w:tabs>
        <w:spacing w:after="0"/>
        <w:ind w:firstLine="851"/>
        <w:jc w:val="both"/>
        <w:rPr>
          <w:rFonts w:ascii="Tahoma" w:eastAsia="Calibri" w:hAnsi="Tahoma" w:cs="Tahoma"/>
          <w:lang w:eastAsia="en-US"/>
        </w:rPr>
      </w:pPr>
      <w:r w:rsidRPr="39A6E46A">
        <w:rPr>
          <w:rFonts w:ascii="Tahoma" w:eastAsia="Calibri" w:hAnsi="Tahoma" w:cs="Tahoma"/>
          <w:lang w:eastAsia="en-US"/>
        </w:rPr>
        <w:t xml:space="preserve">2.2. </w:t>
      </w:r>
      <w:r w:rsidR="00274D6C" w:rsidRPr="00274D6C">
        <w:rPr>
          <w:rFonts w:ascii="Tahoma" w:eastAsia="Calibri" w:hAnsi="Tahoma" w:cs="Tahoma"/>
          <w:lang w:eastAsia="en-US"/>
        </w:rPr>
        <w:t>Perkančioji organizacija</w:t>
      </w:r>
      <w:r w:rsidR="00274D6C" w:rsidRPr="00274D6C" w:rsidDel="00274D6C">
        <w:rPr>
          <w:rFonts w:ascii="Tahoma" w:eastAsia="Calibri" w:hAnsi="Tahoma" w:cs="Tahoma"/>
          <w:lang w:eastAsia="en-US"/>
        </w:rPr>
        <w:t xml:space="preserve"> </w:t>
      </w:r>
      <w:r w:rsidRPr="39A6E46A">
        <w:rPr>
          <w:rFonts w:ascii="Tahoma" w:eastAsia="Calibri" w:hAnsi="Tahoma" w:cs="Tahoma"/>
          <w:lang w:eastAsia="en-US"/>
        </w:rPr>
        <w:t xml:space="preserve">įsipareigoja Tiekėjui pateikti </w:t>
      </w:r>
      <w:r w:rsidR="02F44DE1" w:rsidRPr="39A6E46A">
        <w:rPr>
          <w:rFonts w:ascii="Tahoma" w:eastAsia="Calibri" w:hAnsi="Tahoma" w:cs="Tahoma"/>
          <w:lang w:eastAsia="en-US"/>
        </w:rPr>
        <w:t xml:space="preserve">metinių </w:t>
      </w:r>
      <w:r w:rsidRPr="39A6E46A">
        <w:rPr>
          <w:rFonts w:ascii="Tahoma" w:eastAsia="Calibri" w:hAnsi="Tahoma" w:cs="Tahoma"/>
          <w:lang w:eastAsia="en-US"/>
        </w:rPr>
        <w:t>ataskaitų projektus, įskaitant visą su jų paruošimu susijusią informaciją</w:t>
      </w:r>
      <w:r w:rsidR="51411394" w:rsidRPr="39A6E46A">
        <w:rPr>
          <w:rFonts w:ascii="Tahoma" w:eastAsia="Calibri" w:hAnsi="Tahoma" w:cs="Tahoma"/>
          <w:lang w:eastAsia="en-US"/>
        </w:rPr>
        <w:t xml:space="preserve"> </w:t>
      </w:r>
      <w:r w:rsidRPr="39A6E46A">
        <w:rPr>
          <w:rFonts w:ascii="Tahoma" w:eastAsia="Calibri" w:hAnsi="Tahoma" w:cs="Tahoma"/>
          <w:lang w:eastAsia="en-US"/>
        </w:rPr>
        <w:t xml:space="preserve">ir kitą informaciją, jei tokia </w:t>
      </w:r>
      <w:r w:rsidR="7E6A8BCB" w:rsidRPr="39A6E46A">
        <w:rPr>
          <w:rFonts w:ascii="Tahoma" w:eastAsia="Calibri" w:hAnsi="Tahoma" w:cs="Tahoma"/>
          <w:lang w:eastAsia="en-US"/>
        </w:rPr>
        <w:t>buvo užklausta</w:t>
      </w:r>
      <w:r w:rsidRPr="39A6E46A">
        <w:rPr>
          <w:rFonts w:ascii="Tahoma" w:eastAsia="Calibri" w:hAnsi="Tahoma" w:cs="Tahoma"/>
          <w:lang w:eastAsia="en-US"/>
        </w:rPr>
        <w:t xml:space="preserve">, iki atitinkamų metų kovo </w:t>
      </w:r>
      <w:r w:rsidR="02F0D312" w:rsidRPr="39A6E46A">
        <w:rPr>
          <w:rFonts w:ascii="Tahoma" w:eastAsia="Calibri" w:hAnsi="Tahoma" w:cs="Tahoma"/>
          <w:lang w:eastAsia="en-US"/>
        </w:rPr>
        <w:t>5</w:t>
      </w:r>
      <w:r w:rsidRPr="39A6E46A">
        <w:rPr>
          <w:rFonts w:ascii="Tahoma" w:eastAsia="Calibri" w:hAnsi="Tahoma" w:cs="Tahoma"/>
          <w:lang w:eastAsia="en-US"/>
        </w:rPr>
        <w:t xml:space="preserve"> d</w:t>
      </w:r>
      <w:r w:rsidR="003E36EA">
        <w:rPr>
          <w:rFonts w:ascii="Tahoma" w:eastAsia="Calibri" w:hAnsi="Tahoma" w:cs="Tahoma"/>
          <w:lang w:eastAsia="en-US"/>
        </w:rPr>
        <w:t>ienos</w:t>
      </w:r>
      <w:r w:rsidRPr="39A6E46A">
        <w:rPr>
          <w:rFonts w:ascii="Tahoma" w:eastAsia="Calibri" w:hAnsi="Tahoma" w:cs="Tahoma"/>
          <w:lang w:eastAsia="en-US"/>
        </w:rPr>
        <w:t xml:space="preserve"> Klientas taip pat užtikrins galimybę </w:t>
      </w:r>
      <w:r w:rsidR="0EAD2DE8" w:rsidRPr="39A6E46A">
        <w:rPr>
          <w:rFonts w:ascii="Tahoma" w:eastAsia="Calibri" w:hAnsi="Tahoma" w:cs="Tahoma"/>
          <w:lang w:eastAsia="en-US"/>
        </w:rPr>
        <w:t>Tiekėjui</w:t>
      </w:r>
      <w:r w:rsidRPr="39A6E46A">
        <w:rPr>
          <w:rFonts w:ascii="Tahoma" w:eastAsia="Calibri" w:hAnsi="Tahoma" w:cs="Tahoma"/>
          <w:lang w:eastAsia="en-US"/>
        </w:rPr>
        <w:t xml:space="preserve"> dalyvauti, atliekant turto ir įsipareigojimų inventorizaciją bei informuos </w:t>
      </w:r>
      <w:r w:rsidR="509F6C6E" w:rsidRPr="39A6E46A">
        <w:rPr>
          <w:rFonts w:ascii="Tahoma" w:eastAsia="Calibri" w:hAnsi="Tahoma" w:cs="Tahoma"/>
          <w:lang w:eastAsia="en-US"/>
        </w:rPr>
        <w:t>Tiekėją</w:t>
      </w:r>
      <w:r w:rsidRPr="39A6E46A">
        <w:rPr>
          <w:rFonts w:ascii="Tahoma" w:eastAsia="Calibri" w:hAnsi="Tahoma" w:cs="Tahoma"/>
          <w:lang w:eastAsia="en-US"/>
        </w:rPr>
        <w:t xml:space="preserve"> apie inventorizacijos laiką mažiausiai likus mėnesiui iki jos atlikimo, jeigu nesusitarta kitaip.</w:t>
      </w:r>
    </w:p>
    <w:p w14:paraId="1D677571" w14:textId="3EB10AAB" w:rsidR="39A6E46A" w:rsidRDefault="39A6E46A" w:rsidP="39A6E46A">
      <w:pPr>
        <w:tabs>
          <w:tab w:val="left" w:pos="851"/>
          <w:tab w:val="left" w:pos="1134"/>
        </w:tabs>
        <w:spacing w:after="0"/>
        <w:ind w:firstLine="851"/>
        <w:jc w:val="both"/>
        <w:rPr>
          <w:rFonts w:ascii="Tahoma" w:eastAsia="Calibri" w:hAnsi="Tahoma" w:cs="Tahoma"/>
          <w:lang w:eastAsia="en-US"/>
        </w:rPr>
      </w:pPr>
    </w:p>
    <w:p w14:paraId="5E59272D" w14:textId="77777777" w:rsidR="00664F2C" w:rsidRDefault="00F23E96" w:rsidP="00347E42">
      <w:pPr>
        <w:tabs>
          <w:tab w:val="left" w:pos="851"/>
          <w:tab w:val="left" w:pos="1134"/>
        </w:tabs>
        <w:spacing w:after="0"/>
        <w:ind w:firstLine="851"/>
        <w:jc w:val="both"/>
        <w:rPr>
          <w:rFonts w:ascii="Tahoma" w:eastAsia="Calibri" w:hAnsi="Tahoma" w:cs="Tahoma"/>
          <w:lang w:eastAsia="en-US"/>
        </w:rPr>
      </w:pPr>
      <w:r w:rsidRPr="00BA42A0">
        <w:rPr>
          <w:rFonts w:ascii="Tahoma" w:eastAsia="Calibri" w:hAnsi="Tahoma" w:cs="Tahoma"/>
          <w:b/>
          <w:lang w:eastAsia="en-US"/>
        </w:rPr>
        <w:t>3. Sutarties trukmė:</w:t>
      </w:r>
      <w:r>
        <w:rPr>
          <w:rFonts w:ascii="Tahoma" w:eastAsia="Calibri" w:hAnsi="Tahoma" w:cs="Tahoma"/>
          <w:lang w:eastAsia="en-US"/>
        </w:rPr>
        <w:t xml:space="preserve"> </w:t>
      </w:r>
    </w:p>
    <w:p w14:paraId="3E1C2E59" w14:textId="73582894" w:rsidR="00664F2C" w:rsidRDefault="00664F2C" w:rsidP="00347E42">
      <w:pPr>
        <w:tabs>
          <w:tab w:val="left" w:pos="851"/>
          <w:tab w:val="left" w:pos="1134"/>
        </w:tabs>
        <w:spacing w:after="0"/>
        <w:ind w:firstLine="851"/>
        <w:jc w:val="both"/>
        <w:rPr>
          <w:rFonts w:ascii="Tahoma" w:eastAsia="Calibri" w:hAnsi="Tahoma" w:cs="Tahoma"/>
          <w:color w:val="000000" w:themeColor="text1"/>
          <w:lang w:eastAsia="en-US"/>
        </w:rPr>
      </w:pPr>
      <w:r>
        <w:rPr>
          <w:rFonts w:ascii="Tahoma" w:eastAsia="Calibri" w:hAnsi="Tahoma" w:cs="Tahoma"/>
          <w:lang w:eastAsia="en-US"/>
        </w:rPr>
        <w:t xml:space="preserve">3.1. </w:t>
      </w:r>
      <w:r w:rsidR="00F23E96" w:rsidRPr="00BA42A0">
        <w:rPr>
          <w:rFonts w:ascii="Tahoma" w:eastAsia="Calibri" w:hAnsi="Tahoma" w:cs="Tahoma"/>
          <w:lang w:eastAsia="en-US"/>
        </w:rPr>
        <w:t xml:space="preserve">Sutartis įsigalioja nuo </w:t>
      </w:r>
      <w:r>
        <w:rPr>
          <w:rFonts w:ascii="Tahoma" w:eastAsia="Calibri" w:hAnsi="Tahoma" w:cs="Tahoma"/>
          <w:lang w:eastAsia="en-US"/>
        </w:rPr>
        <w:t>2026 m. birželio 1 d.</w:t>
      </w:r>
      <w:r w:rsidR="00F23E96" w:rsidRPr="00BA42A0">
        <w:rPr>
          <w:rFonts w:ascii="Tahoma" w:eastAsia="Calibri" w:hAnsi="Tahoma" w:cs="Tahoma"/>
          <w:lang w:eastAsia="en-US"/>
        </w:rPr>
        <w:t xml:space="preserve"> ir galioja </w:t>
      </w:r>
      <w:r w:rsidR="00745D99">
        <w:rPr>
          <w:rFonts w:ascii="Tahoma" w:eastAsia="Calibri" w:hAnsi="Tahoma" w:cs="Tahoma"/>
          <w:lang w:eastAsia="en-US"/>
        </w:rPr>
        <w:t>36</w:t>
      </w:r>
      <w:r w:rsidR="00F23E96" w:rsidRPr="00BA42A0">
        <w:rPr>
          <w:rFonts w:ascii="Tahoma" w:eastAsia="Calibri" w:hAnsi="Tahoma" w:cs="Tahoma"/>
          <w:lang w:eastAsia="en-US"/>
        </w:rPr>
        <w:t xml:space="preserve"> mėnesius</w:t>
      </w:r>
      <w:r w:rsidR="00F23E96" w:rsidRPr="00243092">
        <w:rPr>
          <w:rFonts w:ascii="Tahoma" w:eastAsia="Calibri" w:hAnsi="Tahoma" w:cs="Tahoma"/>
          <w:color w:val="000000" w:themeColor="text1"/>
          <w:lang w:eastAsia="en-US"/>
        </w:rPr>
        <w:t xml:space="preserve">. </w:t>
      </w:r>
    </w:p>
    <w:p w14:paraId="2E89511C" w14:textId="77777777" w:rsidR="00664F2C" w:rsidRPr="00841477" w:rsidRDefault="00664F2C" w:rsidP="00347E42">
      <w:pPr>
        <w:tabs>
          <w:tab w:val="left" w:pos="851"/>
          <w:tab w:val="left" w:pos="1134"/>
        </w:tabs>
        <w:spacing w:after="0"/>
        <w:ind w:firstLine="851"/>
        <w:jc w:val="both"/>
        <w:rPr>
          <w:rFonts w:ascii="Tahoma" w:eastAsia="Calibri" w:hAnsi="Tahoma" w:cs="Tahoma"/>
          <w:b/>
          <w:color w:val="000000"/>
          <w:lang w:eastAsia="en-US"/>
        </w:rPr>
      </w:pPr>
    </w:p>
    <w:p w14:paraId="0BADCEF4" w14:textId="77777777" w:rsidR="00F23E96" w:rsidRPr="00841477" w:rsidRDefault="00F23E96" w:rsidP="00347E42">
      <w:pPr>
        <w:spacing w:after="0"/>
        <w:ind w:firstLine="851"/>
        <w:jc w:val="both"/>
        <w:rPr>
          <w:rFonts w:ascii="Tahoma" w:eastAsia="Calibri" w:hAnsi="Tahoma" w:cs="Tahoma"/>
          <w:b/>
          <w:lang w:eastAsia="en-US"/>
        </w:rPr>
      </w:pPr>
      <w:r>
        <w:rPr>
          <w:rFonts w:ascii="Tahoma" w:eastAsia="Calibri" w:hAnsi="Tahoma" w:cs="Tahoma"/>
          <w:b/>
          <w:lang w:eastAsia="en-US"/>
        </w:rPr>
        <w:t>4</w:t>
      </w:r>
      <w:r w:rsidRPr="00841477">
        <w:rPr>
          <w:rFonts w:ascii="Tahoma" w:eastAsia="Calibri" w:hAnsi="Tahoma" w:cs="Tahoma"/>
          <w:b/>
          <w:lang w:eastAsia="en-US"/>
        </w:rPr>
        <w:t>. Paslaugų teikimo tvarka:</w:t>
      </w:r>
    </w:p>
    <w:p w14:paraId="25E91420" w14:textId="510D0E91" w:rsidR="00F23E96" w:rsidRPr="00841477" w:rsidRDefault="00F23E96" w:rsidP="00347E42">
      <w:pPr>
        <w:spacing w:after="0"/>
        <w:ind w:firstLine="851"/>
        <w:jc w:val="both"/>
        <w:rPr>
          <w:rFonts w:ascii="Tahoma" w:eastAsia="Calibri" w:hAnsi="Tahoma" w:cs="Tahoma"/>
          <w:lang w:eastAsia="en-US"/>
        </w:rPr>
      </w:pPr>
      <w:r w:rsidRPr="59B26862">
        <w:rPr>
          <w:rFonts w:ascii="Tahoma" w:eastAsia="Calibri" w:hAnsi="Tahoma" w:cs="Tahoma"/>
          <w:lang w:eastAsia="en-US"/>
        </w:rPr>
        <w:t>4.1. Audito išvada</w:t>
      </w:r>
      <w:r w:rsidR="003E36EA">
        <w:rPr>
          <w:rFonts w:ascii="Tahoma" w:eastAsia="Calibri" w:hAnsi="Tahoma" w:cs="Tahoma"/>
          <w:lang w:eastAsia="en-US"/>
        </w:rPr>
        <w:t xml:space="preserve"> ir</w:t>
      </w:r>
      <w:r w:rsidR="008F1A73" w:rsidRPr="59B26862">
        <w:rPr>
          <w:rFonts w:ascii="Tahoma" w:eastAsia="Calibri" w:hAnsi="Tahoma" w:cs="Tahoma"/>
          <w:lang w:eastAsia="en-US"/>
        </w:rPr>
        <w:t xml:space="preserve">audito </w:t>
      </w:r>
      <w:r w:rsidRPr="59B26862">
        <w:rPr>
          <w:rFonts w:ascii="Tahoma" w:eastAsia="Calibri" w:hAnsi="Tahoma" w:cs="Tahoma"/>
          <w:lang w:eastAsia="en-US"/>
        </w:rPr>
        <w:t>ataskaita pateikiamos 3 egzemplioriais lietuvių kalba: 2 (du) egzemplioriai Perkančiajai organizacijai ir vienas  egzempliorius lieka pas Tiekėją.</w:t>
      </w:r>
    </w:p>
    <w:p w14:paraId="79B5CCEA" w14:textId="77777777" w:rsidR="00F23E96" w:rsidRPr="00841477" w:rsidRDefault="00F23E96" w:rsidP="00347E42">
      <w:pPr>
        <w:overflowPunct w:val="0"/>
        <w:autoSpaceDE w:val="0"/>
        <w:autoSpaceDN w:val="0"/>
        <w:spacing w:after="0"/>
        <w:ind w:firstLine="851"/>
        <w:jc w:val="both"/>
        <w:textAlignment w:val="baseline"/>
        <w:rPr>
          <w:rFonts w:ascii="Tahoma" w:eastAsia="Calibri" w:hAnsi="Tahoma" w:cs="Tahoma"/>
          <w:lang w:eastAsia="en-US"/>
        </w:rPr>
      </w:pPr>
      <w:r>
        <w:rPr>
          <w:rFonts w:ascii="Tahoma" w:eastAsia="Calibri" w:hAnsi="Tahoma" w:cs="Tahoma"/>
          <w:lang w:eastAsia="en-US"/>
        </w:rPr>
        <w:t>4.2</w:t>
      </w:r>
      <w:r w:rsidRPr="00841477">
        <w:rPr>
          <w:rFonts w:ascii="Tahoma" w:eastAsia="Calibri" w:hAnsi="Tahoma" w:cs="Tahoma"/>
          <w:lang w:eastAsia="en-US"/>
        </w:rPr>
        <w:t>. Paslaugų rezultatų svarstymo ir priėmimo tvarka:</w:t>
      </w:r>
    </w:p>
    <w:p w14:paraId="4E831D2D" w14:textId="4B19E3C0" w:rsidR="00F23E96" w:rsidRPr="00841477" w:rsidRDefault="00F23E96" w:rsidP="00347E42">
      <w:pPr>
        <w:overflowPunct w:val="0"/>
        <w:autoSpaceDE w:val="0"/>
        <w:autoSpaceDN w:val="0"/>
        <w:spacing w:after="0"/>
        <w:ind w:firstLine="851"/>
        <w:jc w:val="both"/>
        <w:textAlignment w:val="baseline"/>
        <w:rPr>
          <w:rFonts w:ascii="Tahoma" w:eastAsia="Calibri" w:hAnsi="Tahoma" w:cs="Tahoma"/>
          <w:lang w:eastAsia="en-US"/>
        </w:rPr>
      </w:pPr>
      <w:r>
        <w:rPr>
          <w:rFonts w:ascii="Tahoma" w:eastAsia="Calibri" w:hAnsi="Tahoma" w:cs="Tahoma"/>
          <w:lang w:eastAsia="en-US"/>
        </w:rPr>
        <w:lastRenderedPageBreak/>
        <w:t>4.2.1. k</w:t>
      </w:r>
      <w:r w:rsidRPr="00841477">
        <w:rPr>
          <w:rFonts w:ascii="Tahoma" w:eastAsia="Calibri" w:hAnsi="Tahoma" w:cs="Tahoma"/>
          <w:lang w:eastAsia="en-US"/>
        </w:rPr>
        <w:t xml:space="preserve">iekvienais metais, likus ne mažiau kaip </w:t>
      </w:r>
      <w:r>
        <w:rPr>
          <w:rFonts w:ascii="Tahoma" w:eastAsia="Calibri" w:hAnsi="Tahoma" w:cs="Tahoma"/>
          <w:lang w:eastAsia="en-US"/>
        </w:rPr>
        <w:t>5</w:t>
      </w:r>
      <w:r w:rsidRPr="00841477">
        <w:rPr>
          <w:rFonts w:ascii="Tahoma" w:eastAsia="Calibri" w:hAnsi="Tahoma" w:cs="Tahoma"/>
          <w:lang w:eastAsia="en-US"/>
        </w:rPr>
        <w:t xml:space="preserve"> darbo dien</w:t>
      </w:r>
      <w:r>
        <w:rPr>
          <w:rFonts w:ascii="Tahoma" w:eastAsia="Calibri" w:hAnsi="Tahoma" w:cs="Tahoma"/>
          <w:lang w:eastAsia="en-US"/>
        </w:rPr>
        <w:t>oms</w:t>
      </w:r>
      <w:r w:rsidRPr="00841477">
        <w:rPr>
          <w:rFonts w:ascii="Tahoma" w:eastAsia="Calibri" w:hAnsi="Tahoma" w:cs="Tahoma"/>
          <w:lang w:eastAsia="en-US"/>
        </w:rPr>
        <w:t xml:space="preserve"> iki šios Techninės specifikacijos 2 punkte numatyto termino, Tiekėjas turi pateikti Perkančiajai organizacijai audito išvados</w:t>
      </w:r>
      <w:r>
        <w:rPr>
          <w:rFonts w:ascii="Tahoma" w:eastAsia="Calibri" w:hAnsi="Tahoma" w:cs="Tahoma"/>
          <w:lang w:eastAsia="en-US"/>
        </w:rPr>
        <w:t>,</w:t>
      </w:r>
      <w:r w:rsidRPr="00841477">
        <w:rPr>
          <w:rFonts w:ascii="Tahoma" w:eastAsia="Calibri" w:hAnsi="Tahoma" w:cs="Tahoma"/>
          <w:lang w:eastAsia="en-US"/>
        </w:rPr>
        <w:t xml:space="preserve"> audito ataskaitos</w:t>
      </w:r>
      <w:r w:rsidR="003E36EA">
        <w:rPr>
          <w:rFonts w:ascii="Tahoma" w:eastAsia="Calibri" w:hAnsi="Tahoma" w:cs="Tahoma"/>
          <w:lang w:eastAsia="en-US"/>
        </w:rPr>
        <w:t xml:space="preserve"> </w:t>
      </w:r>
      <w:r w:rsidRPr="00841477">
        <w:rPr>
          <w:rFonts w:ascii="Tahoma" w:eastAsia="Calibri" w:hAnsi="Tahoma" w:cs="Tahoma"/>
          <w:lang w:eastAsia="en-US"/>
        </w:rPr>
        <w:t xml:space="preserve">ir </w:t>
      </w:r>
      <w:r>
        <w:rPr>
          <w:rFonts w:ascii="Tahoma" w:eastAsia="Calibri" w:hAnsi="Tahoma" w:cs="Tahoma"/>
          <w:lang w:eastAsia="en-US"/>
        </w:rPr>
        <w:t xml:space="preserve">rekomendacijų laiško </w:t>
      </w:r>
      <w:r w:rsidRPr="00841477">
        <w:rPr>
          <w:rFonts w:ascii="Tahoma" w:eastAsia="Calibri" w:hAnsi="Tahoma" w:cs="Tahoma"/>
          <w:lang w:eastAsia="en-US"/>
        </w:rPr>
        <w:t>projektą pirkimo sutartyje nurodytu Perkančiosios organiza</w:t>
      </w:r>
      <w:r>
        <w:rPr>
          <w:rFonts w:ascii="Tahoma" w:eastAsia="Calibri" w:hAnsi="Tahoma" w:cs="Tahoma"/>
          <w:lang w:eastAsia="en-US"/>
        </w:rPr>
        <w:t>cijos elektroniniu pašto adresu;</w:t>
      </w:r>
    </w:p>
    <w:p w14:paraId="17031E0B" w14:textId="3B431757" w:rsidR="00F23E96" w:rsidRPr="00841477" w:rsidRDefault="00F23E96" w:rsidP="00347E42">
      <w:pPr>
        <w:overflowPunct w:val="0"/>
        <w:autoSpaceDE w:val="0"/>
        <w:autoSpaceDN w:val="0"/>
        <w:spacing w:after="0"/>
        <w:ind w:firstLine="851"/>
        <w:jc w:val="both"/>
        <w:textAlignment w:val="baseline"/>
        <w:rPr>
          <w:rFonts w:ascii="Tahoma" w:eastAsia="Calibri" w:hAnsi="Tahoma" w:cs="Tahoma"/>
          <w:lang w:eastAsia="en-US"/>
        </w:rPr>
      </w:pPr>
      <w:r>
        <w:rPr>
          <w:rFonts w:ascii="Tahoma" w:eastAsia="Calibri" w:hAnsi="Tahoma" w:cs="Tahoma"/>
          <w:lang w:eastAsia="en-US"/>
        </w:rPr>
        <w:t>4.2</w:t>
      </w:r>
      <w:r w:rsidRPr="00841477">
        <w:rPr>
          <w:rFonts w:ascii="Tahoma" w:eastAsia="Calibri" w:hAnsi="Tahoma" w:cs="Tahoma"/>
          <w:lang w:eastAsia="en-US"/>
        </w:rPr>
        <w:t>.2. Perkančio</w:t>
      </w:r>
      <w:r>
        <w:rPr>
          <w:rFonts w:ascii="Tahoma" w:eastAsia="Calibri" w:hAnsi="Tahoma" w:cs="Tahoma"/>
          <w:lang w:eastAsia="en-US"/>
        </w:rPr>
        <w:t>ji organizacija, gavusi šios Techninės specifikacijos 4.2</w:t>
      </w:r>
      <w:r w:rsidRPr="00841477">
        <w:rPr>
          <w:rFonts w:ascii="Tahoma" w:eastAsia="Calibri" w:hAnsi="Tahoma" w:cs="Tahoma"/>
          <w:lang w:eastAsia="en-US"/>
        </w:rPr>
        <w:t>.1 papunktyje nurodytus dokumentus bei siekdama užtikrinti Paslaugų rezultato kokybę, gali organizuoti pateiktų dokumentų vertinimą pateikiant Tiekėjui pastabas, siunčiant jas pirkimo sutartyje nurodytu Tiekėjo elektroninio pašto adresu arba susi</w:t>
      </w:r>
      <w:r>
        <w:rPr>
          <w:rFonts w:ascii="Tahoma" w:eastAsia="Calibri" w:hAnsi="Tahoma" w:cs="Tahoma"/>
          <w:lang w:eastAsia="en-US"/>
        </w:rPr>
        <w:t>tikimo su Tiekėju posėdžio metu;</w:t>
      </w:r>
    </w:p>
    <w:p w14:paraId="6DA4458A" w14:textId="77777777" w:rsidR="00F23E96" w:rsidRPr="00841477" w:rsidRDefault="00F23E96" w:rsidP="00347E42">
      <w:pPr>
        <w:overflowPunct w:val="0"/>
        <w:autoSpaceDE w:val="0"/>
        <w:autoSpaceDN w:val="0"/>
        <w:spacing w:after="0"/>
        <w:ind w:firstLine="851"/>
        <w:jc w:val="both"/>
        <w:textAlignment w:val="baseline"/>
        <w:rPr>
          <w:rFonts w:ascii="Tahoma" w:eastAsia="Calibri" w:hAnsi="Tahoma" w:cs="Tahoma"/>
          <w:lang w:eastAsia="en-US"/>
        </w:rPr>
      </w:pPr>
      <w:r>
        <w:rPr>
          <w:rFonts w:ascii="Tahoma" w:eastAsia="Calibri" w:hAnsi="Tahoma" w:cs="Tahoma"/>
          <w:lang w:eastAsia="en-US"/>
        </w:rPr>
        <w:t>4.2</w:t>
      </w:r>
      <w:r w:rsidRPr="00841477">
        <w:rPr>
          <w:rFonts w:ascii="Tahoma" w:eastAsia="Calibri" w:hAnsi="Tahoma" w:cs="Tahoma"/>
          <w:lang w:eastAsia="en-US"/>
        </w:rPr>
        <w:t xml:space="preserve">.3. Tiekėjas įsipareigoja įvertinti ir ištaisyti Perkančiosios organizacijos pateiktus neatitikimus ne vėliau kaip per </w:t>
      </w:r>
      <w:r>
        <w:rPr>
          <w:rFonts w:ascii="Tahoma" w:eastAsia="Calibri" w:hAnsi="Tahoma" w:cs="Tahoma"/>
          <w:lang w:eastAsia="en-US"/>
        </w:rPr>
        <w:t>3</w:t>
      </w:r>
      <w:r w:rsidRPr="00841477">
        <w:rPr>
          <w:rFonts w:ascii="Tahoma" w:eastAsia="Calibri" w:hAnsi="Tahoma" w:cs="Tahoma"/>
          <w:lang w:eastAsia="en-US"/>
        </w:rPr>
        <w:t xml:space="preserve"> darbo dienas nuo pastabų gavimo dienos.</w:t>
      </w:r>
    </w:p>
    <w:p w14:paraId="520CAC27" w14:textId="77777777" w:rsidR="00F23E96" w:rsidRPr="00BC18C4" w:rsidRDefault="00F23E96" w:rsidP="00347E42">
      <w:pPr>
        <w:tabs>
          <w:tab w:val="left" w:pos="426"/>
        </w:tabs>
        <w:spacing w:after="0"/>
        <w:ind w:firstLine="851"/>
        <w:contextualSpacing/>
        <w:jc w:val="both"/>
        <w:rPr>
          <w:rFonts w:ascii="Tahoma" w:eastAsia="Times New Roman" w:hAnsi="Tahoma" w:cs="Tahoma"/>
          <w:color w:val="000000" w:themeColor="text1"/>
          <w:lang w:eastAsia="lt-LT"/>
        </w:rPr>
      </w:pPr>
      <w:r w:rsidRPr="00BC18C4">
        <w:rPr>
          <w:rFonts w:ascii="Tahoma" w:eastAsia="Times New Roman" w:hAnsi="Tahoma" w:cs="Tahoma"/>
          <w:color w:val="000000" w:themeColor="text1"/>
          <w:lang w:eastAsia="lt-LT"/>
        </w:rPr>
        <w:t xml:space="preserve">4.3. Tiekėjas parengia Paslaugų priėmimo ir perdavimo aktą, kurį pateikia pasirašyti Perkančiajai organizacijai. </w:t>
      </w:r>
    </w:p>
    <w:p w14:paraId="4B353919" w14:textId="69E66256" w:rsidR="00F23E96" w:rsidRPr="00BC18C4" w:rsidRDefault="00F23E96" w:rsidP="00BC18C4">
      <w:pPr>
        <w:overflowPunct w:val="0"/>
        <w:autoSpaceDE w:val="0"/>
        <w:autoSpaceDN w:val="0"/>
        <w:spacing w:after="0"/>
        <w:ind w:firstLine="851"/>
        <w:jc w:val="both"/>
        <w:textAlignment w:val="baseline"/>
        <w:rPr>
          <w:rFonts w:ascii="Tahoma" w:eastAsia="Calibri" w:hAnsi="Tahoma" w:cs="Tahoma"/>
          <w:b/>
          <w:bCs/>
          <w:color w:val="000000" w:themeColor="text1"/>
          <w:lang w:eastAsia="en-US"/>
        </w:rPr>
      </w:pPr>
      <w:r w:rsidRPr="00BC18C4">
        <w:rPr>
          <w:rFonts w:ascii="Tahoma" w:eastAsia="Calibri" w:hAnsi="Tahoma" w:cs="Tahoma"/>
          <w:color w:val="000000" w:themeColor="text1"/>
          <w:lang w:eastAsia="en-US"/>
        </w:rPr>
        <w:t xml:space="preserve">4.4. Perkančioji organizacija nemoka už nekokybiškai atliktas Paslaugas (jei atsitiktinės atrankos būdu patikrinus auditoriaus išvadų pagrįstumą, bus nustatyta, kad auditorius išvadų nepagrindė jokiomis atliktomis audito procedūromis arba atliktų audito procedūrų rezultatas neatitiks auditoriaus išvados, bus laikoma, kad auditas atliktas nekokybiškai. </w:t>
      </w:r>
      <w:r w:rsidR="00BC18C4" w:rsidRPr="00BC18C4">
        <w:rPr>
          <w:rFonts w:ascii="Tahoma" w:eastAsia="Calibri" w:hAnsi="Tahoma" w:cs="Tahoma"/>
          <w:color w:val="000000" w:themeColor="text1"/>
          <w:lang w:eastAsia="en-US"/>
        </w:rPr>
        <w:t>Audito, apskaitos, turto vertinimo ir nemokumo valdymo tarnyba prie Lietuvos Respublikos finansų ministerijos</w:t>
      </w:r>
      <w:r w:rsidR="00BC18C4" w:rsidRPr="00BC18C4">
        <w:rPr>
          <w:rFonts w:ascii="Tahoma" w:eastAsia="Calibri" w:hAnsi="Tahoma" w:cs="Tahoma"/>
          <w:b/>
          <w:bCs/>
          <w:color w:val="000000" w:themeColor="text1"/>
          <w:lang w:eastAsia="en-US"/>
        </w:rPr>
        <w:t xml:space="preserve"> </w:t>
      </w:r>
      <w:r w:rsidRPr="00BC18C4">
        <w:rPr>
          <w:rFonts w:ascii="Tahoma" w:eastAsia="Calibri" w:hAnsi="Tahoma" w:cs="Tahoma"/>
          <w:color w:val="000000" w:themeColor="text1"/>
          <w:lang w:eastAsia="en-US"/>
        </w:rPr>
        <w:t>kartu su Lietuvos auditorių rūmais taip pat gali pateikti išvadą, kad auditas yra atliktas nekokybiškai).</w:t>
      </w:r>
    </w:p>
    <w:p w14:paraId="53DC4142" w14:textId="17E32F3D" w:rsidR="00F23E96" w:rsidRPr="00841477" w:rsidRDefault="00F23E96" w:rsidP="00BC18C4">
      <w:pPr>
        <w:overflowPunct w:val="0"/>
        <w:autoSpaceDE w:val="0"/>
        <w:autoSpaceDN w:val="0"/>
        <w:spacing w:after="0"/>
        <w:ind w:firstLine="851"/>
        <w:jc w:val="both"/>
        <w:textAlignment w:val="baseline"/>
        <w:rPr>
          <w:rFonts w:ascii="Tahoma" w:eastAsia="Calibri" w:hAnsi="Tahoma" w:cs="Tahoma"/>
          <w:lang w:eastAsia="en-US"/>
        </w:rPr>
      </w:pPr>
      <w:r w:rsidRPr="59B26862">
        <w:rPr>
          <w:rFonts w:ascii="Tahoma" w:eastAsia="Calibri" w:hAnsi="Tahoma" w:cs="Tahoma"/>
          <w:color w:val="000000" w:themeColor="text1"/>
          <w:lang w:eastAsia="en-US"/>
        </w:rPr>
        <w:t>4.5. Paslaugų gavėjas įsipareigoja ne vėliau kaip iki atitinkamų metų kovo 5 d</w:t>
      </w:r>
      <w:r w:rsidR="009714EE">
        <w:rPr>
          <w:rFonts w:ascii="Tahoma" w:eastAsia="Calibri" w:hAnsi="Tahoma" w:cs="Tahoma"/>
          <w:color w:val="000000" w:themeColor="text1"/>
          <w:lang w:eastAsia="en-US"/>
        </w:rPr>
        <w:t>ienos</w:t>
      </w:r>
      <w:r w:rsidRPr="59B26862">
        <w:rPr>
          <w:rFonts w:ascii="Tahoma" w:eastAsia="Calibri" w:hAnsi="Tahoma" w:cs="Tahoma"/>
          <w:color w:val="000000" w:themeColor="text1"/>
          <w:lang w:eastAsia="en-US"/>
        </w:rPr>
        <w:t xml:space="preserve"> pateikti Paslaugų teikėjui Paslaugų gavėjo parengt</w:t>
      </w:r>
      <w:r w:rsidR="7177B7C1" w:rsidRPr="59B26862">
        <w:rPr>
          <w:rFonts w:ascii="Tahoma" w:eastAsia="Calibri" w:hAnsi="Tahoma" w:cs="Tahoma"/>
          <w:color w:val="000000" w:themeColor="text1"/>
          <w:lang w:eastAsia="en-US"/>
        </w:rPr>
        <w:t>ą</w:t>
      </w:r>
      <w:r w:rsidRPr="59B26862">
        <w:rPr>
          <w:rFonts w:ascii="Tahoma" w:eastAsia="Calibri" w:hAnsi="Tahoma" w:cs="Tahoma"/>
          <w:color w:val="000000" w:themeColor="text1"/>
          <w:lang w:eastAsia="en-US"/>
        </w:rPr>
        <w:t xml:space="preserve"> metinių finansinių </w:t>
      </w:r>
      <w:r w:rsidRPr="59B26862">
        <w:rPr>
          <w:rFonts w:ascii="Tahoma" w:eastAsia="Calibri" w:hAnsi="Tahoma" w:cs="Tahoma"/>
          <w:lang w:eastAsia="en-US"/>
        </w:rPr>
        <w:t>ataskaitų rinkinio projekt</w:t>
      </w:r>
      <w:r w:rsidR="7077DF31" w:rsidRPr="59B26862">
        <w:rPr>
          <w:rFonts w:ascii="Tahoma" w:eastAsia="Calibri" w:hAnsi="Tahoma" w:cs="Tahoma"/>
          <w:lang w:eastAsia="en-US"/>
        </w:rPr>
        <w:t>ą</w:t>
      </w:r>
      <w:r w:rsidRPr="59B26862">
        <w:rPr>
          <w:rFonts w:ascii="Tahoma" w:eastAsia="Calibri" w:hAnsi="Tahoma" w:cs="Tahoma"/>
          <w:lang w:eastAsia="en-US"/>
        </w:rPr>
        <w:t>, įskaitant visą su j</w:t>
      </w:r>
      <w:r w:rsidR="5DA5355D" w:rsidRPr="59B26862">
        <w:rPr>
          <w:rFonts w:ascii="Tahoma" w:eastAsia="Calibri" w:hAnsi="Tahoma" w:cs="Tahoma"/>
          <w:lang w:eastAsia="en-US"/>
        </w:rPr>
        <w:t>o</w:t>
      </w:r>
      <w:r w:rsidRPr="59B26862">
        <w:rPr>
          <w:rFonts w:ascii="Tahoma" w:eastAsia="Calibri" w:hAnsi="Tahoma" w:cs="Tahoma"/>
          <w:lang w:eastAsia="en-US"/>
        </w:rPr>
        <w:t xml:space="preserve"> par</w:t>
      </w:r>
      <w:r w:rsidR="617B043C" w:rsidRPr="59B26862">
        <w:rPr>
          <w:rFonts w:ascii="Tahoma" w:eastAsia="Calibri" w:hAnsi="Tahoma" w:cs="Tahoma"/>
          <w:lang w:eastAsia="en-US"/>
        </w:rPr>
        <w:t>eng</w:t>
      </w:r>
      <w:r w:rsidRPr="59B26862">
        <w:rPr>
          <w:rFonts w:ascii="Tahoma" w:eastAsia="Calibri" w:hAnsi="Tahoma" w:cs="Tahoma"/>
          <w:lang w:eastAsia="en-US"/>
        </w:rPr>
        <w:t>imu susijusią informaciją.</w:t>
      </w:r>
    </w:p>
    <w:p w14:paraId="6F4CAEFC" w14:textId="0197E758" w:rsidR="31EF8696" w:rsidRDefault="31EF8696" w:rsidP="350FD503">
      <w:pPr>
        <w:spacing w:after="0"/>
        <w:ind w:firstLine="851"/>
        <w:jc w:val="both"/>
        <w:rPr>
          <w:rFonts w:ascii="Tahoma" w:eastAsia="Calibri" w:hAnsi="Tahoma" w:cs="Tahoma"/>
          <w:lang w:eastAsia="en-US"/>
        </w:rPr>
      </w:pPr>
      <w:r w:rsidRPr="59B26862">
        <w:rPr>
          <w:rFonts w:ascii="Tahoma" w:eastAsia="Calibri" w:hAnsi="Tahoma" w:cs="Tahoma"/>
          <w:lang w:eastAsia="en-US"/>
        </w:rPr>
        <w:t xml:space="preserve">4.6. </w:t>
      </w:r>
      <w:r w:rsidRPr="59B26862">
        <w:rPr>
          <w:rFonts w:ascii="Tahoma" w:eastAsia="Calibri" w:hAnsi="Tahoma" w:cs="Tahoma"/>
          <w:color w:val="000000" w:themeColor="text1"/>
          <w:lang w:eastAsia="en-US"/>
        </w:rPr>
        <w:t xml:space="preserve">Paslaugų gavėjas įsipareigoja ne vėliau kaip iki atitinkamų metų kovo </w:t>
      </w:r>
      <w:r w:rsidR="6B8F5857" w:rsidRPr="59B26862">
        <w:rPr>
          <w:rFonts w:ascii="Tahoma" w:eastAsia="Calibri" w:hAnsi="Tahoma" w:cs="Tahoma"/>
          <w:color w:val="000000" w:themeColor="text1"/>
          <w:lang w:eastAsia="en-US"/>
        </w:rPr>
        <w:t>10</w:t>
      </w:r>
      <w:r w:rsidRPr="59B26862">
        <w:rPr>
          <w:rFonts w:ascii="Tahoma" w:eastAsia="Calibri" w:hAnsi="Tahoma" w:cs="Tahoma"/>
          <w:color w:val="000000" w:themeColor="text1"/>
          <w:lang w:eastAsia="en-US"/>
        </w:rPr>
        <w:t xml:space="preserve"> d</w:t>
      </w:r>
      <w:r w:rsidR="009714EE">
        <w:rPr>
          <w:rFonts w:ascii="Tahoma" w:eastAsia="Calibri" w:hAnsi="Tahoma" w:cs="Tahoma"/>
          <w:color w:val="000000" w:themeColor="text1"/>
          <w:lang w:eastAsia="en-US"/>
        </w:rPr>
        <w:t>ienos</w:t>
      </w:r>
      <w:r w:rsidRPr="59B26862">
        <w:rPr>
          <w:rFonts w:ascii="Tahoma" w:eastAsia="Calibri" w:hAnsi="Tahoma" w:cs="Tahoma"/>
          <w:color w:val="000000" w:themeColor="text1"/>
          <w:lang w:eastAsia="en-US"/>
        </w:rPr>
        <w:t xml:space="preserve"> pateikti Paslaugų teikėjui Paslaugų gavėjo parengt</w:t>
      </w:r>
      <w:r w:rsidR="0E742A8C" w:rsidRPr="59B26862">
        <w:rPr>
          <w:rFonts w:ascii="Tahoma" w:eastAsia="Calibri" w:hAnsi="Tahoma" w:cs="Tahoma"/>
          <w:color w:val="000000" w:themeColor="text1"/>
          <w:lang w:eastAsia="en-US"/>
        </w:rPr>
        <w:t>ą</w:t>
      </w:r>
      <w:r w:rsidRPr="59B26862">
        <w:rPr>
          <w:rFonts w:ascii="Tahoma" w:eastAsia="Calibri" w:hAnsi="Tahoma" w:cs="Tahoma"/>
          <w:color w:val="000000" w:themeColor="text1"/>
          <w:lang w:eastAsia="en-US"/>
        </w:rPr>
        <w:t xml:space="preserve"> vadovybės ataskaitos </w:t>
      </w:r>
      <w:r w:rsidRPr="59B26862">
        <w:rPr>
          <w:rFonts w:ascii="Tahoma" w:eastAsia="Calibri" w:hAnsi="Tahoma" w:cs="Tahoma"/>
          <w:lang w:eastAsia="en-US"/>
        </w:rPr>
        <w:t>projekt</w:t>
      </w:r>
      <w:r w:rsidR="6E9ABB9B" w:rsidRPr="59B26862">
        <w:rPr>
          <w:rFonts w:ascii="Tahoma" w:eastAsia="Calibri" w:hAnsi="Tahoma" w:cs="Tahoma"/>
          <w:lang w:eastAsia="en-US"/>
        </w:rPr>
        <w:t>ą</w:t>
      </w:r>
      <w:r w:rsidRPr="59B26862">
        <w:rPr>
          <w:rFonts w:ascii="Tahoma" w:eastAsia="Calibri" w:hAnsi="Tahoma" w:cs="Tahoma"/>
          <w:lang w:eastAsia="en-US"/>
        </w:rPr>
        <w:t>, įskaitant visą su j</w:t>
      </w:r>
      <w:r w:rsidR="00405954" w:rsidRPr="59B26862">
        <w:rPr>
          <w:rFonts w:ascii="Tahoma" w:eastAsia="Calibri" w:hAnsi="Tahoma" w:cs="Tahoma"/>
          <w:lang w:eastAsia="en-US"/>
        </w:rPr>
        <w:t>ų</w:t>
      </w:r>
      <w:r w:rsidRPr="59B26862">
        <w:rPr>
          <w:rFonts w:ascii="Tahoma" w:eastAsia="Calibri" w:hAnsi="Tahoma" w:cs="Tahoma"/>
          <w:lang w:eastAsia="en-US"/>
        </w:rPr>
        <w:t xml:space="preserve"> par</w:t>
      </w:r>
      <w:r w:rsidR="5570365F" w:rsidRPr="59B26862">
        <w:rPr>
          <w:rFonts w:ascii="Tahoma" w:eastAsia="Calibri" w:hAnsi="Tahoma" w:cs="Tahoma"/>
          <w:lang w:eastAsia="en-US"/>
        </w:rPr>
        <w:t>eng</w:t>
      </w:r>
      <w:r w:rsidRPr="59B26862">
        <w:rPr>
          <w:rFonts w:ascii="Tahoma" w:eastAsia="Calibri" w:hAnsi="Tahoma" w:cs="Tahoma"/>
          <w:lang w:eastAsia="en-US"/>
        </w:rPr>
        <w:t>imu susijusią informaciją.</w:t>
      </w:r>
    </w:p>
    <w:p w14:paraId="6A741DA9" w14:textId="421D465F" w:rsidR="00403212" w:rsidRDefault="00403212" w:rsidP="00403212">
      <w:pPr>
        <w:spacing w:after="0"/>
        <w:ind w:firstLine="851"/>
        <w:jc w:val="both"/>
        <w:rPr>
          <w:rFonts w:ascii="Tahoma" w:eastAsia="Calibri" w:hAnsi="Tahoma" w:cs="Tahoma"/>
          <w:lang w:eastAsia="en-US"/>
        </w:rPr>
      </w:pPr>
      <w:r>
        <w:rPr>
          <w:rFonts w:ascii="Tahoma" w:eastAsia="Calibri" w:hAnsi="Tahoma" w:cs="Tahoma"/>
          <w:lang w:eastAsia="en-US"/>
        </w:rPr>
        <w:t>4.7. Perkančioji organizacija</w:t>
      </w:r>
      <w:r w:rsidRPr="00403212">
        <w:rPr>
          <w:rFonts w:ascii="Tahoma" w:eastAsia="Calibri" w:hAnsi="Tahoma" w:cs="Tahoma"/>
          <w:lang w:eastAsia="en-US"/>
        </w:rPr>
        <w:t xml:space="preserve"> sutinka, kad Tiekėjas turi teisę perduoti su Sutartimi susijusią dokumentaciją, įskaitant ir joje esančią </w:t>
      </w:r>
      <w:r>
        <w:rPr>
          <w:rFonts w:ascii="Tahoma" w:eastAsia="Calibri" w:hAnsi="Tahoma" w:cs="Tahoma"/>
          <w:lang w:eastAsia="en-US"/>
        </w:rPr>
        <w:t>Perkančiosios organizacijos</w:t>
      </w:r>
      <w:r w:rsidRPr="00403212">
        <w:rPr>
          <w:rFonts w:ascii="Tahoma" w:eastAsia="Calibri" w:hAnsi="Tahoma" w:cs="Tahoma"/>
          <w:lang w:eastAsia="en-US"/>
        </w:rPr>
        <w:t xml:space="preserve"> konfidencialią informaciją, Sutarčiai vykdyti pasitelktai jo grupės įmonei (subrangovui) (jei taikoma), o taip pat - saugoti </w:t>
      </w:r>
      <w:r>
        <w:rPr>
          <w:rFonts w:ascii="Tahoma" w:eastAsia="Calibri" w:hAnsi="Tahoma" w:cs="Tahoma"/>
          <w:lang w:eastAsia="en-US"/>
        </w:rPr>
        <w:t>į T</w:t>
      </w:r>
      <w:r w:rsidRPr="00403212">
        <w:rPr>
          <w:rFonts w:ascii="Tahoma" w:eastAsia="Calibri" w:hAnsi="Tahoma" w:cs="Tahoma"/>
          <w:lang w:eastAsia="en-US"/>
        </w:rPr>
        <w:t>i</w:t>
      </w:r>
      <w:r>
        <w:rPr>
          <w:rFonts w:ascii="Tahoma" w:eastAsia="Calibri" w:hAnsi="Tahoma" w:cs="Tahoma"/>
          <w:lang w:eastAsia="en-US"/>
        </w:rPr>
        <w:t>e</w:t>
      </w:r>
      <w:r w:rsidRPr="00403212">
        <w:rPr>
          <w:rFonts w:ascii="Tahoma" w:eastAsia="Calibri" w:hAnsi="Tahoma" w:cs="Tahoma"/>
          <w:lang w:eastAsia="en-US"/>
        </w:rPr>
        <w:t>kėjo regioninį serverį kitoje E</w:t>
      </w:r>
      <w:r w:rsidR="0089670F">
        <w:rPr>
          <w:rFonts w:ascii="Tahoma" w:eastAsia="Calibri" w:hAnsi="Tahoma" w:cs="Tahoma"/>
          <w:lang w:eastAsia="en-US"/>
        </w:rPr>
        <w:t>uropos Sąjungos</w:t>
      </w:r>
      <w:r w:rsidRPr="00403212">
        <w:rPr>
          <w:rFonts w:ascii="Tahoma" w:eastAsia="Calibri" w:hAnsi="Tahoma" w:cs="Tahoma"/>
          <w:lang w:eastAsia="en-US"/>
        </w:rPr>
        <w:t xml:space="preserve"> valstybėje, prižiūrimą </w:t>
      </w:r>
      <w:r>
        <w:rPr>
          <w:rFonts w:ascii="Tahoma" w:eastAsia="Calibri" w:hAnsi="Tahoma" w:cs="Tahoma"/>
          <w:lang w:eastAsia="en-US"/>
        </w:rPr>
        <w:t>Tiekėjo</w:t>
      </w:r>
      <w:r w:rsidRPr="00403212">
        <w:rPr>
          <w:rFonts w:ascii="Tahoma" w:eastAsia="Calibri" w:hAnsi="Tahoma" w:cs="Tahoma"/>
          <w:lang w:eastAsia="en-US"/>
        </w:rPr>
        <w:t xml:space="preserve"> subrangovo įmonės ar vienos iš jos filialų ir/ar subrangovų, su sąlyga, kad bus laikomasi to paties lygio techninių, organizacinių ir asmeninių informacijos saugumo priemonių, kurie keliami </w:t>
      </w:r>
      <w:r>
        <w:rPr>
          <w:rFonts w:ascii="Tahoma" w:eastAsia="Calibri" w:hAnsi="Tahoma" w:cs="Tahoma"/>
          <w:lang w:eastAsia="en-US"/>
        </w:rPr>
        <w:t>Tiekėjui</w:t>
      </w:r>
      <w:r w:rsidRPr="00403212">
        <w:rPr>
          <w:rFonts w:ascii="Tahoma" w:eastAsia="Calibri" w:hAnsi="Tahoma" w:cs="Tahoma"/>
          <w:lang w:eastAsia="en-US"/>
        </w:rPr>
        <w:t xml:space="preserve">. Su šia Sutartimi ir jos vykdymu susijusi dokumentacija </w:t>
      </w:r>
      <w:r>
        <w:rPr>
          <w:rFonts w:ascii="Tahoma" w:eastAsia="Calibri" w:hAnsi="Tahoma" w:cs="Tahoma"/>
          <w:lang w:eastAsia="en-US"/>
        </w:rPr>
        <w:t>Tiekėjo</w:t>
      </w:r>
      <w:r w:rsidRPr="00403212">
        <w:rPr>
          <w:rFonts w:ascii="Tahoma" w:eastAsia="Calibri" w:hAnsi="Tahoma" w:cs="Tahoma"/>
          <w:lang w:eastAsia="en-US"/>
        </w:rPr>
        <w:t xml:space="preserve"> bus saugoma 10 metų nuo sutartinių santykių pasibaigimo arba kiek to yra reikalaujama pagal taikytinus Lietuvos Respublikos įstatymu</w:t>
      </w:r>
      <w:r>
        <w:rPr>
          <w:rFonts w:ascii="Tahoma" w:eastAsia="Calibri" w:hAnsi="Tahoma" w:cs="Tahoma"/>
          <w:lang w:eastAsia="en-US"/>
        </w:rPr>
        <w:t>.</w:t>
      </w:r>
    </w:p>
    <w:p w14:paraId="52694414" w14:textId="5B8D125E" w:rsidR="008669F4" w:rsidRDefault="008669F4" w:rsidP="00403212">
      <w:pPr>
        <w:spacing w:after="0"/>
        <w:ind w:firstLine="851"/>
        <w:jc w:val="both"/>
        <w:rPr>
          <w:rFonts w:ascii="Tahoma" w:eastAsia="Calibri" w:hAnsi="Tahoma" w:cs="Tahoma"/>
          <w:lang w:eastAsia="en-US"/>
        </w:rPr>
      </w:pPr>
      <w:r>
        <w:rPr>
          <w:rFonts w:ascii="Tahoma" w:eastAsia="Calibri" w:hAnsi="Tahoma" w:cs="Tahoma"/>
          <w:lang w:eastAsia="en-US"/>
        </w:rPr>
        <w:t xml:space="preserve">4.8. </w:t>
      </w:r>
      <w:r w:rsidRPr="008669F4">
        <w:rPr>
          <w:rFonts w:ascii="Tahoma" w:eastAsia="Calibri" w:hAnsi="Tahoma" w:cs="Tahoma"/>
          <w:lang w:eastAsia="en-US"/>
        </w:rPr>
        <w:t>Atsižvelgiant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Pirkimas laikomas žaliuoju</w:t>
      </w:r>
      <w:r w:rsidR="00B22892">
        <w:rPr>
          <w:rFonts w:ascii="Tahoma" w:eastAsia="Calibri" w:hAnsi="Tahoma" w:cs="Tahoma"/>
          <w:lang w:eastAsia="en-US"/>
        </w:rPr>
        <w:t>.</w:t>
      </w:r>
    </w:p>
    <w:p w14:paraId="452C9C7D" w14:textId="582FF6C4" w:rsidR="350FD503" w:rsidRDefault="350FD503" w:rsidP="350FD503">
      <w:pPr>
        <w:spacing w:after="0"/>
        <w:ind w:firstLine="851"/>
        <w:jc w:val="both"/>
        <w:rPr>
          <w:rFonts w:ascii="Tahoma" w:eastAsia="Calibri" w:hAnsi="Tahoma" w:cs="Tahoma"/>
          <w:lang w:eastAsia="en-US"/>
        </w:rPr>
      </w:pPr>
    </w:p>
    <w:p w14:paraId="45ED0FA6" w14:textId="65883D50" w:rsidR="002A7375" w:rsidRPr="00F350AC" w:rsidRDefault="00F23E96" w:rsidP="00DB340B">
      <w:pPr>
        <w:spacing w:after="0"/>
        <w:ind w:firstLine="851"/>
        <w:rPr>
          <w:rFonts w:cs="Tahoma"/>
        </w:rPr>
      </w:pPr>
      <w:r w:rsidRPr="00841477">
        <w:rPr>
          <w:rFonts w:ascii="Tahoma" w:eastAsia="Calibri" w:hAnsi="Tahoma" w:cs="Tahoma"/>
          <w:lang w:eastAsia="en-US"/>
        </w:rPr>
        <w:tab/>
      </w:r>
      <w:r w:rsidRPr="00841477">
        <w:rPr>
          <w:rFonts w:ascii="Tahoma" w:eastAsia="Calibri" w:hAnsi="Tahoma" w:cs="Tahoma"/>
          <w:lang w:eastAsia="en-US"/>
        </w:rPr>
        <w:tab/>
      </w:r>
      <w:r w:rsidRPr="00841477">
        <w:rPr>
          <w:rFonts w:ascii="Tahoma" w:eastAsia="Calibri" w:hAnsi="Tahoma" w:cs="Tahoma"/>
          <w:lang w:eastAsia="en-US"/>
        </w:rPr>
        <w:tab/>
      </w:r>
      <w:r>
        <w:rPr>
          <w:rFonts w:ascii="Tahoma" w:eastAsia="Calibri" w:hAnsi="Tahoma" w:cs="Tahoma"/>
          <w:lang w:eastAsia="en-US"/>
        </w:rPr>
        <w:t>__________________</w:t>
      </w:r>
    </w:p>
    <w:sectPr w:rsidR="002A7375" w:rsidRPr="00F350AC"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87FF" w14:textId="77777777" w:rsidR="001D5838" w:rsidRDefault="001D5838" w:rsidP="00DD3A79">
      <w:pPr>
        <w:spacing w:line="240" w:lineRule="auto"/>
      </w:pPr>
      <w:r>
        <w:separator/>
      </w:r>
    </w:p>
  </w:endnote>
  <w:endnote w:type="continuationSeparator" w:id="0">
    <w:p w14:paraId="015B8FF7" w14:textId="77777777" w:rsidR="001D5838" w:rsidRDefault="001D5838" w:rsidP="00DD3A79">
      <w:pPr>
        <w:spacing w:line="240" w:lineRule="auto"/>
      </w:pPr>
      <w:r>
        <w:continuationSeparator/>
      </w:r>
    </w:p>
  </w:endnote>
  <w:endnote w:type="continuationNotice" w:id="1">
    <w:p w14:paraId="358E3E68" w14:textId="77777777" w:rsidR="001D5838" w:rsidRDefault="001D5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ource Sans Pro">
    <w:panose1 w:val="020B0503030403020204"/>
    <w:charset w:val="BA"/>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201E9" w14:textId="77777777" w:rsidR="001D5838" w:rsidRDefault="001D5838" w:rsidP="00DD3A79">
      <w:pPr>
        <w:spacing w:line="240" w:lineRule="auto"/>
      </w:pPr>
      <w:r>
        <w:separator/>
      </w:r>
    </w:p>
  </w:footnote>
  <w:footnote w:type="continuationSeparator" w:id="0">
    <w:p w14:paraId="759811D0" w14:textId="77777777" w:rsidR="001D5838" w:rsidRDefault="001D5838" w:rsidP="00DD3A79">
      <w:pPr>
        <w:spacing w:line="240" w:lineRule="auto"/>
      </w:pPr>
      <w:r>
        <w:continuationSeparator/>
      </w:r>
    </w:p>
  </w:footnote>
  <w:footnote w:type="continuationNotice" w:id="1">
    <w:p w14:paraId="4ECC9CEB" w14:textId="77777777" w:rsidR="001D5838" w:rsidRDefault="001D5838">
      <w:pPr>
        <w:spacing w:after="0" w:line="240" w:lineRule="auto"/>
      </w:pPr>
    </w:p>
  </w:footnote>
  <w:footnote w:id="2">
    <w:p w14:paraId="471E8588" w14:textId="77777777" w:rsidR="00F25528" w:rsidRPr="00A923A2" w:rsidRDefault="00F25528" w:rsidP="5BFA361F">
      <w:pPr>
        <w:spacing w:after="0"/>
        <w:jc w:val="both"/>
        <w:rPr>
          <w:rFonts w:ascii="Tahoma" w:eastAsia="Source Sans Pro" w:hAnsi="Tahoma" w:cs="Tahoma"/>
        </w:rPr>
      </w:pPr>
      <w:r w:rsidRPr="00A923A2">
        <w:rPr>
          <w:rStyle w:val="FootnoteReference"/>
          <w:rFonts w:ascii="Tahoma" w:hAnsi="Tahoma" w:cs="Tahoma"/>
        </w:rPr>
        <w:footnoteRef/>
      </w:r>
      <w:r w:rsidRPr="00A923A2">
        <w:rPr>
          <w:rFonts w:ascii="Tahoma" w:hAnsi="Tahoma" w:cs="Tahoma"/>
        </w:rPr>
        <w:t xml:space="preserve"> </w:t>
      </w:r>
      <w:r w:rsidRPr="00A923A2">
        <w:rPr>
          <w:rFonts w:ascii="Tahoma" w:eastAsia="Source Sans Pro" w:hAnsi="Tahoma" w:cs="Tahoma"/>
          <w:b/>
          <w:bCs/>
        </w:rPr>
        <w:t>Tvarumo atskaitomybė</w:t>
      </w:r>
      <w:r w:rsidRPr="00A923A2">
        <w:rPr>
          <w:rFonts w:ascii="Tahoma" w:eastAsia="Source Sans Pro" w:hAnsi="Tahoma" w:cs="Tahoma"/>
        </w:rPr>
        <w:t xml:space="preserve"> – su tvarumo klausimais susijusios informacijos rengimas, teikimas ir skelbimas, bus teikiamas vadovybės ataskaitoje kaip sudėtinė integruota dalis.</w:t>
      </w:r>
    </w:p>
    <w:p w14:paraId="4DC85E7F" w14:textId="78F58533" w:rsidR="00F25528" w:rsidRDefault="00F255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327E2EF1" w14:textId="511BE5FB"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817071">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817071">
          <w:rPr>
            <w:rFonts w:cs="Tahoma"/>
            <w:bCs/>
            <w:noProof/>
          </w:rPr>
          <w:t>3</w:t>
        </w:r>
        <w:r w:rsidRPr="00F350AC">
          <w:rPr>
            <w:rFonts w:cs="Tahoma"/>
            <w:bCs/>
          </w:rPr>
          <w:fldChar w:fldCharType="end"/>
        </w:r>
      </w:p>
    </w:sdtContent>
  </w:sdt>
  <w:p w14:paraId="2DDBB303"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B15"/>
    <w:multiLevelType w:val="hybridMultilevel"/>
    <w:tmpl w:val="94C4C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C8B65EF"/>
    <w:multiLevelType w:val="multilevel"/>
    <w:tmpl w:val="A776EAEC"/>
    <w:lvl w:ilvl="0">
      <w:start w:val="1"/>
      <w:numFmt w:val="decimal"/>
      <w:lvlText w:val="%1."/>
      <w:lvlJc w:val="left"/>
      <w:pPr>
        <w:ind w:left="720" w:hanging="360"/>
      </w:pPr>
    </w:lvl>
    <w:lvl w:ilvl="1">
      <w:start w:val="4"/>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695486">
    <w:abstractNumId w:val="0"/>
  </w:num>
  <w:num w:numId="2" w16cid:durableId="70313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BB5"/>
    <w:rsid w:val="00014290"/>
    <w:rsid w:val="00020203"/>
    <w:rsid w:val="0002237A"/>
    <w:rsid w:val="0002446B"/>
    <w:rsid w:val="00030B87"/>
    <w:rsid w:val="00043BC4"/>
    <w:rsid w:val="0007478F"/>
    <w:rsid w:val="00074EAB"/>
    <w:rsid w:val="000C25BB"/>
    <w:rsid w:val="000C36E8"/>
    <w:rsid w:val="000E6684"/>
    <w:rsid w:val="000F35DE"/>
    <w:rsid w:val="000F5E26"/>
    <w:rsid w:val="001105B4"/>
    <w:rsid w:val="00117AA9"/>
    <w:rsid w:val="00117DE6"/>
    <w:rsid w:val="00120745"/>
    <w:rsid w:val="00120757"/>
    <w:rsid w:val="00123448"/>
    <w:rsid w:val="001431EA"/>
    <w:rsid w:val="001441F8"/>
    <w:rsid w:val="00160B2B"/>
    <w:rsid w:val="00163035"/>
    <w:rsid w:val="001747B0"/>
    <w:rsid w:val="001750D9"/>
    <w:rsid w:val="00190923"/>
    <w:rsid w:val="001B64CB"/>
    <w:rsid w:val="001C5095"/>
    <w:rsid w:val="001D41F1"/>
    <w:rsid w:val="001D5838"/>
    <w:rsid w:val="001D7A87"/>
    <w:rsid w:val="001E4461"/>
    <w:rsid w:val="001E5555"/>
    <w:rsid w:val="0021592E"/>
    <w:rsid w:val="002241A7"/>
    <w:rsid w:val="00243092"/>
    <w:rsid w:val="0024344E"/>
    <w:rsid w:val="00243707"/>
    <w:rsid w:val="00246B6F"/>
    <w:rsid w:val="00262787"/>
    <w:rsid w:val="00274D6C"/>
    <w:rsid w:val="00276487"/>
    <w:rsid w:val="00296E5D"/>
    <w:rsid w:val="002A7375"/>
    <w:rsid w:val="002B0B15"/>
    <w:rsid w:val="002B16E5"/>
    <w:rsid w:val="002C4B1C"/>
    <w:rsid w:val="00310380"/>
    <w:rsid w:val="00321324"/>
    <w:rsid w:val="00347D12"/>
    <w:rsid w:val="00347E42"/>
    <w:rsid w:val="0035779A"/>
    <w:rsid w:val="003605A2"/>
    <w:rsid w:val="00363635"/>
    <w:rsid w:val="00373F57"/>
    <w:rsid w:val="00385D61"/>
    <w:rsid w:val="003904D2"/>
    <w:rsid w:val="003A0938"/>
    <w:rsid w:val="003A263E"/>
    <w:rsid w:val="003A69EC"/>
    <w:rsid w:val="003B1F46"/>
    <w:rsid w:val="003B70A0"/>
    <w:rsid w:val="003C63BA"/>
    <w:rsid w:val="003D2DEF"/>
    <w:rsid w:val="003E36EA"/>
    <w:rsid w:val="003E48E6"/>
    <w:rsid w:val="00403212"/>
    <w:rsid w:val="00405954"/>
    <w:rsid w:val="004334E5"/>
    <w:rsid w:val="00442F15"/>
    <w:rsid w:val="004637AC"/>
    <w:rsid w:val="0047779A"/>
    <w:rsid w:val="004A3B20"/>
    <w:rsid w:val="004C2EC0"/>
    <w:rsid w:val="00521511"/>
    <w:rsid w:val="00524745"/>
    <w:rsid w:val="00573CC1"/>
    <w:rsid w:val="005A1075"/>
    <w:rsid w:val="005B6AF8"/>
    <w:rsid w:val="005F58DD"/>
    <w:rsid w:val="00607B81"/>
    <w:rsid w:val="006113C1"/>
    <w:rsid w:val="00623DF1"/>
    <w:rsid w:val="00631649"/>
    <w:rsid w:val="00662327"/>
    <w:rsid w:val="00664F2C"/>
    <w:rsid w:val="00666A29"/>
    <w:rsid w:val="00672D56"/>
    <w:rsid w:val="006B018B"/>
    <w:rsid w:val="006D3791"/>
    <w:rsid w:val="006E19AF"/>
    <w:rsid w:val="006F453F"/>
    <w:rsid w:val="00711F4D"/>
    <w:rsid w:val="00717D9B"/>
    <w:rsid w:val="00725A95"/>
    <w:rsid w:val="007306E7"/>
    <w:rsid w:val="00745D99"/>
    <w:rsid w:val="00752C85"/>
    <w:rsid w:val="007600D9"/>
    <w:rsid w:val="007704CD"/>
    <w:rsid w:val="00781DBA"/>
    <w:rsid w:val="007869B9"/>
    <w:rsid w:val="00787DF3"/>
    <w:rsid w:val="007D788C"/>
    <w:rsid w:val="00815BB5"/>
    <w:rsid w:val="00817071"/>
    <w:rsid w:val="0081748C"/>
    <w:rsid w:val="00820F34"/>
    <w:rsid w:val="00830895"/>
    <w:rsid w:val="008435F7"/>
    <w:rsid w:val="00846201"/>
    <w:rsid w:val="008552CC"/>
    <w:rsid w:val="00856899"/>
    <w:rsid w:val="008669F4"/>
    <w:rsid w:val="00876EBD"/>
    <w:rsid w:val="00890934"/>
    <w:rsid w:val="0089670F"/>
    <w:rsid w:val="008A6A99"/>
    <w:rsid w:val="008F1A73"/>
    <w:rsid w:val="00913D82"/>
    <w:rsid w:val="00926AF4"/>
    <w:rsid w:val="00931FF9"/>
    <w:rsid w:val="0095586D"/>
    <w:rsid w:val="009714EE"/>
    <w:rsid w:val="0098590D"/>
    <w:rsid w:val="009909F2"/>
    <w:rsid w:val="00997BA9"/>
    <w:rsid w:val="009A3332"/>
    <w:rsid w:val="009B2D35"/>
    <w:rsid w:val="009B6D77"/>
    <w:rsid w:val="009C01BB"/>
    <w:rsid w:val="009C0562"/>
    <w:rsid w:val="009C5C93"/>
    <w:rsid w:val="00A01A45"/>
    <w:rsid w:val="00A13AB5"/>
    <w:rsid w:val="00A169CE"/>
    <w:rsid w:val="00A51057"/>
    <w:rsid w:val="00A71240"/>
    <w:rsid w:val="00A75CF6"/>
    <w:rsid w:val="00A82401"/>
    <w:rsid w:val="00A916F0"/>
    <w:rsid w:val="00A923A2"/>
    <w:rsid w:val="00AA7772"/>
    <w:rsid w:val="00AB57A3"/>
    <w:rsid w:val="00AD7C59"/>
    <w:rsid w:val="00AF1DD9"/>
    <w:rsid w:val="00B22892"/>
    <w:rsid w:val="00B3118B"/>
    <w:rsid w:val="00B57592"/>
    <w:rsid w:val="00B71499"/>
    <w:rsid w:val="00B76466"/>
    <w:rsid w:val="00B92F84"/>
    <w:rsid w:val="00BC18C4"/>
    <w:rsid w:val="00C07722"/>
    <w:rsid w:val="00C1273E"/>
    <w:rsid w:val="00C14FAF"/>
    <w:rsid w:val="00C15CF0"/>
    <w:rsid w:val="00C40512"/>
    <w:rsid w:val="00C644DF"/>
    <w:rsid w:val="00C71D1F"/>
    <w:rsid w:val="00C721FA"/>
    <w:rsid w:val="00C97215"/>
    <w:rsid w:val="00CB3E83"/>
    <w:rsid w:val="00CB696C"/>
    <w:rsid w:val="00CC3DE8"/>
    <w:rsid w:val="00CF5305"/>
    <w:rsid w:val="00D2056B"/>
    <w:rsid w:val="00D228AC"/>
    <w:rsid w:val="00D23820"/>
    <w:rsid w:val="00D40DC9"/>
    <w:rsid w:val="00D512AC"/>
    <w:rsid w:val="00D53C32"/>
    <w:rsid w:val="00D566EB"/>
    <w:rsid w:val="00D57CC9"/>
    <w:rsid w:val="00D618C9"/>
    <w:rsid w:val="00D93F4A"/>
    <w:rsid w:val="00D9651A"/>
    <w:rsid w:val="00DA0C0E"/>
    <w:rsid w:val="00DA1160"/>
    <w:rsid w:val="00DA45F8"/>
    <w:rsid w:val="00DB340B"/>
    <w:rsid w:val="00DD3A79"/>
    <w:rsid w:val="00E14705"/>
    <w:rsid w:val="00E22B48"/>
    <w:rsid w:val="00E37D10"/>
    <w:rsid w:val="00E74567"/>
    <w:rsid w:val="00E7608E"/>
    <w:rsid w:val="00E8331B"/>
    <w:rsid w:val="00EB296A"/>
    <w:rsid w:val="00EE4971"/>
    <w:rsid w:val="00EE6B49"/>
    <w:rsid w:val="00EF3673"/>
    <w:rsid w:val="00F172A7"/>
    <w:rsid w:val="00F2047D"/>
    <w:rsid w:val="00F23E96"/>
    <w:rsid w:val="00F25528"/>
    <w:rsid w:val="00F350AC"/>
    <w:rsid w:val="00F8550A"/>
    <w:rsid w:val="00F90487"/>
    <w:rsid w:val="00FE0810"/>
    <w:rsid w:val="00FE55AE"/>
    <w:rsid w:val="00FE6C60"/>
    <w:rsid w:val="02F0D312"/>
    <w:rsid w:val="02F44DE1"/>
    <w:rsid w:val="03184153"/>
    <w:rsid w:val="03DD4A2D"/>
    <w:rsid w:val="05D69BF6"/>
    <w:rsid w:val="060B4B46"/>
    <w:rsid w:val="08D8A6B7"/>
    <w:rsid w:val="09C8B152"/>
    <w:rsid w:val="0D23C14E"/>
    <w:rsid w:val="0E742A8C"/>
    <w:rsid w:val="0EAD2DE8"/>
    <w:rsid w:val="108DE311"/>
    <w:rsid w:val="13E42EE6"/>
    <w:rsid w:val="1AF58B16"/>
    <w:rsid w:val="1B2A1897"/>
    <w:rsid w:val="1B9EBAF5"/>
    <w:rsid w:val="1BD72CC8"/>
    <w:rsid w:val="20664DE1"/>
    <w:rsid w:val="22224A83"/>
    <w:rsid w:val="2291EAFE"/>
    <w:rsid w:val="2328B6AB"/>
    <w:rsid w:val="2329105E"/>
    <w:rsid w:val="23328DB3"/>
    <w:rsid w:val="29503A12"/>
    <w:rsid w:val="2996244F"/>
    <w:rsid w:val="2A2558B5"/>
    <w:rsid w:val="2A59E2E0"/>
    <w:rsid w:val="2BEEF564"/>
    <w:rsid w:val="2C5F92CE"/>
    <w:rsid w:val="2F01EE9C"/>
    <w:rsid w:val="30BEEFF6"/>
    <w:rsid w:val="30E47428"/>
    <w:rsid w:val="317B676F"/>
    <w:rsid w:val="31EF8696"/>
    <w:rsid w:val="34CCD36F"/>
    <w:rsid w:val="350FD503"/>
    <w:rsid w:val="353A14AE"/>
    <w:rsid w:val="35AA43A3"/>
    <w:rsid w:val="37958257"/>
    <w:rsid w:val="38F1A45A"/>
    <w:rsid w:val="39A6E46A"/>
    <w:rsid w:val="3AD9F9EF"/>
    <w:rsid w:val="3C4C4F23"/>
    <w:rsid w:val="3CC9803D"/>
    <w:rsid w:val="3E2F43D4"/>
    <w:rsid w:val="41FB3078"/>
    <w:rsid w:val="42055384"/>
    <w:rsid w:val="42B18ECA"/>
    <w:rsid w:val="4346EC94"/>
    <w:rsid w:val="438EE136"/>
    <w:rsid w:val="46DC6DE6"/>
    <w:rsid w:val="48F87CD8"/>
    <w:rsid w:val="4D8033D8"/>
    <w:rsid w:val="509F6C6E"/>
    <w:rsid w:val="51302468"/>
    <w:rsid w:val="51411394"/>
    <w:rsid w:val="5290345B"/>
    <w:rsid w:val="534514E4"/>
    <w:rsid w:val="535DA6BB"/>
    <w:rsid w:val="5570365F"/>
    <w:rsid w:val="57D37E04"/>
    <w:rsid w:val="58C8AF81"/>
    <w:rsid w:val="59B26862"/>
    <w:rsid w:val="5AAA50EE"/>
    <w:rsid w:val="5BFA361F"/>
    <w:rsid w:val="5D5B75E3"/>
    <w:rsid w:val="5DA5355D"/>
    <w:rsid w:val="602D9496"/>
    <w:rsid w:val="60334B02"/>
    <w:rsid w:val="617B043C"/>
    <w:rsid w:val="61F72B3F"/>
    <w:rsid w:val="62FE2F72"/>
    <w:rsid w:val="6489BD45"/>
    <w:rsid w:val="65DAFB73"/>
    <w:rsid w:val="66B0FA88"/>
    <w:rsid w:val="67600886"/>
    <w:rsid w:val="68B0D425"/>
    <w:rsid w:val="6B6E9932"/>
    <w:rsid w:val="6B8F5857"/>
    <w:rsid w:val="6BA0E6B4"/>
    <w:rsid w:val="6BCB3471"/>
    <w:rsid w:val="6DDF432A"/>
    <w:rsid w:val="6E91543A"/>
    <w:rsid w:val="6E9ABB9B"/>
    <w:rsid w:val="6EA467B7"/>
    <w:rsid w:val="6FEBD287"/>
    <w:rsid w:val="7077DF31"/>
    <w:rsid w:val="70876D1C"/>
    <w:rsid w:val="713E2631"/>
    <w:rsid w:val="7177B7C1"/>
    <w:rsid w:val="72CC5192"/>
    <w:rsid w:val="730FED0F"/>
    <w:rsid w:val="73F5533E"/>
    <w:rsid w:val="74BE639C"/>
    <w:rsid w:val="76C94E63"/>
    <w:rsid w:val="77BF3FE0"/>
    <w:rsid w:val="7824A344"/>
    <w:rsid w:val="786524B2"/>
    <w:rsid w:val="7B12E9BB"/>
    <w:rsid w:val="7CED56B4"/>
    <w:rsid w:val="7DDF6B74"/>
    <w:rsid w:val="7E6A8BCB"/>
    <w:rsid w:val="7EEA03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2B35F"/>
  <w15:chartTrackingRefBased/>
  <w15:docId w15:val="{E675B348-F7BE-4D61-850A-48EEDFEE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E96"/>
    <w:pPr>
      <w:spacing w:after="200" w:line="276" w:lineRule="auto"/>
      <w:ind w:firstLine="0"/>
    </w:pPr>
    <w:rPr>
      <w:rFonts w:asciiTheme="minorHAnsi" w:eastAsiaTheme="minorEastAsia" w:hAnsiTheme="minorHAnsi"/>
      <w:lang w:eastAsia="zh-CN"/>
    </w:rPr>
  </w:style>
  <w:style w:type="paragraph" w:styleId="Heading5">
    <w:name w:val="heading 5"/>
    <w:basedOn w:val="Normal"/>
    <w:next w:val="Normal"/>
    <w:link w:val="Heading5Char"/>
    <w:uiPriority w:val="9"/>
    <w:semiHidden/>
    <w:unhideWhenUsed/>
    <w:qFormat/>
    <w:rsid w:val="00BC18C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val="en-GB"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val="en-GB" w:eastAsia="en-US"/>
    </w:rPr>
  </w:style>
  <w:style w:type="character" w:customStyle="1" w:styleId="FooterChar">
    <w:name w:val="Footer Char"/>
    <w:basedOn w:val="DefaultParagraphFont"/>
    <w:link w:val="Footer"/>
    <w:uiPriority w:val="99"/>
    <w:rsid w:val="00DD3A79"/>
  </w:style>
  <w:style w:type="character" w:styleId="Hyperlink">
    <w:name w:val="Hyperlink"/>
    <w:basedOn w:val="DefaultParagraphFont"/>
    <w:uiPriority w:val="99"/>
    <w:unhideWhenUsed/>
    <w:rsid w:val="00AD7C59"/>
    <w:rPr>
      <w:color w:val="0563C1" w:themeColor="hyperlink"/>
      <w:u w:val="single"/>
    </w:rPr>
  </w:style>
  <w:style w:type="character" w:styleId="FollowedHyperlink">
    <w:name w:val="FollowedHyperlink"/>
    <w:basedOn w:val="DefaultParagraphFont"/>
    <w:uiPriority w:val="99"/>
    <w:semiHidden/>
    <w:unhideWhenUsed/>
    <w:rsid w:val="00120745"/>
    <w:rPr>
      <w:color w:val="954F72" w:themeColor="followedHyperlink"/>
      <w:u w:val="single"/>
    </w:rPr>
  </w:style>
  <w:style w:type="paragraph" w:styleId="BalloonText">
    <w:name w:val="Balloon Text"/>
    <w:basedOn w:val="Normal"/>
    <w:link w:val="BalloonTextChar"/>
    <w:uiPriority w:val="99"/>
    <w:semiHidden/>
    <w:unhideWhenUsed/>
    <w:rsid w:val="00120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745"/>
    <w:rPr>
      <w:rFonts w:ascii="Segoe UI" w:eastAsiaTheme="minorEastAsia" w:hAnsi="Segoe UI" w:cs="Segoe UI"/>
      <w:sz w:val="18"/>
      <w:szCs w:val="18"/>
      <w:lang w:eastAsia="zh-CN"/>
    </w:rPr>
  </w:style>
  <w:style w:type="character" w:styleId="CommentReference">
    <w:name w:val="annotation reference"/>
    <w:basedOn w:val="DefaultParagraphFont"/>
    <w:uiPriority w:val="99"/>
    <w:semiHidden/>
    <w:unhideWhenUsed/>
    <w:rsid w:val="0021592E"/>
    <w:rPr>
      <w:sz w:val="16"/>
      <w:szCs w:val="16"/>
    </w:rPr>
  </w:style>
  <w:style w:type="paragraph" w:styleId="CommentText">
    <w:name w:val="annotation text"/>
    <w:basedOn w:val="Normal"/>
    <w:link w:val="CommentTextChar"/>
    <w:uiPriority w:val="99"/>
    <w:unhideWhenUsed/>
    <w:rsid w:val="0021592E"/>
    <w:pPr>
      <w:spacing w:line="240" w:lineRule="auto"/>
    </w:pPr>
    <w:rPr>
      <w:sz w:val="20"/>
      <w:szCs w:val="20"/>
    </w:rPr>
  </w:style>
  <w:style w:type="character" w:customStyle="1" w:styleId="CommentTextChar">
    <w:name w:val="Comment Text Char"/>
    <w:basedOn w:val="DefaultParagraphFont"/>
    <w:link w:val="CommentText"/>
    <w:uiPriority w:val="99"/>
    <w:rsid w:val="0021592E"/>
    <w:rPr>
      <w:rFonts w:asciiTheme="minorHAnsi" w:eastAsiaTheme="minorEastAsia" w:hAnsiTheme="minorHAnsi"/>
      <w:sz w:val="20"/>
      <w:szCs w:val="20"/>
      <w:lang w:eastAsia="zh-CN"/>
    </w:rPr>
  </w:style>
  <w:style w:type="paragraph" w:styleId="CommentSubject">
    <w:name w:val="annotation subject"/>
    <w:basedOn w:val="CommentText"/>
    <w:next w:val="CommentText"/>
    <w:link w:val="CommentSubjectChar"/>
    <w:uiPriority w:val="99"/>
    <w:semiHidden/>
    <w:unhideWhenUsed/>
    <w:rsid w:val="0021592E"/>
    <w:rPr>
      <w:b/>
      <w:bCs/>
    </w:rPr>
  </w:style>
  <w:style w:type="character" w:customStyle="1" w:styleId="CommentSubjectChar">
    <w:name w:val="Comment Subject Char"/>
    <w:basedOn w:val="CommentTextChar"/>
    <w:link w:val="CommentSubject"/>
    <w:uiPriority w:val="99"/>
    <w:semiHidden/>
    <w:rsid w:val="0021592E"/>
    <w:rPr>
      <w:rFonts w:asciiTheme="minorHAnsi" w:eastAsiaTheme="minorEastAsia" w:hAnsiTheme="minorHAnsi"/>
      <w:b/>
      <w:bCs/>
      <w:sz w:val="20"/>
      <w:szCs w:val="20"/>
      <w:lang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B1F46"/>
    <w:pPr>
      <w:spacing w:after="0" w:line="259" w:lineRule="auto"/>
      <w:ind w:left="720"/>
      <w:contextualSpacing/>
    </w:pPr>
    <w:rPr>
      <w:rFonts w:ascii="Tahoma" w:eastAsiaTheme="minorHAnsi" w:hAnsi="Tahoma"/>
      <w:kern w:val="2"/>
      <w:lang w:eastAsia="en-US"/>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B1F46"/>
    <w:rPr>
      <w:kern w:val="2"/>
      <w14:ligatures w14:val="standardContextual"/>
    </w:rPr>
  </w:style>
  <w:style w:type="character" w:customStyle="1" w:styleId="Heading5Char">
    <w:name w:val="Heading 5 Char"/>
    <w:basedOn w:val="DefaultParagraphFont"/>
    <w:link w:val="Heading5"/>
    <w:uiPriority w:val="9"/>
    <w:semiHidden/>
    <w:rsid w:val="00BC18C4"/>
    <w:rPr>
      <w:rFonts w:asciiTheme="majorHAnsi" w:eastAsiaTheme="majorEastAsia" w:hAnsiTheme="majorHAnsi" w:cstheme="majorBidi"/>
      <w:color w:val="2E74B5" w:themeColor="accent1" w:themeShade="BF"/>
      <w:lang w:eastAsia="zh-CN"/>
    </w:rPr>
  </w:style>
  <w:style w:type="paragraph" w:styleId="Revision">
    <w:name w:val="Revision"/>
    <w:hidden/>
    <w:uiPriority w:val="99"/>
    <w:semiHidden/>
    <w:rsid w:val="00913D82"/>
    <w:pPr>
      <w:spacing w:line="240" w:lineRule="auto"/>
      <w:ind w:firstLine="0"/>
    </w:pPr>
    <w:rPr>
      <w:rFonts w:asciiTheme="minorHAnsi" w:eastAsiaTheme="minorEastAsia" w:hAnsiTheme="minorHAnsi"/>
      <w:lang w:eastAsia="zh-CN"/>
    </w:rPr>
  </w:style>
  <w:style w:type="paragraph" w:styleId="FootnoteText">
    <w:name w:val="footnote text"/>
    <w:basedOn w:val="Normal"/>
    <w:link w:val="FootnoteTextChar"/>
    <w:uiPriority w:val="99"/>
    <w:semiHidden/>
    <w:unhideWhenUsed/>
    <w:rsid w:val="00F255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528"/>
    <w:rPr>
      <w:rFonts w:asciiTheme="minorHAnsi" w:eastAsiaTheme="minorEastAsia" w:hAnsiTheme="minorHAnsi"/>
      <w:sz w:val="20"/>
      <w:szCs w:val="20"/>
      <w:lang w:eastAsia="zh-CN"/>
    </w:rPr>
  </w:style>
  <w:style w:type="character" w:styleId="FootnoteReference">
    <w:name w:val="footnote reference"/>
    <w:basedOn w:val="DefaultParagraphFont"/>
    <w:uiPriority w:val="99"/>
    <w:semiHidden/>
    <w:unhideWhenUsed/>
    <w:rsid w:val="00F25528"/>
    <w:rPr>
      <w:vertAlign w:val="superscript"/>
    </w:rPr>
  </w:style>
  <w:style w:type="character" w:styleId="Mention">
    <w:name w:val="Mention"/>
    <w:basedOn w:val="DefaultParagraphFont"/>
    <w:uiPriority w:val="99"/>
    <w:unhideWhenUsed/>
    <w:rsid w:val="000F35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3462">
      <w:bodyDiv w:val="1"/>
      <w:marLeft w:val="0"/>
      <w:marRight w:val="0"/>
      <w:marTop w:val="0"/>
      <w:marBottom w:val="0"/>
      <w:divBdr>
        <w:top w:val="none" w:sz="0" w:space="0" w:color="auto"/>
        <w:left w:val="none" w:sz="0" w:space="0" w:color="auto"/>
        <w:bottom w:val="none" w:sz="0" w:space="0" w:color="auto"/>
        <w:right w:val="none" w:sz="0" w:space="0" w:color="auto"/>
      </w:divBdr>
    </w:div>
    <w:div w:id="19384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0F69ABCE-B46E-4514-9726-DFE7BA03509B}">
  <ds:schemaRefs>
    <ds:schemaRef ds:uri="http://schemas.openxmlformats.org/officeDocument/2006/bibliography"/>
  </ds:schemaRefs>
</ds:datastoreItem>
</file>

<file path=customXml/itemProps2.xml><?xml version="1.0" encoding="utf-8"?>
<ds:datastoreItem xmlns:ds="http://schemas.openxmlformats.org/officeDocument/2006/customXml" ds:itemID="{B6BC8E89-A02A-4623-9818-EB8291A03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B80DD-1F0A-4431-BA82-C9F48911B982}">
  <ds:schemaRefs>
    <ds:schemaRef ds:uri="http://schemas.microsoft.com/sharepoint/v3/contenttype/forms"/>
  </ds:schemaRefs>
</ds:datastoreItem>
</file>

<file path=customXml/itemProps4.xml><?xml version="1.0" encoding="utf-8"?>
<ds:datastoreItem xmlns:ds="http://schemas.openxmlformats.org/officeDocument/2006/customXml" ds:itemID="{F25D41CD-A031-4750-8DA1-B3361F95BCF7}">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6510</Words>
  <Characters>3711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3</cp:revision>
  <dcterms:created xsi:type="dcterms:W3CDTF">2026-02-02T06:49:00Z</dcterms:created>
  <dcterms:modified xsi:type="dcterms:W3CDTF">2026-02-05T14:07:00Z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2025-05-19T17:54:37Z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754600f8-be4e-4ef4-a0c4-1251c15951d6</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0x01010082D9DDB0AABBAB4A81DF2813D8869AC1</vt:lpwstr>
  </property>
  <property fmtid="{D5CDD505-2E9C-101B-9397-08002B2CF9AE}" pid="11" name="MediaServiceImageTags">
    <vt:lpwstr/>
  </property>
  <property fmtid="{D5CDD505-2E9C-101B-9397-08002B2CF9AE}" pid="12" name="docLang">
    <vt:lpwstr>lt</vt:lpwstr>
  </property>
</Properties>
</file>