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C2" w:rsidRDefault="00BE6D6B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INVESTICIJŲ PROJEKTO PARENGIMO PASLAUGŲ </w:t>
      </w:r>
    </w:p>
    <w:p w:rsidR="00B77CC2" w:rsidRDefault="00BE6D6B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>TECHNINĖ SPECIFIKACIJA</w:t>
      </w:r>
    </w:p>
    <w:p w:rsidR="00B77CC2" w:rsidRDefault="00B77CC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B77CC2" w:rsidRDefault="00BE6D6B">
      <w:pPr>
        <w:tabs>
          <w:tab w:val="left" w:pos="426"/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Perkančioji organizacija</w:t>
      </w:r>
      <w:r>
        <w:rPr>
          <w:rFonts w:ascii="Arial" w:eastAsia="Calibri" w:hAnsi="Arial" w:cs="Times New Roman"/>
          <w:sz w:val="24"/>
          <w:szCs w:val="24"/>
        </w:rPr>
        <w:t xml:space="preserve"> – Prienų rajono savivaldybės administracija, </w:t>
      </w:r>
      <w:r>
        <w:rPr>
          <w:rFonts w:ascii="Arial" w:eastAsia="Times New Roman" w:hAnsi="Arial" w:cs="Times New Roman"/>
          <w:sz w:val="24"/>
          <w:szCs w:val="24"/>
          <w:lang w:val="en-US"/>
        </w:rPr>
        <w:t>288742590</w:t>
      </w:r>
      <w:r>
        <w:rPr>
          <w:rFonts w:ascii="Arial" w:eastAsia="Calibri" w:hAnsi="Arial" w:cs="Times New Roman"/>
          <w:sz w:val="24"/>
          <w:szCs w:val="24"/>
        </w:rPr>
        <w:t>, Laisvės a. 12. LT-59126 Prienai.</w:t>
      </w:r>
    </w:p>
    <w:p w:rsidR="00B77CC2" w:rsidRDefault="00BE6D6B">
      <w:pPr>
        <w:shd w:val="clear" w:color="auto" w:fill="FFFFFF"/>
        <w:tabs>
          <w:tab w:val="left" w:pos="993"/>
        </w:tabs>
        <w:spacing w:after="0" w:line="240" w:lineRule="auto"/>
        <w:ind w:firstLine="85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spacing w:val="-7"/>
          <w:sz w:val="24"/>
          <w:szCs w:val="24"/>
        </w:rPr>
        <w:t>1.</w:t>
      </w: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/>
          <w:bCs/>
          <w:spacing w:val="-4"/>
          <w:sz w:val="24"/>
          <w:szCs w:val="24"/>
        </w:rPr>
        <w:t>Pirkimo objektas ir tikslai</w:t>
      </w:r>
    </w:p>
    <w:p w:rsidR="00B77CC2" w:rsidRDefault="00BE6D6B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pacing w:val="1"/>
          <w:sz w:val="24"/>
          <w:szCs w:val="24"/>
        </w:rPr>
        <w:t>1.1. Pirkimo objektas:</w:t>
      </w:r>
    </w:p>
    <w:p w:rsidR="00B77CC2" w:rsidRDefault="00BE6D6B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pacing w:val="1"/>
          <w:sz w:val="24"/>
          <w:szCs w:val="24"/>
        </w:rPr>
        <w:t>1.1.1. I</w:t>
      </w:r>
      <w:r>
        <w:rPr>
          <w:rFonts w:ascii="Arial" w:eastAsia="Times New Roman" w:hAnsi="Arial" w:cs="Times New Roman"/>
          <w:bCs/>
          <w:spacing w:val="1"/>
          <w:sz w:val="24"/>
          <w:szCs w:val="24"/>
        </w:rPr>
        <w:t xml:space="preserve">nvesticijų </w:t>
      </w:r>
      <w:r>
        <w:rPr>
          <w:rFonts w:ascii="Arial" w:eastAsia="Times New Roman" w:hAnsi="Arial" w:cs="Times New Roman"/>
          <w:bCs/>
          <w:spacing w:val="1"/>
          <w:sz w:val="24"/>
          <w:szCs w:val="24"/>
        </w:rPr>
        <w:t>projekto parengimas projektui „</w:t>
      </w:r>
      <w:r>
        <w:rPr>
          <w:rFonts w:ascii="Arial" w:eastAsia="Times New Roman" w:hAnsi="Arial" w:cs="Times New Roman"/>
          <w:color w:val="000000"/>
          <w:spacing w:val="1"/>
          <w:sz w:val="24"/>
          <w:szCs w:val="24"/>
          <w:lang w:eastAsia="lt-LT"/>
        </w:rPr>
        <w:t>G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lt-LT"/>
        </w:rPr>
        <w:t>amtos ir kultūros objektų sutvarkymas ir pritaikymas lankymui P</w:t>
      </w:r>
      <w:r w:rsidR="003877A7">
        <w:rPr>
          <w:rFonts w:ascii="Arial" w:eastAsia="Times New Roman" w:hAnsi="Arial" w:cs="Arial"/>
          <w:color w:val="000000"/>
          <w:spacing w:val="1"/>
          <w:sz w:val="24"/>
          <w:szCs w:val="24"/>
          <w:lang w:eastAsia="lt-LT"/>
        </w:rPr>
        <w:t>r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lt-LT"/>
        </w:rPr>
        <w:t>ienų rajono savivaldybėj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lt-LT"/>
        </w:rPr>
        <w:t>e</w:t>
      </w:r>
      <w:r>
        <w:rPr>
          <w:rFonts w:ascii="Arial" w:eastAsia="Times New Roman" w:hAnsi="Arial" w:cs="Times New Roman"/>
          <w:bCs/>
          <w:spacing w:val="1"/>
          <w:sz w:val="24"/>
          <w:szCs w:val="24"/>
        </w:rPr>
        <w:t xml:space="preserve">“ pagal </w:t>
      </w:r>
      <w:r>
        <w:rPr>
          <w:rFonts w:ascii="Arial" w:eastAsia="Times New Roman" w:hAnsi="Arial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pacing w:val="1"/>
          <w:sz w:val="24"/>
          <w:szCs w:val="24"/>
        </w:rPr>
        <w:t xml:space="preserve">pažangos priemonę Nr. LT022-02-07-01 „Turizmo skatinimas, darbo vietų pasiekiamumo ir viešųjų paslaugų prieinamumo didinimas“, </w:t>
      </w:r>
      <w:r>
        <w:rPr>
          <w:rFonts w:ascii="Arial" w:eastAsia="Times New Roman" w:hAnsi="Arial" w:cs="Times New Roman"/>
          <w:bCs/>
          <w:spacing w:val="1"/>
          <w:sz w:val="24"/>
          <w:szCs w:val="24"/>
        </w:rPr>
        <w:t>skirto (-ų) Kauno regiono funkcinės zonos strategijos uždaviniui „Išnaudoti turimus turizmo išteklius“ įgyvendinti</w:t>
      </w:r>
      <w:r>
        <w:rPr>
          <w:rStyle w:val="FootnoteReference"/>
          <w:rFonts w:ascii="Arial" w:eastAsia="Times New Roman" w:hAnsi="Arial" w:cs="Times New Roman"/>
          <w:bCs/>
          <w:spacing w:val="1"/>
          <w:sz w:val="24"/>
          <w:szCs w:val="24"/>
        </w:rPr>
        <w:footnoteReference w:id="1"/>
      </w:r>
      <w:r>
        <w:rPr>
          <w:rFonts w:ascii="Arial" w:eastAsia="Times New Roman" w:hAnsi="Arial" w:cs="Times New Roman"/>
          <w:bCs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</w:rPr>
        <w:t>(rengimo metu vadovautis aktualiomis dokumentų redakcijomis).</w:t>
      </w:r>
    </w:p>
    <w:p w:rsidR="00B77CC2" w:rsidRDefault="00BE6D6B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1.1.2. </w:t>
      </w:r>
      <w:r>
        <w:rPr>
          <w:rFonts w:ascii="Arial" w:eastAsia="Times New Roman" w:hAnsi="Arial" w:cs="Times New Roman"/>
          <w:spacing w:val="6"/>
          <w:sz w:val="24"/>
          <w:szCs w:val="24"/>
        </w:rPr>
        <w:t xml:space="preserve">Tikslas –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parengti i</w:t>
      </w:r>
      <w:r>
        <w:rPr>
          <w:rFonts w:ascii="Arial" w:eastAsia="Times New Roman" w:hAnsi="Arial" w:cs="Times New Roman"/>
          <w:sz w:val="24"/>
          <w:szCs w:val="24"/>
        </w:rPr>
        <w:t xml:space="preserve">nvesticijų projektą (toliau – IP)  pažangos </w:t>
      </w:r>
      <w:r>
        <w:rPr>
          <w:rFonts w:ascii="Arial" w:eastAsia="Times New Roman" w:hAnsi="Arial" w:cs="Times New Roman"/>
          <w:sz w:val="24"/>
          <w:szCs w:val="24"/>
        </w:rPr>
        <w:t>priemonei įgyvendinti,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gaunant reikalingas investicijas pagal </w:t>
      </w:r>
      <w:r>
        <w:rPr>
          <w:rFonts w:ascii="Arial" w:eastAsia="Times New Roman" w:hAnsi="Arial" w:cs="Times New Roman"/>
          <w:sz w:val="24"/>
          <w:szCs w:val="24"/>
          <w:shd w:val="clear" w:color="auto" w:fill="FFFFFF"/>
        </w:rPr>
        <w:t xml:space="preserve">2021–2027 metų Europos Sąjungos fondų investicijų programą </w:t>
      </w:r>
      <w:r>
        <w:rPr>
          <w:rFonts w:ascii="Arial" w:eastAsia="Times New Roman" w:hAnsi="Arial" w:cs="Times New Roman"/>
          <w:iCs/>
          <w:sz w:val="24"/>
          <w:szCs w:val="24"/>
        </w:rPr>
        <w:t>(toliau – Programa)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</w:p>
    <w:p w:rsidR="00B77CC2" w:rsidRDefault="00BE6D6B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spacing w:val="-8"/>
          <w:sz w:val="24"/>
          <w:szCs w:val="24"/>
        </w:rPr>
        <w:t>2.</w:t>
      </w: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bCs/>
          <w:spacing w:val="-4"/>
          <w:sz w:val="24"/>
          <w:szCs w:val="24"/>
        </w:rPr>
        <w:t>Paslaugų apimtys rengiant Investicijų projektą:</w:t>
      </w:r>
    </w:p>
    <w:p w:rsidR="00B77CC2" w:rsidRDefault="00BE6D6B">
      <w:pPr>
        <w:pStyle w:val="western"/>
        <w:tabs>
          <w:tab w:val="left" w:pos="993"/>
        </w:tabs>
        <w:spacing w:beforeAutospacing="0" w:line="240" w:lineRule="auto"/>
        <w:ind w:firstLine="851"/>
        <w:jc w:val="both"/>
        <w:rPr>
          <w:lang w:val="lt-LT"/>
        </w:rPr>
      </w:pPr>
      <w:r>
        <w:rPr>
          <w:rFonts w:ascii="Arial" w:hAnsi="Arial"/>
        </w:rPr>
        <w:t xml:space="preserve">2.1. </w:t>
      </w:r>
      <w:proofErr w:type="spellStart"/>
      <w:r>
        <w:rPr>
          <w:rFonts w:ascii="Arial" w:hAnsi="Arial"/>
          <w:bCs/>
        </w:rPr>
        <w:t>Investicijų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projektas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turi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būti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rengiamas</w:t>
      </w:r>
      <w:proofErr w:type="spellEnd"/>
      <w:r>
        <w:rPr>
          <w:rFonts w:ascii="Arial" w:hAnsi="Arial"/>
          <w:bCs/>
        </w:rPr>
        <w:t xml:space="preserve">, </w:t>
      </w:r>
      <w:proofErr w:type="spellStart"/>
      <w:r>
        <w:rPr>
          <w:rFonts w:ascii="Arial" w:hAnsi="Arial"/>
          <w:bCs/>
        </w:rPr>
        <w:t>vadovaujantis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eastAsia="Calibri" w:hAnsi="Arial"/>
        </w:rPr>
        <w:t>Centrinės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projektų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valdymo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agentūros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patvirtinta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Investicijų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projektų</w:t>
      </w:r>
      <w:proofErr w:type="spellEnd"/>
      <w:r>
        <w:rPr>
          <w:rFonts w:ascii="Arial" w:eastAsia="Calibri" w:hAnsi="Arial"/>
        </w:rPr>
        <w:t xml:space="preserve">, </w:t>
      </w:r>
      <w:proofErr w:type="spellStart"/>
      <w:r>
        <w:rPr>
          <w:rFonts w:ascii="Arial" w:eastAsia="Calibri" w:hAnsi="Arial"/>
        </w:rPr>
        <w:t>kuriems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siekiama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gauti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finansavimą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iš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Europos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Sąjungos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struktūrinės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paramos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ir</w:t>
      </w:r>
      <w:proofErr w:type="spellEnd"/>
      <w:r>
        <w:rPr>
          <w:rFonts w:ascii="Arial" w:eastAsia="Calibri" w:hAnsi="Arial"/>
        </w:rPr>
        <w:t xml:space="preserve"> (</w:t>
      </w:r>
      <w:proofErr w:type="spellStart"/>
      <w:r>
        <w:rPr>
          <w:rFonts w:ascii="Arial" w:eastAsia="Calibri" w:hAnsi="Arial"/>
        </w:rPr>
        <w:t>ar</w:t>
      </w:r>
      <w:proofErr w:type="spellEnd"/>
      <w:r>
        <w:rPr>
          <w:rFonts w:ascii="Arial" w:eastAsia="Calibri" w:hAnsi="Arial"/>
        </w:rPr>
        <w:t xml:space="preserve">) </w:t>
      </w:r>
      <w:proofErr w:type="spellStart"/>
      <w:r>
        <w:rPr>
          <w:rFonts w:ascii="Arial" w:eastAsia="Calibri" w:hAnsi="Arial"/>
        </w:rPr>
        <w:t>valstybės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biudžeto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lėšų</w:t>
      </w:r>
      <w:proofErr w:type="spellEnd"/>
      <w:r>
        <w:rPr>
          <w:rFonts w:ascii="Arial" w:eastAsia="Calibri" w:hAnsi="Arial"/>
        </w:rPr>
        <w:t xml:space="preserve">, </w:t>
      </w:r>
      <w:proofErr w:type="spellStart"/>
      <w:r>
        <w:rPr>
          <w:rFonts w:ascii="Arial" w:eastAsia="Calibri" w:hAnsi="Arial"/>
        </w:rPr>
        <w:t>rengimo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metodikos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aktualia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dokumento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rengimo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metu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versija</w:t>
      </w:r>
      <w:proofErr w:type="spellEnd"/>
      <w:r>
        <w:rPr>
          <w:rFonts w:ascii="Arial" w:hAnsi="Arial"/>
          <w:bCs/>
        </w:rPr>
        <w:t xml:space="preserve">, 2022-2030 m. </w:t>
      </w:r>
      <w:proofErr w:type="spellStart"/>
      <w:r>
        <w:rPr>
          <w:rFonts w:ascii="Arial" w:hAnsi="Arial"/>
          <w:bCs/>
        </w:rPr>
        <w:t>Kau</w:t>
      </w:r>
      <w:r>
        <w:rPr>
          <w:rFonts w:ascii="Arial" w:hAnsi="Arial"/>
          <w:bCs/>
        </w:rPr>
        <w:t>no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regiono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plėtros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planą</w:t>
      </w:r>
      <w:proofErr w:type="spellEnd"/>
      <w:r>
        <w:rPr>
          <w:rFonts w:ascii="Arial" w:hAnsi="Arial"/>
          <w:bCs/>
        </w:rPr>
        <w:t xml:space="preserve"> (</w:t>
      </w:r>
      <w:proofErr w:type="spellStart"/>
      <w:r>
        <w:rPr>
          <w:rFonts w:ascii="Arial" w:hAnsi="Arial"/>
          <w:bCs/>
        </w:rPr>
        <w:t>aktuali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redakcija</w:t>
      </w:r>
      <w:proofErr w:type="spellEnd"/>
      <w:r>
        <w:rPr>
          <w:rFonts w:ascii="Arial" w:hAnsi="Arial"/>
          <w:bCs/>
        </w:rPr>
        <w:t xml:space="preserve">) </w:t>
      </w:r>
      <w:proofErr w:type="spellStart"/>
      <w:r>
        <w:rPr>
          <w:rFonts w:ascii="Arial" w:hAnsi="Arial"/>
          <w:bCs/>
        </w:rPr>
        <w:t>bei</w:t>
      </w:r>
      <w:proofErr w:type="spellEnd"/>
      <w:r>
        <w:rPr>
          <w:rFonts w:ascii="Arial" w:hAnsi="Arial"/>
          <w:bCs/>
        </w:rPr>
        <w:t xml:space="preserve"> </w:t>
      </w:r>
      <w:bookmarkStart w:id="0" w:name="_Hlk189215113"/>
      <w:bookmarkEnd w:id="0"/>
      <w:r>
        <w:rPr>
          <w:rFonts w:ascii="Arial" w:hAnsi="Arial" w:cs="Arial"/>
          <w:lang w:val="lt-LT"/>
        </w:rPr>
        <w:t>atsižvelgiant į 2024–2029 m. Kauno regiono funkc</w:t>
      </w:r>
      <w:r>
        <w:rPr>
          <w:rFonts w:ascii="Arial" w:hAnsi="Arial" w:cs="Arial"/>
          <w:lang w:val="lt-LT"/>
        </w:rPr>
        <w:t>i</w:t>
      </w:r>
      <w:r>
        <w:rPr>
          <w:rFonts w:ascii="Arial" w:hAnsi="Arial" w:cs="Arial"/>
          <w:lang w:val="lt-LT"/>
        </w:rPr>
        <w:t>nės zonos strategiją, patvirtintą Prienų rajono savivaldybės tarybos 2024 m. gegužės 30 d. sprendimu Nr. T3-155 „Dėl 2024–2029 m. Kauno regiono funkcinės zono</w:t>
      </w:r>
      <w:r>
        <w:rPr>
          <w:rFonts w:ascii="Arial" w:hAnsi="Arial" w:cs="Arial"/>
          <w:lang w:val="lt-LT"/>
        </w:rPr>
        <w:t>s strategijos patvirtinimo“ (aktualią redakciją).</w:t>
      </w:r>
    </w:p>
    <w:p w:rsidR="00B77CC2" w:rsidRDefault="00BE6D6B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 xml:space="preserve">2.1.1. </w:t>
      </w:r>
      <w:r>
        <w:rPr>
          <w:rFonts w:ascii="Arial" w:eastAsia="Times New Roman" w:hAnsi="Arial" w:cs="Times New Roman"/>
          <w:sz w:val="24"/>
          <w:szCs w:val="24"/>
        </w:rPr>
        <w:t>Paslaugų teikėjas, rengiantis IP, negali būti susijęs su IP aprašomų darbų vykdytojais ir (ar) paslaugų teikėjais, negali siūlyti sprendinių, kuriuose būtų nurodomas konkretus modelis ar šaltinis, ko</w:t>
      </w:r>
      <w:r>
        <w:rPr>
          <w:rFonts w:ascii="Arial" w:eastAsia="Times New Roman" w:hAnsi="Arial" w:cs="Times New Roman"/>
          <w:sz w:val="24"/>
          <w:szCs w:val="24"/>
        </w:rPr>
        <w:t>nkretus procesas ar prekės ženklas, tipai, konkreti kilmė ar gamyba, dėl kurių tam tikroms įmonėms ar tam tikriems produktams, darbams ir (ar) paslaugoms būtų sudarytos palankesnės sąlygos.</w:t>
      </w:r>
    </w:p>
    <w:p w:rsidR="00B77CC2" w:rsidRDefault="00BE6D6B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2.1.2. IP turi būti išskirtos ir išnagrinėtos visos projekto dalys</w:t>
      </w:r>
      <w:r>
        <w:rPr>
          <w:rFonts w:ascii="Arial" w:eastAsia="Times New Roman" w:hAnsi="Arial" w:cs="Times New Roman"/>
          <w:sz w:val="24"/>
          <w:szCs w:val="24"/>
        </w:rPr>
        <w:t>, taip kaip nurodyta Investicijų projektų, kuriems siekiama gauti finansavimą iš Europos Sąjungos struktūrinės paramos ir/valstybės biudžeto lėšų, rengimo metodikoje.</w:t>
      </w:r>
    </w:p>
    <w:p w:rsidR="00B77CC2" w:rsidRDefault="00BE6D6B">
      <w:pPr>
        <w:tabs>
          <w:tab w:val="left" w:pos="873"/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2.1.3. Paslaugų teikėjas į IP turinį gali įraukti ir papildomas, jo nuomone, svarbias dal</w:t>
      </w:r>
      <w:r>
        <w:rPr>
          <w:rFonts w:ascii="Arial" w:eastAsia="Times New Roman" w:hAnsi="Arial" w:cs="Times New Roman"/>
          <w:sz w:val="24"/>
          <w:szCs w:val="24"/>
        </w:rPr>
        <w:t>is ir/ar priedus.</w:t>
      </w:r>
      <w:r>
        <w:rPr>
          <w:rFonts w:ascii="Arial" w:eastAsia="Times New Roman" w:hAnsi="Arial" w:cs="Times New Roman"/>
          <w:iCs/>
          <w:sz w:val="24"/>
          <w:szCs w:val="24"/>
        </w:rPr>
        <w:t xml:space="preserve"> </w:t>
      </w:r>
    </w:p>
    <w:p w:rsidR="00B77CC2" w:rsidRDefault="00BE6D6B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2.1.4. Paslaugų teikėjui, rengiančiam IP, Perkančioji organizacija pateiks dokumentus ir kitą reikalingą informaciją, kuria Perkančioji organizacija disponuoja.</w:t>
      </w:r>
    </w:p>
    <w:p w:rsidR="00B77CC2" w:rsidRDefault="00BE6D6B">
      <w:pPr>
        <w:tabs>
          <w:tab w:val="left" w:pos="916"/>
          <w:tab w:val="left" w:pos="993"/>
          <w:tab w:val="left" w:pos="13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2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2.1.5. Rengiamoje IP skaičiuoklėje turi būti pateikiami skaičiavimai su </w:t>
      </w:r>
      <w:r>
        <w:rPr>
          <w:rFonts w:ascii="Arial" w:eastAsia="Times New Roman" w:hAnsi="Arial" w:cs="Times New Roman"/>
          <w:sz w:val="24"/>
          <w:szCs w:val="24"/>
        </w:rPr>
        <w:t>formulėmis arba nuorodomis į prielaidų su detaliais skaičiavimais darbalapius toje pačioje skaičiuoklėje.</w:t>
      </w:r>
    </w:p>
    <w:p w:rsidR="00B77CC2" w:rsidRDefault="00BE6D6B">
      <w:pPr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2.1.6. IP ir visi jų priedai turi būti parengti bei su paskirtu Perkančiosios organizacijos atsakingu asmeniu suderinti per pagrindinėje Sutartyje nur</w:t>
      </w:r>
      <w:r>
        <w:rPr>
          <w:rFonts w:ascii="Arial" w:eastAsia="Times New Roman" w:hAnsi="Arial" w:cs="Times New Roman"/>
          <w:sz w:val="24"/>
          <w:szCs w:val="24"/>
        </w:rPr>
        <w:t xml:space="preserve">odytą terminą ir pateikti Perkančiajai organizacijai: elektronine forma (aprašomoji dalis – „Microsoft Word“, skaičiavimų lentelės – Microsoft Excel“ programų formatais) bei 1 vnt. spausdintas egz. </w:t>
      </w:r>
    </w:p>
    <w:p w:rsidR="00B77CC2" w:rsidRDefault="00BE6D6B">
      <w:pPr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lastRenderedPageBreak/>
        <w:t xml:space="preserve">2.1.7.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Atsižvelgdamas į Perkančiosios organizacijos ir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projekto įgyvendinime dalyvaujančių institucijų pateiktas pastabas ir pasiūlymus, kurie neprieštarauja teisės aktams, paslaugos teikėjas privalo patikslinti investicijų projektą</w:t>
      </w:r>
      <w:r>
        <w:rPr>
          <w:rFonts w:ascii="Arial" w:eastAsia="Times New Roman" w:hAnsi="Arial" w:cs="Times New Roman"/>
          <w:sz w:val="24"/>
          <w:szCs w:val="24"/>
        </w:rPr>
        <w:t xml:space="preserve">.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Paslaugų teikėjas po darbų </w:t>
      </w:r>
      <w:r>
        <w:rPr>
          <w:rFonts w:ascii="Arial" w:eastAsia="Times New Roman" w:hAnsi="Arial" w:cs="Times New Roman"/>
          <w:sz w:val="24"/>
          <w:szCs w:val="24"/>
        </w:rPr>
        <w:t>priėmimo taiso, koreguoja</w:t>
      </w:r>
      <w:r>
        <w:rPr>
          <w:rFonts w:ascii="Arial" w:eastAsia="Times New Roman" w:hAnsi="Arial" w:cs="Times New Roman"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investicijų projektą tai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p, kad jis būtų</w:t>
      </w:r>
      <w:r>
        <w:rPr>
          <w:rFonts w:ascii="Arial" w:eastAsia="Times New Roman" w:hAnsi="Arial" w:cs="Times New Roman"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parengtas pagal Programoje,  Metodikoje nustatytus reikalavimus ir atitiktų Pažangos planą ir pan. pagal įgyvendinančios institucijos (Centrinės projektų valdymo agentūros) pastabas ir pasiūlymus. Sutartiniai įsipareigojimai galioja iki Pro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jekto finansavimo sutarties pasirašymo.</w:t>
      </w:r>
    </w:p>
    <w:p w:rsidR="00B77CC2" w:rsidRDefault="00BE6D6B">
      <w:pPr>
        <w:tabs>
          <w:tab w:val="left" w:pos="426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2.1.8. Dokumentai, kuriais vadovaujantis turi būti atliktos paslaugos (vadovautis aktualiomis redakcijomis):</w:t>
      </w:r>
    </w:p>
    <w:p w:rsidR="00B77CC2" w:rsidRDefault="00BE6D6B">
      <w:pPr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2021–2027 metų Europos Sąjungos fondų investicijų programa, patvirtinta 2022 m. rugpjūčio 3 d. Europos Komi</w:t>
      </w:r>
      <w:r>
        <w:rPr>
          <w:rFonts w:ascii="Arial" w:eastAsia="Times New Roman" w:hAnsi="Arial" w:cs="Times New Roman"/>
          <w:sz w:val="24"/>
          <w:szCs w:val="24"/>
        </w:rPr>
        <w:t xml:space="preserve">sijos sprendimu Nr. C(2022) 5742; </w:t>
      </w:r>
    </w:p>
    <w:p w:rsidR="00B77CC2" w:rsidRDefault="00BE6D6B">
      <w:pPr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Strateginio valdymo metodika, patvirtinta Lietuvos Respublikos Vyriausybės 2021 m. balandžio 28 d. nutarimu Nr. 292 (toliau – Strateginio valdymo metodika); </w:t>
      </w:r>
    </w:p>
    <w:p w:rsidR="00B77CC2" w:rsidRDefault="00BE6D6B">
      <w:pPr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Lietuvos Respublikos vidaus reikalų ministro 2023 m. balandžio </w:t>
      </w:r>
      <w:r>
        <w:rPr>
          <w:rFonts w:ascii="Arial" w:eastAsia="Times New Roman" w:hAnsi="Arial" w:cs="Times New Roman"/>
          <w:sz w:val="24"/>
          <w:szCs w:val="24"/>
        </w:rPr>
        <w:t>4 d. įsakymu Nr. V-188 „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Dėl Regioninės pažangos priemonės 01-004-07-01-01 (RE) „Paskatinti regionų, funkcinių zonų, savivaldybių ir miestų ekonominį augimą pasitelkiant jų turimus išteklius“</w:t>
      </w:r>
      <w:r>
        <w:rPr>
          <w:rFonts w:ascii="Arial" w:eastAsia="Times New Roman" w:hAnsi="Arial" w:cs="Arial"/>
          <w:sz w:val="24"/>
          <w:szCs w:val="24"/>
        </w:rPr>
        <w:t xml:space="preserve"> patvirtintas finansavimo gaires;</w:t>
      </w:r>
    </w:p>
    <w:p w:rsidR="00B77CC2" w:rsidRDefault="00BE6D6B">
      <w:pPr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Lietuvos Respublikos vidaus reik</w:t>
      </w:r>
      <w:r>
        <w:rPr>
          <w:rFonts w:ascii="Arial" w:eastAsia="Times New Roman" w:hAnsi="Arial" w:cs="Arial"/>
          <w:sz w:val="24"/>
          <w:szCs w:val="24"/>
        </w:rPr>
        <w:t>alų ministro 2023 m. balandžio 7 d. įsakymu Nr. V-199 „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Dėl Regioninės pažangos priemonės 01-004-07-02-01 (RE) „Pagerinti viešųjų paslaugų prieinamumą, darbo vietų pasiekiamumą ir tam reikalingų išteklių naudojimo efektyvumą</w:t>
      </w:r>
      <w:r>
        <w:rPr>
          <w:rFonts w:ascii="Arial" w:eastAsia="Times New Roman" w:hAnsi="Arial" w:cs="Arial"/>
          <w:sz w:val="24"/>
          <w:szCs w:val="24"/>
        </w:rPr>
        <w:t>“ patvirtintas finansavimo gaires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B77CC2" w:rsidRDefault="00BE6D6B">
      <w:pPr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Lietuvos Respublikos statybos įstatymas; </w:t>
      </w:r>
    </w:p>
    <w:p w:rsidR="00B77CC2" w:rsidRDefault="00BE6D6B">
      <w:pPr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Lietuvos Respublikos valstybės ir savivaldybių turto valdymo, naudojimo ir disponavimo juo įstatymas; </w:t>
      </w:r>
    </w:p>
    <w:p w:rsidR="00B77CC2" w:rsidRDefault="00BE6D6B">
      <w:pPr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eastAsia="Times New Roman" w:hAnsi="Arial" w:cs="Times New Roman"/>
          <w:sz w:val="24"/>
          <w:szCs w:val="24"/>
        </w:rPr>
        <w:t>VšĮ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Centrinės projektų valdymo agentūros direktoriaus 2014 m. gruodžio 31 d. įsakymu Nr. 2014/8-337 patvirtin</w:t>
      </w:r>
      <w:r>
        <w:rPr>
          <w:rFonts w:ascii="Arial" w:eastAsia="Times New Roman" w:hAnsi="Arial" w:cs="Times New Roman"/>
          <w:sz w:val="24"/>
          <w:szCs w:val="24"/>
        </w:rPr>
        <w:t>ta „Investicijų projektų rengimo metodika“.</w:t>
      </w:r>
    </w:p>
    <w:p w:rsidR="00B77CC2" w:rsidRDefault="00BE6D6B">
      <w:pPr>
        <w:numPr>
          <w:ilvl w:val="2"/>
          <w:numId w:val="3"/>
        </w:numPr>
        <w:tabs>
          <w:tab w:val="left" w:pos="426"/>
          <w:tab w:val="left" w:pos="993"/>
          <w:tab w:val="left" w:pos="1134"/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Paslaugos teikėjas įsipareigoja teikiant Paslaugas laikytis šių aplinkosaugos reikalavimų:</w:t>
      </w:r>
    </w:p>
    <w:p w:rsidR="00B77CC2" w:rsidRDefault="00BE6D6B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mažinti popieriaus sunaudojimą, atsisakyti nebūtino dokumentų kopijavimo ir spausdinimo, rengiama dokumentacija, paslaugų</w:t>
      </w:r>
      <w:r>
        <w:rPr>
          <w:rFonts w:ascii="Arial" w:eastAsia="Times New Roman" w:hAnsi="Arial" w:cs="Times New Roman"/>
          <w:sz w:val="24"/>
          <w:szCs w:val="24"/>
        </w:rPr>
        <w:t xml:space="preserve"> perdavimo–priėmimo aktai Užsakovui turi būti pateikti tik elektroniniu formatu, o dokumentacija, kuri turi būti pasirašoma ir paslaugų perdavimo– priėmimo aktai turi būti pasirašomi elektroniniu parašu. Esant būtinybei spausdinti, naudojamas perdirbtas po</w:t>
      </w:r>
      <w:r>
        <w:rPr>
          <w:rFonts w:ascii="Arial" w:eastAsia="Times New Roman" w:hAnsi="Arial" w:cs="Times New Roman"/>
          <w:sz w:val="24"/>
          <w:szCs w:val="24"/>
        </w:rPr>
        <w:t>pierius, kuris atitinka žaliojo pirkimo reikalavimus, patvirtintus Lietuvos Respublikos aplinkos ministro 2011 m. birželio 28 d. įsakyme Nr. D1-508 „Dėl Produktų, kurių viešiesiems pirkimams taikytini aplinkos apsaugos kriterijai, sąrašo, Aplinkos apsaugos</w:t>
      </w:r>
      <w:r>
        <w:rPr>
          <w:rFonts w:ascii="Arial" w:eastAsia="Times New Roman" w:hAnsi="Arial" w:cs="Times New Roman"/>
          <w:sz w:val="24"/>
          <w:szCs w:val="24"/>
        </w:rPr>
        <w:t xml:space="preserve"> kriterijų ir Aplinkos apsaugos kriterijų, kuriuos perkančiosios organizacijos turi taikyti pirkdamos prekes, paslaugas ar darbus, taikymo tvarkos aprašo patvirtinimo“;</w:t>
      </w:r>
    </w:p>
    <w:p w:rsidR="00B77CC2" w:rsidRDefault="00BE6D6B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siekti, kad Paslaugai suteikti būtų neteršiama aplinka ir nekeliamas pavojus sveikatai </w:t>
      </w:r>
      <w:r>
        <w:rPr>
          <w:rFonts w:ascii="Arial" w:eastAsia="Times New Roman" w:hAnsi="Arial" w:cs="Times New Roman"/>
          <w:sz w:val="24"/>
          <w:szCs w:val="24"/>
        </w:rPr>
        <w:t>ir taip būtų laikomasi Lietuvos Respublikos aplinkos ministro 2011 m. birželio 28 d. įsakymo Nr. D1-508 „Dėl Produktų, kurių viešiesiems pirkimams taikytini aplinkos apsaugos kriterijai, sąrašo, Aplinkos apsaugos kriterijų ir Aplinkos apsaugos kriterijų, k</w:t>
      </w:r>
      <w:r>
        <w:rPr>
          <w:rFonts w:ascii="Arial" w:eastAsia="Times New Roman" w:hAnsi="Arial" w:cs="Times New Roman"/>
          <w:sz w:val="24"/>
          <w:szCs w:val="24"/>
        </w:rPr>
        <w:t>uriuos perkančiosios organizacijos turi taikyti pirkdamos prekes, paslaugas ar darbus, taikymo tvarkos aprašo patvirtinimo“ 4.4.3 punkte nustatyto aplinkosauginio principo.</w:t>
      </w:r>
    </w:p>
    <w:p w:rsidR="00B77CC2" w:rsidRDefault="00BE6D6B">
      <w:pPr>
        <w:shd w:val="clear" w:color="auto" w:fill="FFFFFF"/>
        <w:tabs>
          <w:tab w:val="left" w:pos="912"/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spacing w:val="-4"/>
          <w:sz w:val="24"/>
          <w:szCs w:val="24"/>
        </w:rPr>
        <w:t>3. Paslaugų atlikimo terminas</w:t>
      </w:r>
    </w:p>
    <w:p w:rsidR="00B77CC2" w:rsidRDefault="00BE6D6B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Paslaugų atlikimo terminas – 4 mėnesiai (nuo sutartie</w:t>
      </w:r>
      <w:r>
        <w:rPr>
          <w:rFonts w:ascii="Arial" w:eastAsia="Times New Roman" w:hAnsi="Arial" w:cs="Times New Roman"/>
          <w:sz w:val="24"/>
          <w:szCs w:val="24"/>
        </w:rPr>
        <w:t xml:space="preserve">s pasirašymo dienos).  </w:t>
      </w:r>
      <w:r>
        <w:rPr>
          <w:rFonts w:ascii="Arial" w:eastAsia="Calibri" w:hAnsi="Arial" w:cs="Times New Roman"/>
          <w:sz w:val="24"/>
          <w:szCs w:val="24"/>
        </w:rPr>
        <w:t>Paslaugos teikimo trukmė, esant nenumatytoms aplinkybėms (techninėms, finansinėms ar iškilus kitoms sąlygoms, nenumatytoms aplinkybėms, kurios trukdytų sutarties šaliai įvykdyti savo įsipareigojimus laiku), sutartis gali būti pratęst</w:t>
      </w:r>
      <w:r>
        <w:rPr>
          <w:rFonts w:ascii="Arial" w:eastAsia="Calibri" w:hAnsi="Arial" w:cs="Times New Roman"/>
          <w:sz w:val="24"/>
          <w:szCs w:val="24"/>
        </w:rPr>
        <w:t>a vieną kartą, 20 darbo dienų, šalių papildomu susitarimu, kuris būtų neatskiriama sutarties dalis. Pratęsus sutartį paslaugos apimtys ir kaina nekinta.</w:t>
      </w:r>
    </w:p>
    <w:p w:rsidR="00B77CC2" w:rsidRDefault="00BE6D6B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____________________________________________</w:t>
      </w:r>
      <w:bookmarkStart w:id="1" w:name="_GoBack"/>
      <w:bookmarkEnd w:id="1"/>
    </w:p>
    <w:sectPr w:rsidR="00B77CC2" w:rsidSect="008D493C"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/>
      <w:pgMar w:top="851" w:right="849" w:bottom="1134" w:left="1701" w:header="0" w:footer="567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D6B" w:rsidRDefault="00BE6D6B" w:rsidP="00B77CC2">
      <w:pPr>
        <w:spacing w:after="0" w:line="240" w:lineRule="auto"/>
      </w:pPr>
      <w:r>
        <w:separator/>
      </w:r>
    </w:p>
  </w:endnote>
  <w:endnote w:type="continuationSeparator" w:id="0">
    <w:p w:rsidR="00BE6D6B" w:rsidRDefault="00BE6D6B" w:rsidP="00B7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C2" w:rsidRDefault="00B77C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C2" w:rsidRDefault="00B77CC2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C2" w:rsidRDefault="00B77CC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D6B" w:rsidRDefault="00BE6D6B">
      <w:r>
        <w:separator/>
      </w:r>
    </w:p>
  </w:footnote>
  <w:footnote w:type="continuationSeparator" w:id="0">
    <w:p w:rsidR="00BE6D6B" w:rsidRDefault="00BE6D6B">
      <w:r>
        <w:continuationSeparator/>
      </w:r>
    </w:p>
  </w:footnote>
  <w:footnote w:id="1">
    <w:p w:rsidR="00B77CC2" w:rsidRDefault="00BE6D6B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Inaosramenys"/>
        </w:rPr>
        <w:footnoteRef/>
      </w:r>
      <w:r>
        <w:rPr>
          <w:rFonts w:ascii="Times New Roman" w:hAnsi="Times New Roman"/>
        </w:rPr>
        <w:tab/>
        <w:t xml:space="preserve">Priemonės dalis, </w:t>
      </w:r>
      <w:r>
        <w:rPr>
          <w:rFonts w:ascii="Times New Roman" w:eastAsia="Times New Roman" w:hAnsi="Times New Roman"/>
          <w:bCs/>
        </w:rPr>
        <w:t>skirta Kauno regiono funkcinės zonos strategijos uždaviniui „Išnaudoti turimus turizmo išteklius“ įgyvendinti,</w:t>
      </w:r>
      <w:r>
        <w:rPr>
          <w:rFonts w:ascii="Times New Roman" w:hAnsi="Times New Roman"/>
          <w:bCs/>
        </w:rPr>
        <w:t xml:space="preserve"> planuojama</w:t>
      </w:r>
      <w:r>
        <w:rPr>
          <w:rFonts w:ascii="Times New Roman" w:hAnsi="Times New Roman"/>
        </w:rPr>
        <w:t xml:space="preserve"> pagal </w:t>
      </w:r>
      <w:r>
        <w:rPr>
          <w:rFonts w:ascii="Times New Roman" w:eastAsia="Times New Roman" w:hAnsi="Times New Roman"/>
          <w:lang w:eastAsia="lt-LT"/>
        </w:rPr>
        <w:t xml:space="preserve">Lietuvos Respublikos vidaus reikalų ministerijos regioninės pažangos priemonės Nr. </w:t>
      </w:r>
      <w:r>
        <w:rPr>
          <w:rFonts w:ascii="Times New Roman" w:hAnsi="Times New Roman"/>
          <w:color w:val="000000"/>
        </w:rPr>
        <w:t>01-004-07-01-01 (RE) „Paskatinti regionų, funkcinių zonų, savivaldybių ir miestų ekonominį augimą pasitelkiant jų turimus išteklius“</w:t>
      </w:r>
      <w:r>
        <w:rPr>
          <w:rFonts w:ascii="Times New Roman" w:eastAsia="Times New Roman" w:hAnsi="Times New Roman"/>
          <w:lang w:eastAsia="lt-LT"/>
        </w:rPr>
        <w:t xml:space="preserve"> finansavimo gaires: </w:t>
      </w:r>
      <w:hyperlink r:id="rId1">
        <w:r>
          <w:rPr>
            <w:rStyle w:val="Hyperlink"/>
            <w:rFonts w:ascii="Times New Roman" w:hAnsi="Times New Roman"/>
          </w:rPr>
          <w:t>1V-188 Dė</w:t>
        </w:r>
        <w:r>
          <w:rPr>
            <w:rStyle w:val="Hyperlink"/>
            <w:rFonts w:ascii="Times New Roman" w:hAnsi="Times New Roman"/>
          </w:rPr>
          <w:t xml:space="preserve">l Regioninės pažangos priemonės 01-004-07-01-01 (RE) „Paskatinti regionų, funkcinių zonų, </w:t>
        </w:r>
        <w:proofErr w:type="spellStart"/>
        <w:r>
          <w:rPr>
            <w:rStyle w:val="Hyperlink"/>
            <w:rFonts w:ascii="Times New Roman" w:hAnsi="Times New Roman"/>
          </w:rPr>
          <w:t>saviv</w:t>
        </w:r>
        <w:proofErr w:type="spellEnd"/>
        <w:r>
          <w:rPr>
            <w:rStyle w:val="Hyperlink"/>
            <w:rFonts w:ascii="Times New Roman" w:hAnsi="Times New Roman"/>
          </w:rPr>
          <w:t>... (e-</w:t>
        </w:r>
        <w:proofErr w:type="spellStart"/>
        <w:r>
          <w:rPr>
            <w:rStyle w:val="Hyperlink"/>
            <w:rFonts w:ascii="Times New Roman" w:hAnsi="Times New Roman"/>
          </w:rPr>
          <w:t>tar.lt</w:t>
        </w:r>
        <w:proofErr w:type="spellEnd"/>
        <w:r>
          <w:rPr>
            <w:rStyle w:val="Hyperlink"/>
            <w:rFonts w:ascii="Times New Roman" w:hAnsi="Times New Roman"/>
          </w:rPr>
          <w:t>)</w:t>
        </w:r>
      </w:hyperlink>
      <w:r>
        <w:rPr>
          <w:rFonts w:ascii="Times New Roman" w:hAnsi="Times New Roman"/>
        </w:rPr>
        <w:t xml:space="preserve"> (toliau – Gairės 1V-188) ir Nr. </w:t>
      </w:r>
      <w:r>
        <w:rPr>
          <w:rFonts w:ascii="Times New Roman" w:hAnsi="Times New Roman"/>
          <w:color w:val="000000"/>
        </w:rPr>
        <w:t xml:space="preserve">01-004-07-02-01 (RE) „Pagerinti viešųjų paslaugų prieinamumą, darbo vietų pasiekiamumą ir tam reikalingų išteklių </w:t>
      </w:r>
      <w:r>
        <w:rPr>
          <w:rFonts w:ascii="Times New Roman" w:hAnsi="Times New Roman"/>
          <w:color w:val="000000"/>
        </w:rPr>
        <w:t xml:space="preserve">naudojimo efektyvumą“ finansavimo gaires: </w:t>
      </w:r>
      <w:hyperlink r:id="rId2">
        <w:r>
          <w:rPr>
            <w:rStyle w:val="Hyperlink"/>
            <w:rFonts w:ascii="Times New Roman" w:hAnsi="Times New Roman"/>
          </w:rPr>
          <w:t>1V-199 Dėl Regioninės pažangos priemonės 01-004-07-02-01 (RE) „Pagerinti viešųjų paslaugų prieinamumą, d... (e-</w:t>
        </w:r>
        <w:proofErr w:type="spellStart"/>
        <w:r>
          <w:rPr>
            <w:rStyle w:val="Hyperlink"/>
            <w:rFonts w:ascii="Times New Roman" w:hAnsi="Times New Roman"/>
          </w:rPr>
          <w:t>tar.lt</w:t>
        </w:r>
        <w:proofErr w:type="spellEnd"/>
        <w:r>
          <w:rPr>
            <w:rStyle w:val="Hyperlink"/>
            <w:rFonts w:ascii="Times New Roman" w:hAnsi="Times New Roman"/>
          </w:rPr>
          <w:t>)</w:t>
        </w:r>
      </w:hyperlink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toliau – Gairės 1V-199).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97C"/>
    <w:multiLevelType w:val="multilevel"/>
    <w:tmpl w:val="AB021BDC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eastAsiaTheme="minorEastAsia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2" w:hanging="540"/>
      </w:pPr>
      <w:rPr>
        <w:rFonts w:eastAsiaTheme="minorEastAsia"/>
        <w:b w:val="0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1064" w:hanging="720"/>
      </w:pPr>
      <w:rPr>
        <w:rFonts w:eastAsiaTheme="minorEastAsia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36" w:hanging="720"/>
      </w:pPr>
      <w:rPr>
        <w:rFonts w:eastAsiaTheme="minorEastAsia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68" w:hanging="1080"/>
      </w:pPr>
      <w:rPr>
        <w:rFonts w:eastAsiaTheme="minorEastAsia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40" w:hanging="1080"/>
      </w:pPr>
      <w:rPr>
        <w:rFonts w:eastAsiaTheme="minorEastAsia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72" w:hanging="1440"/>
      </w:pPr>
      <w:rPr>
        <w:rFonts w:eastAsiaTheme="minorEastAsia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44" w:hanging="1440"/>
      </w:pPr>
      <w:rPr>
        <w:rFonts w:eastAsiaTheme="minorEastAsia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76" w:hanging="1800"/>
      </w:pPr>
      <w:rPr>
        <w:rFonts w:eastAsiaTheme="minorEastAsia"/>
        <w:b w:val="0"/>
      </w:rPr>
    </w:lvl>
  </w:abstractNum>
  <w:abstractNum w:abstractNumId="1">
    <w:nsid w:val="14151B86"/>
    <w:multiLevelType w:val="multilevel"/>
    <w:tmpl w:val="11B6B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7450FAF"/>
    <w:multiLevelType w:val="multilevel"/>
    <w:tmpl w:val="9FB08B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D770C"/>
    <w:multiLevelType w:val="multilevel"/>
    <w:tmpl w:val="C15C74D4"/>
    <w:lvl w:ilvl="0">
      <w:start w:val="1"/>
      <w:numFmt w:val="bullet"/>
      <w:lvlText w:val=""/>
      <w:lvlJc w:val="left"/>
      <w:pPr>
        <w:tabs>
          <w:tab w:val="num" w:pos="0"/>
        </w:tabs>
        <w:ind w:left="17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4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autoHyphenation/>
  <w:hyphenationZone w:val="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B77CC2"/>
    <w:rsid w:val="003877A7"/>
    <w:rsid w:val="008D493C"/>
    <w:rsid w:val="00B77CC2"/>
    <w:rsid w:val="00BE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F3689A"/>
  </w:style>
  <w:style w:type="character" w:customStyle="1" w:styleId="Inaosramenys">
    <w:name w:val="Išnašos rašmenys"/>
    <w:qFormat/>
    <w:rsid w:val="005170BD"/>
    <w:rPr>
      <w:vertAlign w:val="superscript"/>
    </w:rPr>
  </w:style>
  <w:style w:type="character" w:styleId="Hyperlink">
    <w:name w:val="Hyperlink"/>
    <w:basedOn w:val="DefaultParagraphFont"/>
    <w:rsid w:val="005170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5170BD"/>
    <w:rPr>
      <w:color w:val="954F72" w:themeColor="followedHyperlink"/>
      <w:u w:val="single"/>
    </w:rPr>
  </w:style>
  <w:style w:type="character" w:styleId="FootnoteReference">
    <w:name w:val="footnote reference"/>
    <w:rsid w:val="00B77CC2"/>
    <w:rPr>
      <w:vertAlign w:val="superscript"/>
    </w:rPr>
  </w:style>
  <w:style w:type="character" w:customStyle="1" w:styleId="Galinsinaosramenys">
    <w:name w:val="Galinės išnašos rašmenys"/>
    <w:qFormat/>
    <w:rsid w:val="005170BD"/>
    <w:rPr>
      <w:vertAlign w:val="superscript"/>
    </w:rPr>
  </w:style>
  <w:style w:type="character" w:styleId="EndnoteReference">
    <w:name w:val="endnote reference"/>
    <w:rsid w:val="00B77CC2"/>
    <w:rPr>
      <w:vertAlign w:val="superscript"/>
    </w:rPr>
  </w:style>
  <w:style w:type="paragraph" w:customStyle="1" w:styleId="Antrat">
    <w:name w:val="Antraštė"/>
    <w:basedOn w:val="Normal"/>
    <w:next w:val="BodyText"/>
    <w:qFormat/>
    <w:rsid w:val="005170B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5170BD"/>
    <w:pPr>
      <w:spacing w:after="140" w:line="276" w:lineRule="auto"/>
    </w:pPr>
  </w:style>
  <w:style w:type="paragraph" w:styleId="List">
    <w:name w:val="List"/>
    <w:basedOn w:val="BodyText"/>
    <w:rsid w:val="005170BD"/>
    <w:rPr>
      <w:rFonts w:cs="Arial Unicode MS"/>
    </w:rPr>
  </w:style>
  <w:style w:type="paragraph" w:styleId="Caption">
    <w:name w:val="caption"/>
    <w:basedOn w:val="Normal"/>
    <w:qFormat/>
    <w:rsid w:val="005170B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odykl">
    <w:name w:val="Rodyklė"/>
    <w:basedOn w:val="Normal"/>
    <w:qFormat/>
    <w:rsid w:val="005170B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  <w:rsid w:val="005170BD"/>
  </w:style>
  <w:style w:type="paragraph" w:styleId="Footer">
    <w:name w:val="footer"/>
    <w:basedOn w:val="Normal"/>
    <w:link w:val="FooterChar"/>
    <w:uiPriority w:val="99"/>
    <w:semiHidden/>
    <w:unhideWhenUsed/>
    <w:rsid w:val="00F3689A"/>
    <w:pPr>
      <w:tabs>
        <w:tab w:val="center" w:pos="4819"/>
        <w:tab w:val="right" w:pos="9638"/>
      </w:tabs>
      <w:spacing w:after="0" w:line="240" w:lineRule="auto"/>
    </w:pPr>
  </w:style>
  <w:style w:type="paragraph" w:styleId="FootnoteText">
    <w:name w:val="footnote text"/>
    <w:basedOn w:val="Normal"/>
    <w:rsid w:val="005170BD"/>
    <w:pPr>
      <w:suppressLineNumbers/>
      <w:ind w:left="340" w:hanging="340"/>
    </w:pPr>
    <w:rPr>
      <w:sz w:val="20"/>
      <w:szCs w:val="20"/>
    </w:rPr>
  </w:style>
  <w:style w:type="paragraph" w:customStyle="1" w:styleId="western">
    <w:name w:val="western"/>
    <w:basedOn w:val="Normal"/>
    <w:qFormat/>
    <w:rsid w:val="0034341F"/>
    <w:pPr>
      <w:suppressAutoHyphens w:val="0"/>
      <w:spacing w:beforeAutospacing="1"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-tar.lt/portal/lt/legalAct/2b6bc720d53511ed9978886e85107ab2/asr" TargetMode="External"/><Relationship Id="rId1" Type="http://schemas.openxmlformats.org/officeDocument/2006/relationships/hyperlink" Target="https://www.e-tar.lt/portal/lt/legalAct/dda19830d2d711ed9978886e85107ab2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11238</TotalTime>
  <Pages>2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VidaTu</dc:creator>
  <dc:description/>
  <cp:lastModifiedBy>VaidaSta</cp:lastModifiedBy>
  <cp:revision>15</cp:revision>
  <dcterms:created xsi:type="dcterms:W3CDTF">2023-04-06T11:17:00Z</dcterms:created>
  <dcterms:modified xsi:type="dcterms:W3CDTF">2025-05-30T10:21:00Z</dcterms:modified>
  <dc:language>lt-LT</dc:language>
</cp:coreProperties>
</file>